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b/>
          <w:bCs/>
          <w:sz w:val="44"/>
          <w:szCs w:val="44"/>
          <w:lang w:val="eu-ES"/>
        </w:rPr>
      </w:pPr>
    </w:p>
    <w:p>
      <w:pPr>
        <w:spacing w:line="360" w:lineRule="auto"/>
        <w:jc w:val="center"/>
        <w:rPr>
          <w:rFonts w:hint="eastAsia" w:ascii="宋体"/>
          <w:b/>
          <w:bCs/>
          <w:sz w:val="44"/>
          <w:szCs w:val="44"/>
          <w:lang w:val="eu-ES"/>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大标宋简体" w:hAnsi="方正大标宋简体" w:eastAsia="方正大标宋简体" w:cs="方正大标宋简体"/>
          <w:b/>
          <w:bCs/>
          <w:color w:val="000000"/>
          <w:spacing w:val="-11"/>
          <w:sz w:val="44"/>
          <w:szCs w:val="44"/>
          <w:lang w:val="eu-ES"/>
        </w:rPr>
      </w:pPr>
      <w:r>
        <w:rPr>
          <w:rFonts w:hint="eastAsia" w:ascii="方正大标宋简体" w:hAnsi="方正大标宋简体" w:eastAsia="方正大标宋简体" w:cs="方正大标宋简体"/>
          <w:b/>
          <w:bCs/>
          <w:color w:val="000000"/>
          <w:spacing w:val="-11"/>
          <w:sz w:val="44"/>
          <w:szCs w:val="44"/>
          <w:lang w:val="eu-ES"/>
        </w:rPr>
        <w:t>关于</w:t>
      </w:r>
      <w:bookmarkStart w:id="0" w:name="OLE_LINK3"/>
      <w:r>
        <w:rPr>
          <w:rFonts w:hint="eastAsia" w:ascii="方正大标宋简体" w:hAnsi="方正大标宋简体" w:eastAsia="方正大标宋简体" w:cs="方正大标宋简体"/>
          <w:b/>
          <w:bCs/>
          <w:color w:val="000000"/>
          <w:spacing w:val="-11"/>
          <w:sz w:val="44"/>
          <w:szCs w:val="44"/>
          <w:lang w:val="eu-ES"/>
        </w:rPr>
        <w:t>余干县2021年县级预算执行情况与2022年县级预算草案的报告</w:t>
      </w:r>
      <w:bookmarkEnd w:id="0"/>
      <w:r>
        <w:rPr>
          <w:rFonts w:hint="eastAsia" w:ascii="方正大标宋简体" w:hAnsi="方正大标宋简体" w:eastAsia="方正大标宋简体" w:cs="方正大标宋简体"/>
          <w:b/>
          <w:bCs/>
          <w:color w:val="000000"/>
          <w:spacing w:val="-11"/>
          <w:sz w:val="44"/>
          <w:szCs w:val="44"/>
          <w:lang w:val="eu-ES"/>
        </w:rPr>
        <w:t>（书面）</w:t>
      </w:r>
    </w:p>
    <w:p>
      <w:pPr>
        <w:spacing w:line="360" w:lineRule="auto"/>
        <w:ind w:firstLine="635"/>
        <w:jc w:val="center"/>
        <w:rPr>
          <w:rFonts w:ascii="宋体"/>
          <w:b/>
          <w:bCs/>
          <w:sz w:val="44"/>
          <w:szCs w:val="44"/>
          <w:lang w:val="eu-ES"/>
        </w:rPr>
      </w:pPr>
    </w:p>
    <w:p>
      <w:pPr>
        <w:keepNext w:val="0"/>
        <w:keepLines w:val="0"/>
        <w:pageBreakBefore w:val="0"/>
        <w:widowControl w:val="0"/>
        <w:kinsoku/>
        <w:wordWrap/>
        <w:overflowPunct/>
        <w:topLinePunct w:val="0"/>
        <w:autoSpaceDE/>
        <w:autoSpaceDN/>
        <w:bidi w:val="0"/>
        <w:adjustRightInd/>
        <w:snapToGrid/>
        <w:spacing w:line="660" w:lineRule="exact"/>
        <w:ind w:firstLine="684"/>
        <w:jc w:val="both"/>
        <w:textAlignment w:val="auto"/>
        <w:rPr>
          <w:rFonts w:hint="eastAsia" w:ascii="华文楷体" w:hAnsi="华文楷体" w:eastAsia="华文楷体" w:cs="华文楷体"/>
          <w:color w:val="000000"/>
          <w:w w:val="90"/>
          <w:sz w:val="30"/>
          <w:szCs w:val="30"/>
        </w:rPr>
      </w:pPr>
      <w:r>
        <w:rPr>
          <w:rFonts w:hint="eastAsia" w:ascii="华文楷体" w:hAnsi="华文楷体" w:eastAsia="华文楷体" w:cs="华文楷体"/>
          <w:color w:val="000000"/>
          <w:w w:val="90"/>
          <w:sz w:val="30"/>
          <w:szCs w:val="30"/>
        </w:rPr>
        <w:pict>
          <v:line id="_x0000_s1027" o:spid="_x0000_s1027" o:spt="20" style="position:absolute;left:0pt;flip:x;margin-left:0pt;margin-top:21.7pt;height:0.05pt;width:31.5pt;z-index:251659264;mso-width-relative:page;mso-height-relative:page;" coordsize="21600,21600">
            <v:path arrowok="t"/>
            <v:fill focussize="0,0"/>
            <v:stroke/>
            <v:imagedata o:title=""/>
            <o:lock v:ext="edit"/>
          </v:line>
        </w:pict>
      </w:r>
      <w:r>
        <w:rPr>
          <w:rFonts w:hint="eastAsia" w:ascii="华文楷体" w:hAnsi="华文楷体" w:eastAsia="华文楷体" w:cs="华文楷体"/>
          <w:color w:val="000000"/>
          <w:w w:val="90"/>
          <w:sz w:val="30"/>
          <w:szCs w:val="30"/>
        </w:rPr>
        <w:t>2022年</w:t>
      </w:r>
      <w:r>
        <w:rPr>
          <w:rFonts w:hint="eastAsia" w:ascii="华文楷体" w:hAnsi="华文楷体" w:eastAsia="华文楷体" w:cs="华文楷体"/>
          <w:color w:val="000000"/>
          <w:w w:val="90"/>
          <w:sz w:val="30"/>
          <w:szCs w:val="30"/>
          <w:lang w:val="en-US" w:eastAsia="zh-CN"/>
        </w:rPr>
        <w:t>2</w:t>
      </w:r>
      <w:r>
        <w:rPr>
          <w:rFonts w:hint="eastAsia" w:ascii="华文楷体" w:hAnsi="华文楷体" w:eastAsia="华文楷体" w:cs="华文楷体"/>
          <w:color w:val="000000"/>
          <w:w w:val="90"/>
          <w:sz w:val="30"/>
          <w:szCs w:val="30"/>
        </w:rPr>
        <w:t>月</w:t>
      </w:r>
      <w:r>
        <w:rPr>
          <w:rFonts w:hint="eastAsia" w:ascii="华文楷体" w:hAnsi="华文楷体" w:eastAsia="华文楷体" w:cs="华文楷体"/>
          <w:color w:val="000000"/>
          <w:w w:val="90"/>
          <w:sz w:val="30"/>
          <w:szCs w:val="30"/>
          <w:lang w:val="en-US" w:eastAsia="zh-CN"/>
        </w:rPr>
        <w:t>24</w:t>
      </w:r>
      <w:r>
        <w:rPr>
          <w:rFonts w:hint="eastAsia" w:ascii="华文楷体" w:hAnsi="华文楷体" w:eastAsia="华文楷体" w:cs="华文楷体"/>
          <w:color w:val="000000"/>
          <w:w w:val="90"/>
          <w:sz w:val="30"/>
          <w:szCs w:val="30"/>
        </w:rPr>
        <w:t>日在余干县第十七届人民代表大会第</w:t>
      </w:r>
      <w:r>
        <w:rPr>
          <w:rFonts w:hint="eastAsia" w:ascii="华文楷体" w:hAnsi="华文楷体" w:eastAsia="华文楷体" w:cs="华文楷体"/>
          <w:color w:val="000000"/>
          <w:w w:val="90"/>
          <w:sz w:val="30"/>
          <w:szCs w:val="30"/>
          <w:lang w:eastAsia="zh-CN"/>
        </w:rPr>
        <w:t>二</w:t>
      </w:r>
      <w:r>
        <w:rPr>
          <w:rFonts w:hint="eastAsia" w:ascii="华文楷体" w:hAnsi="华文楷体" w:eastAsia="华文楷体" w:cs="华文楷体"/>
          <w:color w:val="000000"/>
          <w:w w:val="90"/>
          <w:sz w:val="30"/>
          <w:szCs w:val="30"/>
        </w:rPr>
        <w:t>次会议上</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color w:val="000000"/>
          <w:sz w:val="32"/>
          <w:szCs w:val="32"/>
          <w:lang w:val="eu-ES" w:eastAsia="zh-CN"/>
        </w:rPr>
      </w:pPr>
      <w:r>
        <w:rPr>
          <w:rFonts w:hint="eastAsia" w:ascii="仿宋_GB2312" w:hAnsi="仿宋_GB2312" w:eastAsia="仿宋_GB2312" w:cs="仿宋_GB2312"/>
          <w:color w:val="000000"/>
          <w:sz w:val="32"/>
          <w:szCs w:val="32"/>
          <w:lang w:val="eu-ES" w:eastAsia="zh-CN"/>
        </w:rPr>
        <w:t xml:space="preserve">余干县财政局局长  </w:t>
      </w:r>
      <w:r>
        <w:rPr>
          <w:rFonts w:hint="eastAsia" w:ascii="仿宋_GB2312" w:hAnsi="仿宋_GB2312" w:eastAsia="仿宋_GB2312" w:cs="仿宋_GB2312"/>
          <w:b/>
          <w:bCs/>
          <w:color w:val="000000"/>
          <w:sz w:val="32"/>
          <w:szCs w:val="32"/>
          <w:lang w:val="eu-ES" w:eastAsia="zh-CN"/>
        </w:rPr>
        <w:t>戴雄亚</w:t>
      </w:r>
    </w:p>
    <w:p>
      <w:pPr>
        <w:keepNext w:val="0"/>
        <w:keepLines w:val="0"/>
        <w:pageBreakBefore w:val="0"/>
        <w:kinsoku/>
        <w:wordWrap/>
        <w:overflowPunct/>
        <w:topLinePunct w:val="0"/>
        <w:autoSpaceDE/>
        <w:autoSpaceDN/>
        <w:bidi w:val="0"/>
        <w:adjustRightInd/>
        <w:snapToGrid/>
        <w:spacing w:line="580" w:lineRule="exact"/>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各位代表：</w:t>
      </w:r>
    </w:p>
    <w:p>
      <w:pPr>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受县人民政府委托，向大会书面报告我县2021年县级预算执行情况,请予审议；2022年县级预算草案，请予审查批准。并请县政协委员和列席会议的同志提出意见。</w:t>
      </w:r>
    </w:p>
    <w:p>
      <w:pPr>
        <w:keepNext w:val="0"/>
        <w:keepLines w:val="0"/>
        <w:pageBreakBefore w:val="0"/>
        <w:kinsoku/>
        <w:wordWrap/>
        <w:overflowPunct/>
        <w:topLinePunct w:val="0"/>
        <w:autoSpaceDE/>
        <w:autoSpaceDN/>
        <w:bidi w:val="0"/>
        <w:adjustRightInd/>
        <w:snapToGrid/>
        <w:spacing w:line="580" w:lineRule="exact"/>
        <w:ind w:firstLine="643" w:firstLineChars="200"/>
        <w:rPr>
          <w:rFonts w:hint="eastAsia" w:ascii="黑体" w:hAnsi="黑体" w:eastAsia="黑体" w:cs="黑体"/>
          <w:b/>
          <w:color w:val="000000"/>
          <w:sz w:val="32"/>
          <w:szCs w:val="32"/>
          <w:lang w:val="eu-ES"/>
        </w:rPr>
      </w:pPr>
      <w:r>
        <w:rPr>
          <w:rFonts w:hint="eastAsia" w:ascii="黑体" w:hAnsi="黑体" w:eastAsia="黑体" w:cs="黑体"/>
          <w:b/>
          <w:color w:val="000000"/>
          <w:sz w:val="32"/>
          <w:szCs w:val="32"/>
          <w:lang w:val="eu-ES"/>
        </w:rPr>
        <w:t>一、2021年县级预算执行情况</w:t>
      </w:r>
    </w:p>
    <w:p>
      <w:pPr>
        <w:keepNext w:val="0"/>
        <w:keepLines w:val="0"/>
        <w:pageBreakBefore w:val="0"/>
        <w:kinsoku/>
        <w:wordWrap/>
        <w:overflowPunct/>
        <w:topLinePunct w:val="0"/>
        <w:autoSpaceDE/>
        <w:autoSpaceDN/>
        <w:bidi w:val="0"/>
        <w:adjustRightInd/>
        <w:snapToGrid/>
        <w:spacing w:line="580" w:lineRule="exact"/>
        <w:ind w:firstLine="635"/>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2021年是建党100周年，也是“十四五”规划的开局之年，全县财政部门在县委、县政府的坚强领导下，坚持稳中求进工作总基调，立足新发展阶段，贯彻新发展理念，构建新发展格局，紧紧围绕高质量发展目标，强化预算管理，加强收入征管，优化支出结构，稳步推进财政改革，扎实做好“六稳”“六保”工作，推动全县经济持续平稳健康发展，圆满完成各项目标任务，实现了“十四五”良好开局。</w:t>
      </w:r>
    </w:p>
    <w:p>
      <w:pPr>
        <w:keepNext w:val="0"/>
        <w:keepLines w:val="0"/>
        <w:pageBreakBefore w:val="0"/>
        <w:kinsoku/>
        <w:wordWrap/>
        <w:overflowPunct/>
        <w:topLinePunct w:val="0"/>
        <w:autoSpaceDE/>
        <w:autoSpaceDN/>
        <w:bidi w:val="0"/>
        <w:adjustRightInd/>
        <w:snapToGrid/>
        <w:spacing w:line="580" w:lineRule="exact"/>
        <w:ind w:firstLine="645"/>
        <w:rPr>
          <w:rFonts w:hint="eastAsia" w:ascii="华文楷体" w:hAnsi="华文楷体" w:eastAsia="华文楷体" w:cs="华文楷体"/>
          <w:b/>
          <w:color w:val="000000"/>
          <w:kern w:val="0"/>
          <w:sz w:val="32"/>
          <w:szCs w:val="32"/>
          <w:lang w:val="eu-ES"/>
        </w:rPr>
      </w:pPr>
      <w:r>
        <w:rPr>
          <w:rFonts w:hint="eastAsia" w:ascii="华文楷体" w:hAnsi="华文楷体" w:eastAsia="华文楷体" w:cs="华文楷体"/>
          <w:b/>
          <w:color w:val="000000"/>
          <w:kern w:val="0"/>
          <w:sz w:val="32"/>
          <w:szCs w:val="32"/>
          <w:lang w:val="eu-ES"/>
        </w:rPr>
        <w:t>（一）2021年一般公共预算收支执行情况</w:t>
      </w:r>
    </w:p>
    <w:p>
      <w:pPr>
        <w:keepNext w:val="0"/>
        <w:keepLines w:val="0"/>
        <w:pageBreakBefore w:val="0"/>
        <w:kinsoku/>
        <w:wordWrap/>
        <w:overflowPunct/>
        <w:topLinePunct w:val="0"/>
        <w:autoSpaceDE/>
        <w:autoSpaceDN/>
        <w:bidi w:val="0"/>
        <w:adjustRightInd/>
        <w:snapToGrid/>
        <w:spacing w:line="580" w:lineRule="exact"/>
        <w:ind w:firstLine="635"/>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县十六届人大会第六次会议批准2021年财政总收入为222000万元，2021年全年实际完成财政收入238703万元，同比增长（以下简称“增长”）18.8%，完成调整预算（以下简称“预算”）的107.5%，税收收入占比为86.4%。</w:t>
      </w:r>
    </w:p>
    <w:p>
      <w:pPr>
        <w:keepNext w:val="0"/>
        <w:keepLines w:val="0"/>
        <w:pageBreakBefore w:val="0"/>
        <w:kinsoku/>
        <w:wordWrap/>
        <w:overflowPunct/>
        <w:topLinePunct w:val="0"/>
        <w:autoSpaceDE/>
        <w:autoSpaceDN/>
        <w:bidi w:val="0"/>
        <w:adjustRightInd/>
        <w:snapToGrid/>
        <w:spacing w:line="580" w:lineRule="exact"/>
        <w:ind w:firstLine="635"/>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全县一般公共预算收入完成125163万元，增长3.7%；</w:t>
      </w:r>
      <w:r>
        <w:rPr>
          <w:rFonts w:hint="eastAsia" w:ascii="仿宋_GB2312" w:hAnsi="仿宋_GB2312" w:eastAsia="仿宋_GB2312" w:cs="仿宋_GB2312"/>
          <w:color w:val="000000"/>
          <w:sz w:val="32"/>
          <w:szCs w:val="32"/>
          <w:lang w:val="eu-ES" w:eastAsia="zh-CN"/>
        </w:rPr>
        <w:t>其中地方税收</w:t>
      </w:r>
      <w:r>
        <w:rPr>
          <w:rFonts w:hint="eastAsia" w:ascii="仿宋_GB2312" w:hAnsi="仿宋_GB2312" w:eastAsia="仿宋_GB2312" w:cs="仿宋_GB2312"/>
          <w:color w:val="000000"/>
          <w:sz w:val="32"/>
          <w:szCs w:val="32"/>
          <w:lang w:val="eu-ES"/>
        </w:rPr>
        <w:t>收入92690万元，增长7.6%</w:t>
      </w:r>
      <w:r>
        <w:rPr>
          <w:rFonts w:hint="eastAsia" w:ascii="仿宋_GB2312" w:hAnsi="仿宋_GB2312" w:eastAsia="仿宋_GB2312" w:cs="仿宋_GB2312"/>
          <w:color w:val="000000"/>
          <w:sz w:val="32"/>
          <w:szCs w:val="32"/>
          <w:lang w:val="eu-ES" w:eastAsia="zh-CN"/>
        </w:rPr>
        <w:t>，增幅全市第二。</w:t>
      </w:r>
      <w:r>
        <w:rPr>
          <w:rFonts w:hint="eastAsia" w:ascii="仿宋_GB2312" w:hAnsi="仿宋_GB2312" w:eastAsia="仿宋_GB2312" w:cs="仿宋_GB2312"/>
          <w:color w:val="000000"/>
          <w:sz w:val="32"/>
          <w:szCs w:val="32"/>
          <w:lang w:val="eu-ES"/>
        </w:rPr>
        <w:t>地方税收收入占比74.1%，较上年提高2.7个百分点，税比全市第三。主要收入项目执行情况为：增值税51028万元，同比增长（以下简称“增长”）15.7%，主要是有色金属加工企业余干银泰铜业有限公司去年税款延期至2021年缴纳，加上江西荣信铜业有限公司去年投产，2021年企业效益好，税收增幅较大；企业所得税5534万元，下降31.7%，个人所得税1211万元，下降26.6%，主要是调整省与市县收入划分改革，增值税、所得税市县分享比例下降，加上电力行业及房地产业所得税减收影响及个体户免税额提高等；城市维护建设税9924万元，增长86.7%，主要是随增值税增收；资源税33万元，下降98%，主要是《中华人民共和国资源税法》2020年9月1日实施，取消了代扣代缴资源税以及一次性退税因素；城镇土地使用税2424万元，增长57.3%，主要是黄金埠电厂补缴2019-2020年土地使用税385万元及江西物华置业有限公司、县城投公司各增收120万元、207万元；土地增值税5496万元，下降26%，主要是去年一次性自查补缴商铺土地增值税1363万元；契税11490万元，增长27.2%，主要是增量房买卖增收；其他各项税收收入5550万元。非税收入32473万元，下降5.9%。</w:t>
      </w:r>
    </w:p>
    <w:p>
      <w:pPr>
        <w:keepNext w:val="0"/>
        <w:keepLines w:val="0"/>
        <w:pageBreakBefore w:val="0"/>
        <w:kinsoku/>
        <w:wordWrap/>
        <w:overflowPunct/>
        <w:topLinePunct w:val="0"/>
        <w:autoSpaceDE/>
        <w:autoSpaceDN/>
        <w:bidi w:val="0"/>
        <w:adjustRightInd/>
        <w:snapToGrid/>
        <w:spacing w:line="580" w:lineRule="exact"/>
        <w:ind w:firstLine="635"/>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2021年上级补助收入377861万元（含专项转移支付），  一般债务转贷收入39897万元（一般债29373万元、再融资10524万元），调入资金44305万元，上年结余47447万元，全年一般公共预算收入总计634673万元。</w:t>
      </w:r>
    </w:p>
    <w:p>
      <w:pPr>
        <w:keepNext w:val="0"/>
        <w:keepLines w:val="0"/>
        <w:pageBreakBefore w:val="0"/>
        <w:kinsoku/>
        <w:wordWrap/>
        <w:overflowPunct/>
        <w:topLinePunct w:val="0"/>
        <w:autoSpaceDE/>
        <w:autoSpaceDN/>
        <w:bidi w:val="0"/>
        <w:adjustRightInd/>
        <w:snapToGrid/>
        <w:spacing w:line="580" w:lineRule="exact"/>
        <w:ind w:firstLine="635"/>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2021年全县一般公共预算本级支出568761万元，下降9.1%，主要支出项目执行情况为：一般公共服务支出42403万元，增长0.9%；公共安全支出22446万元，下降1.9%;教育支出164125万元，增长6.6%;科学技术支出7048万元，增长2.1%；文化旅游体育与传媒支出2612万元，下降28.4%，主要是2020年县本级安排体育彩票销售奖励资金500万元;社会保障和就业支出81334万元，增长6.2%；卫生健康支出41429万元，下降54.7%，主要</w:t>
      </w:r>
      <w:r>
        <w:rPr>
          <w:rFonts w:hint="eastAsia" w:ascii="仿宋_GB2312" w:hAnsi="仿宋_GB2312" w:eastAsia="仿宋_GB2312" w:cs="仿宋_GB2312"/>
          <w:color w:val="000000"/>
          <w:sz w:val="32"/>
          <w:szCs w:val="32"/>
          <w:lang w:val="eu-ES" w:eastAsia="zh-CN"/>
        </w:rPr>
        <w:t>是</w:t>
      </w:r>
      <w:r>
        <w:rPr>
          <w:rFonts w:hint="eastAsia" w:ascii="仿宋_GB2312" w:hAnsi="仿宋_GB2312" w:eastAsia="仿宋_GB2312" w:cs="仿宋_GB2312"/>
          <w:color w:val="000000"/>
          <w:sz w:val="32"/>
          <w:szCs w:val="32"/>
          <w:lang w:val="eu-ES"/>
        </w:rPr>
        <w:t>2021年城乡居民基本医疗保险、职工基本医疗保险实行市级统筹，上级下达城乡居民基本医疗保险、职工基本医疗保险等上级补助资金不再下达至县级列支；节能环保支出19556万元，增长133.2%，主要是上级加大了对生态林业保护及水污染、农村环境等治理专项补助;城乡社区事务支出40388万元，下降19.9%，主要是2021年一般债券安排的市政道路设施建设项目资金减少9417万元;农林水支出109057万元，增长0.9%；交通运输支出3662万元，下降67.7%，主要是2020年上级下达用于公路等基础设施建设的车辆购置税收入补助地方资金较多；资源勘探信息等支出17282万元，下降23.8%，主要是2020年县本级对园区企业的扶持和园区基础设施投资力</w:t>
      </w:r>
      <w:bookmarkStart w:id="1" w:name="_GoBack"/>
      <w:bookmarkEnd w:id="1"/>
      <w:r>
        <w:rPr>
          <w:rFonts w:hint="eastAsia" w:ascii="仿宋_GB2312" w:hAnsi="仿宋_GB2312" w:eastAsia="仿宋_GB2312" w:cs="仿宋_GB2312"/>
          <w:color w:val="000000"/>
          <w:sz w:val="32"/>
          <w:szCs w:val="32"/>
          <w:lang w:val="eu-ES"/>
        </w:rPr>
        <w:t>度较</w:t>
      </w:r>
      <w:r>
        <w:rPr>
          <w:rFonts w:hint="eastAsia" w:ascii="仿宋_GB2312" w:hAnsi="仿宋_GB2312" w:eastAsia="仿宋_GB2312" w:cs="仿宋_GB2312"/>
          <w:color w:val="000000"/>
          <w:sz w:val="32"/>
          <w:szCs w:val="32"/>
          <w:lang w:val="eu-ES" w:eastAsia="zh-CN"/>
        </w:rPr>
        <w:t>大</w:t>
      </w:r>
      <w:r>
        <w:rPr>
          <w:rFonts w:hint="eastAsia" w:ascii="仿宋_GB2312" w:hAnsi="仿宋_GB2312" w:eastAsia="仿宋_GB2312" w:cs="仿宋_GB2312"/>
          <w:color w:val="000000"/>
          <w:sz w:val="32"/>
          <w:szCs w:val="32"/>
          <w:lang w:val="eu-ES"/>
        </w:rPr>
        <w:t>；商业服务业等支出123万元，增长0.8%；自然资源海洋气象等支出2720万元，下降1.9%；住房保障支出1576万元，下降77.1%，主要是上级下达的保障性安居工程专项资金较2020年减少5338万元；粮油物资储备支出107万元，下降54.8%，主要是2020年上级下达产油大县奖励资金124万元；灾害防治及应急管理支出2907万元，下降59.7%，主要是2020年鄱阳湖流域抗洪救灾上级下达的自然灾害救助资金较多；其他各项支出9976万元。公共安全支出、自然资源海洋气象等支出科目下降，主要是落实《国务院关于进一步深化预算管理制度改革的意见》（国发〔2021〕5号）“规范按权责发生制列支事项，市县级财政国库集中支付结余不再按权责发生制列支”相关规定。</w:t>
      </w:r>
    </w:p>
    <w:p>
      <w:pPr>
        <w:keepNext w:val="0"/>
        <w:keepLines w:val="0"/>
        <w:pageBreakBefore w:val="0"/>
        <w:kinsoku/>
        <w:wordWrap/>
        <w:overflowPunct/>
        <w:topLinePunct w:val="0"/>
        <w:autoSpaceDE/>
        <w:autoSpaceDN/>
        <w:bidi w:val="0"/>
        <w:adjustRightInd/>
        <w:snapToGrid/>
        <w:spacing w:line="580" w:lineRule="exact"/>
        <w:ind w:firstLine="635"/>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2021年上解上级支出44589万元，一般债还本支出10546.7万元，调出资金6052万元，全年一般公共预算支出总计629949万元。</w:t>
      </w:r>
    </w:p>
    <w:p>
      <w:pPr>
        <w:keepNext w:val="0"/>
        <w:keepLines w:val="0"/>
        <w:pageBreakBefore w:val="0"/>
        <w:kinsoku/>
        <w:wordWrap/>
        <w:overflowPunct/>
        <w:topLinePunct w:val="0"/>
        <w:autoSpaceDE/>
        <w:autoSpaceDN/>
        <w:bidi w:val="0"/>
        <w:adjustRightInd/>
        <w:snapToGrid/>
        <w:spacing w:line="580" w:lineRule="exact"/>
        <w:ind w:firstLine="643" w:firstLineChars="200"/>
        <w:rPr>
          <w:rFonts w:hint="eastAsia" w:ascii="华文楷体" w:hAnsi="华文楷体" w:eastAsia="华文楷体" w:cs="华文楷体"/>
          <w:b/>
          <w:color w:val="000000"/>
          <w:sz w:val="32"/>
          <w:szCs w:val="32"/>
          <w:lang w:val="eu-ES"/>
        </w:rPr>
      </w:pPr>
      <w:r>
        <w:rPr>
          <w:rFonts w:hint="eastAsia" w:ascii="华文楷体" w:hAnsi="华文楷体" w:eastAsia="华文楷体" w:cs="华文楷体"/>
          <w:b/>
          <w:color w:val="000000"/>
          <w:sz w:val="32"/>
          <w:szCs w:val="32"/>
          <w:lang w:val="eu-ES"/>
        </w:rPr>
        <w:t>（二）2021年政府性基金收支执行情况</w:t>
      </w:r>
    </w:p>
    <w:p>
      <w:pPr>
        <w:keepNext w:val="0"/>
        <w:keepLines w:val="0"/>
        <w:pageBreakBefore w:val="0"/>
        <w:kinsoku/>
        <w:wordWrap/>
        <w:overflowPunct/>
        <w:topLinePunct w:val="0"/>
        <w:autoSpaceDE/>
        <w:autoSpaceDN/>
        <w:bidi w:val="0"/>
        <w:adjustRightInd/>
        <w:snapToGrid/>
        <w:spacing w:line="580" w:lineRule="exact"/>
        <w:ind w:firstLine="635"/>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2021年政府性基金预算本级收入完成167824万元，下降18.5%。主要是土地增减挂指标、国有土地出让收入等减少。其中：国有土地使用权出让收入157297万元，下降18.9%；国有土地收益基金收入8146万元，其他各项基金收入2381万元。</w:t>
      </w:r>
    </w:p>
    <w:p>
      <w:pPr>
        <w:keepNext w:val="0"/>
        <w:keepLines w:val="0"/>
        <w:pageBreakBefore w:val="0"/>
        <w:kinsoku/>
        <w:wordWrap/>
        <w:overflowPunct/>
        <w:topLinePunct w:val="0"/>
        <w:autoSpaceDE/>
        <w:autoSpaceDN/>
        <w:bidi w:val="0"/>
        <w:adjustRightInd/>
        <w:snapToGrid/>
        <w:spacing w:line="580" w:lineRule="exact"/>
        <w:ind w:firstLine="635"/>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2021年政府性基金上级补助收入3264万元，地方政府专项债务转贷收入102497万元（专项债101622万元、再融资875万元），上年结余11332万元，调入资金6052万元，全年政府性基金收入总计290969万元。</w:t>
      </w:r>
    </w:p>
    <w:p>
      <w:pPr>
        <w:keepNext w:val="0"/>
        <w:keepLines w:val="0"/>
        <w:pageBreakBefore w:val="0"/>
        <w:kinsoku/>
        <w:wordWrap/>
        <w:overflowPunct/>
        <w:topLinePunct w:val="0"/>
        <w:autoSpaceDE/>
        <w:autoSpaceDN/>
        <w:bidi w:val="0"/>
        <w:adjustRightInd/>
        <w:snapToGrid/>
        <w:spacing w:line="580" w:lineRule="exact"/>
        <w:ind w:firstLine="635"/>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2021年全县政府性基金预算本级支出270492万元，下降23.1%。其中：社会保障与就业支出1897万元；城乡社区事务支出200107万元，下降35.8%，主要是国有土地出让收入安排的支出较去年减少14291万元及政府专项债券收入安排的支出科目调整较去年减少93812万元；专项债付息支出10745万元，债务发行费用支出94万元，其他支出57649万元（含其他地方自行试点项目收益专项债券收入安排的支出57122万元）。</w:t>
      </w:r>
    </w:p>
    <w:p>
      <w:pPr>
        <w:keepNext w:val="0"/>
        <w:keepLines w:val="0"/>
        <w:pageBreakBefore w:val="0"/>
        <w:kinsoku/>
        <w:wordWrap/>
        <w:overflowPunct/>
        <w:topLinePunct w:val="0"/>
        <w:autoSpaceDE/>
        <w:autoSpaceDN/>
        <w:bidi w:val="0"/>
        <w:adjustRightInd/>
        <w:snapToGrid/>
        <w:spacing w:line="580" w:lineRule="exact"/>
        <w:ind w:firstLine="635"/>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2021年上解基金支出3090万，专项债还本支出4815万元，调出资金7000万，全年政府性基金支出总计285397万元。</w:t>
      </w:r>
    </w:p>
    <w:p>
      <w:pPr>
        <w:keepNext w:val="0"/>
        <w:keepLines w:val="0"/>
        <w:pageBreakBefore w:val="0"/>
        <w:kinsoku/>
        <w:wordWrap/>
        <w:overflowPunct/>
        <w:topLinePunct w:val="0"/>
        <w:autoSpaceDE/>
        <w:autoSpaceDN/>
        <w:bidi w:val="0"/>
        <w:adjustRightInd/>
        <w:snapToGrid/>
        <w:spacing w:line="580" w:lineRule="exact"/>
        <w:ind w:firstLine="643" w:firstLineChars="200"/>
        <w:rPr>
          <w:rFonts w:hint="eastAsia" w:ascii="华文楷体" w:hAnsi="华文楷体" w:eastAsia="华文楷体" w:cs="华文楷体"/>
          <w:b/>
          <w:color w:val="000000"/>
          <w:sz w:val="32"/>
          <w:szCs w:val="32"/>
          <w:lang w:val="eu-ES"/>
        </w:rPr>
      </w:pPr>
      <w:r>
        <w:rPr>
          <w:rFonts w:hint="eastAsia" w:ascii="华文楷体" w:hAnsi="华文楷体" w:eastAsia="华文楷体" w:cs="华文楷体"/>
          <w:b/>
          <w:color w:val="000000"/>
          <w:sz w:val="32"/>
          <w:szCs w:val="32"/>
          <w:lang w:val="eu-ES"/>
        </w:rPr>
        <w:t>（三）2021年社会保险基金收支执行情况</w:t>
      </w:r>
    </w:p>
    <w:p>
      <w:pPr>
        <w:keepNext w:val="0"/>
        <w:keepLines w:val="0"/>
        <w:pageBreakBefore w:val="0"/>
        <w:kinsoku/>
        <w:wordWrap/>
        <w:overflowPunct/>
        <w:topLinePunct w:val="0"/>
        <w:autoSpaceDE/>
        <w:autoSpaceDN/>
        <w:bidi w:val="0"/>
        <w:adjustRightInd/>
        <w:snapToGrid/>
        <w:spacing w:line="580" w:lineRule="exact"/>
        <w:ind w:firstLine="635"/>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因企业职工基本养老保险实行省级统筹，职工基本医疗保险（含生育保险）、城乡居民基本医疗保险、工伤保险和失业保险等实行市级统筹，县级不再反映以上保险基金收支、结余情况。</w:t>
      </w:r>
    </w:p>
    <w:p>
      <w:pPr>
        <w:keepNext w:val="0"/>
        <w:keepLines w:val="0"/>
        <w:pageBreakBefore w:val="0"/>
        <w:kinsoku/>
        <w:wordWrap/>
        <w:overflowPunct/>
        <w:topLinePunct w:val="0"/>
        <w:autoSpaceDE/>
        <w:autoSpaceDN/>
        <w:bidi w:val="0"/>
        <w:adjustRightInd/>
        <w:snapToGrid/>
        <w:spacing w:line="580" w:lineRule="exact"/>
        <w:ind w:firstLine="635"/>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2021年社会保险基金预算收入66488.5万元，增长11%。其中：城乡居民基本养老保险收入29041万元，机关事业单位基本养老保险收入37447.5万元。</w:t>
      </w:r>
    </w:p>
    <w:p>
      <w:pPr>
        <w:keepNext w:val="0"/>
        <w:keepLines w:val="0"/>
        <w:pageBreakBefore w:val="0"/>
        <w:kinsoku/>
        <w:wordWrap/>
        <w:overflowPunct/>
        <w:topLinePunct w:val="0"/>
        <w:autoSpaceDE/>
        <w:autoSpaceDN/>
        <w:bidi w:val="0"/>
        <w:adjustRightInd/>
        <w:snapToGrid/>
        <w:spacing w:line="580" w:lineRule="exact"/>
        <w:ind w:firstLine="635"/>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2021年社会保险基金预算支出58868.5万元，增长13.8%。其中：城乡居民基本养老保险支出20865.7万元，机关事业单位基本养老保险支出38002.8万元。</w:t>
      </w:r>
    </w:p>
    <w:p>
      <w:pPr>
        <w:keepNext w:val="0"/>
        <w:keepLines w:val="0"/>
        <w:pageBreakBefore w:val="0"/>
        <w:kinsoku/>
        <w:wordWrap/>
        <w:overflowPunct/>
        <w:topLinePunct w:val="0"/>
        <w:autoSpaceDE/>
        <w:autoSpaceDN/>
        <w:bidi w:val="0"/>
        <w:adjustRightInd/>
        <w:snapToGrid/>
        <w:spacing w:line="580" w:lineRule="exact"/>
        <w:ind w:firstLine="635"/>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本年收支结余7620万元，年末滚存结余80764.4万元。</w:t>
      </w:r>
    </w:p>
    <w:p>
      <w:pPr>
        <w:keepNext w:val="0"/>
        <w:keepLines w:val="0"/>
        <w:pageBreakBefore w:val="0"/>
        <w:kinsoku/>
        <w:wordWrap/>
        <w:overflowPunct/>
        <w:topLinePunct w:val="0"/>
        <w:autoSpaceDE/>
        <w:autoSpaceDN/>
        <w:bidi w:val="0"/>
        <w:adjustRightInd/>
        <w:snapToGrid/>
        <w:spacing w:line="580" w:lineRule="exact"/>
        <w:ind w:firstLine="643" w:firstLineChars="200"/>
        <w:rPr>
          <w:rFonts w:hint="eastAsia" w:ascii="华文楷体" w:hAnsi="华文楷体" w:eastAsia="华文楷体" w:cs="华文楷体"/>
          <w:b/>
          <w:color w:val="000000"/>
          <w:sz w:val="32"/>
          <w:szCs w:val="32"/>
          <w:lang w:val="eu-ES"/>
        </w:rPr>
      </w:pPr>
      <w:r>
        <w:rPr>
          <w:rFonts w:hint="eastAsia" w:ascii="华文楷体" w:hAnsi="华文楷体" w:eastAsia="华文楷体" w:cs="华文楷体"/>
          <w:b/>
          <w:color w:val="000000"/>
          <w:sz w:val="32"/>
          <w:szCs w:val="32"/>
          <w:lang w:val="eu-ES"/>
        </w:rPr>
        <w:t>（四）2021年国有资本经营预算收支执行情况</w:t>
      </w:r>
    </w:p>
    <w:p>
      <w:pPr>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u-ES"/>
        </w:rPr>
        <w:t>2021年国有资本经营预算收入7000万元</w:t>
      </w:r>
      <w:r>
        <w:rPr>
          <w:rFonts w:hint="eastAsia" w:ascii="仿宋_GB2312" w:hAnsi="仿宋_GB2312" w:eastAsia="仿宋_GB2312" w:cs="仿宋_GB2312"/>
          <w:color w:val="000000"/>
          <w:sz w:val="32"/>
          <w:szCs w:val="32"/>
          <w:lang w:val="en-US" w:eastAsia="zh-CN"/>
        </w:rPr>
        <w:t>,上级补助收入33.99万元，上年结余4万元，全年国有资本经营预算总收入7037.99万元。</w:t>
      </w:r>
    </w:p>
    <w:p>
      <w:pPr>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n-US" w:eastAsia="zh-CN"/>
        </w:rPr>
        <w:t>2021年国有资本经营调出资金</w:t>
      </w:r>
      <w:r>
        <w:rPr>
          <w:rFonts w:hint="eastAsia" w:ascii="仿宋_GB2312" w:hAnsi="仿宋_GB2312" w:eastAsia="仿宋_GB2312" w:cs="仿宋_GB2312"/>
          <w:color w:val="000000"/>
          <w:sz w:val="32"/>
          <w:szCs w:val="32"/>
          <w:lang w:val="eu-ES"/>
        </w:rPr>
        <w:t>7000万元，</w:t>
      </w:r>
      <w:r>
        <w:rPr>
          <w:rFonts w:hint="eastAsia" w:ascii="仿宋_GB2312" w:hAnsi="仿宋_GB2312" w:eastAsia="仿宋_GB2312" w:cs="仿宋_GB2312"/>
          <w:color w:val="000000"/>
          <w:sz w:val="32"/>
          <w:szCs w:val="32"/>
          <w:lang w:val="eu-ES" w:eastAsia="zh-CN"/>
        </w:rPr>
        <w:t>主要是统筹用于弥补</w:t>
      </w:r>
      <w:r>
        <w:rPr>
          <w:rFonts w:hint="eastAsia" w:ascii="仿宋_GB2312" w:hAnsi="仿宋_GB2312" w:eastAsia="仿宋_GB2312" w:cs="仿宋_GB2312"/>
          <w:color w:val="000000"/>
          <w:sz w:val="32"/>
          <w:szCs w:val="32"/>
          <w:lang w:val="eu-ES"/>
        </w:rPr>
        <w:t>一般公共预算</w:t>
      </w:r>
      <w:r>
        <w:rPr>
          <w:rFonts w:hint="eastAsia" w:ascii="仿宋_GB2312" w:hAnsi="仿宋_GB2312" w:eastAsia="仿宋_GB2312" w:cs="仿宋_GB2312"/>
          <w:color w:val="000000"/>
          <w:sz w:val="32"/>
          <w:szCs w:val="32"/>
          <w:lang w:val="eu-ES" w:eastAsia="zh-CN"/>
        </w:rPr>
        <w:t>缺口</w:t>
      </w:r>
      <w:r>
        <w:rPr>
          <w:rFonts w:hint="eastAsia" w:ascii="仿宋_GB2312" w:hAnsi="仿宋_GB2312" w:eastAsia="仿宋_GB2312" w:cs="仿宋_GB2312"/>
          <w:color w:val="000000"/>
          <w:sz w:val="32"/>
          <w:szCs w:val="32"/>
          <w:lang w:val="eu-ES"/>
        </w:rPr>
        <w:t>。</w:t>
      </w:r>
    </w:p>
    <w:p>
      <w:pPr>
        <w:keepNext w:val="0"/>
        <w:keepLines w:val="0"/>
        <w:pageBreakBefore w:val="0"/>
        <w:kinsoku/>
        <w:wordWrap/>
        <w:overflowPunct/>
        <w:topLinePunct w:val="0"/>
        <w:autoSpaceDE/>
        <w:autoSpaceDN/>
        <w:bidi w:val="0"/>
        <w:adjustRightInd/>
        <w:snapToGrid/>
        <w:spacing w:line="580" w:lineRule="exact"/>
        <w:ind w:firstLine="640" w:firstLineChars="200"/>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u-ES" w:eastAsia="zh-CN"/>
        </w:rPr>
        <w:t>国有资本经营预算年终结余</w:t>
      </w:r>
      <w:r>
        <w:rPr>
          <w:rFonts w:hint="eastAsia" w:ascii="仿宋_GB2312" w:hAnsi="仿宋_GB2312" w:eastAsia="仿宋_GB2312" w:cs="仿宋_GB2312"/>
          <w:color w:val="000000"/>
          <w:sz w:val="32"/>
          <w:szCs w:val="32"/>
          <w:lang w:val="en-US" w:eastAsia="zh-CN"/>
        </w:rPr>
        <w:t>37.99万元。</w:t>
      </w:r>
    </w:p>
    <w:p>
      <w:pPr>
        <w:keepNext w:val="0"/>
        <w:keepLines w:val="0"/>
        <w:pageBreakBefore w:val="0"/>
        <w:kinsoku/>
        <w:wordWrap/>
        <w:overflowPunct/>
        <w:topLinePunct w:val="0"/>
        <w:autoSpaceDE/>
        <w:autoSpaceDN/>
        <w:bidi w:val="0"/>
        <w:adjustRightInd/>
        <w:snapToGrid/>
        <w:spacing w:line="580" w:lineRule="exact"/>
        <w:ind w:firstLine="635"/>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上述预算执行数据，预计在市财政局汇审批复后还有一定的变化，届时再向县人大常委会报告审议。</w:t>
      </w:r>
    </w:p>
    <w:p>
      <w:pPr>
        <w:keepNext w:val="0"/>
        <w:keepLines w:val="0"/>
        <w:pageBreakBefore w:val="0"/>
        <w:kinsoku/>
        <w:wordWrap/>
        <w:overflowPunct/>
        <w:topLinePunct w:val="0"/>
        <w:autoSpaceDE/>
        <w:autoSpaceDN/>
        <w:bidi w:val="0"/>
        <w:adjustRightInd/>
        <w:snapToGrid/>
        <w:spacing w:line="580" w:lineRule="exact"/>
        <w:ind w:firstLine="643" w:firstLineChars="200"/>
        <w:rPr>
          <w:rFonts w:hint="eastAsia" w:ascii="黑体" w:hAnsi="黑体" w:eastAsia="黑体" w:cs="黑体"/>
          <w:b/>
          <w:color w:val="000000"/>
          <w:sz w:val="32"/>
          <w:szCs w:val="32"/>
          <w:lang w:val="eu-ES"/>
        </w:rPr>
      </w:pPr>
      <w:r>
        <w:rPr>
          <w:rFonts w:hint="eastAsia" w:ascii="黑体" w:hAnsi="黑体" w:eastAsia="黑体" w:cs="黑体"/>
          <w:b/>
          <w:color w:val="000000"/>
          <w:sz w:val="32"/>
          <w:szCs w:val="32"/>
          <w:lang w:val="eu-ES"/>
        </w:rPr>
        <w:t>二、2021年全县财政工作主要体现以下几个方面</w:t>
      </w:r>
    </w:p>
    <w:p>
      <w:pPr>
        <w:ind w:firstLine="643" w:firstLineChars="200"/>
        <w:rPr>
          <w:rFonts w:hint="eastAsia" w:ascii="仿宋_GB2312" w:hAnsi="仿宋_GB2312" w:eastAsia="仿宋_GB2312" w:cs="仿宋_GB2312"/>
          <w:color w:val="000000"/>
          <w:sz w:val="32"/>
          <w:szCs w:val="32"/>
          <w:lang w:val="eu-ES"/>
        </w:rPr>
      </w:pPr>
      <w:r>
        <w:rPr>
          <w:rFonts w:hint="eastAsia" w:ascii="华文楷体" w:hAnsi="华文楷体" w:eastAsia="华文楷体" w:cs="华文楷体"/>
          <w:b/>
          <w:bCs/>
          <w:color w:val="000000"/>
          <w:sz w:val="32"/>
          <w:szCs w:val="32"/>
          <w:lang w:val="eu-ES"/>
        </w:rPr>
        <w:t>（一）着力组织抓好收入。</w:t>
      </w:r>
      <w:r>
        <w:rPr>
          <w:rFonts w:hint="eastAsia" w:ascii="仿宋_GB2312" w:hAnsi="仿宋_GB2312" w:eastAsia="仿宋_GB2312" w:cs="仿宋_GB2312"/>
          <w:color w:val="000000"/>
          <w:sz w:val="32"/>
          <w:szCs w:val="32"/>
          <w:lang w:val="eu-ES"/>
        </w:rPr>
        <w:t>按照年初确定的目标任务，在克服疫情防控、经济下行、减税降费等多重因素下，多措并举、部门联动，全力做好收入工作。2021年全县财政收入完成23.87亿元，增长18.8%，完成预算的107.5%，税收收入占比为86.4%。全县一般公共预算收入完成12.51亿元，增长3.7%。地方税收收入9.26亿元，占一般公共预算收入比重为74.1%，税比全市第三。</w:t>
      </w:r>
    </w:p>
    <w:p>
      <w:pPr>
        <w:ind w:firstLine="643" w:firstLineChars="200"/>
        <w:rPr>
          <w:rFonts w:hint="eastAsia" w:ascii="仿宋_GB2312" w:hAnsi="仿宋_GB2312" w:eastAsia="仿宋_GB2312" w:cs="仿宋_GB2312"/>
          <w:color w:val="000000"/>
          <w:sz w:val="32"/>
          <w:szCs w:val="32"/>
          <w:lang w:val="eu-ES"/>
        </w:rPr>
      </w:pPr>
      <w:r>
        <w:rPr>
          <w:rFonts w:hint="eastAsia" w:ascii="华文楷体" w:hAnsi="华文楷体" w:eastAsia="华文楷体" w:cs="华文楷体"/>
          <w:b/>
          <w:bCs/>
          <w:color w:val="000000"/>
          <w:sz w:val="32"/>
          <w:szCs w:val="32"/>
          <w:lang w:val="eu-ES"/>
        </w:rPr>
        <w:t>（二）全力兜牢 “三保”支出。</w:t>
      </w:r>
      <w:r>
        <w:rPr>
          <w:rFonts w:hint="eastAsia" w:ascii="仿宋_GB2312" w:hAnsi="仿宋_GB2312" w:eastAsia="仿宋_GB2312" w:cs="仿宋_GB2312"/>
          <w:color w:val="000000"/>
          <w:sz w:val="32"/>
          <w:szCs w:val="32"/>
          <w:lang w:val="eu-ES"/>
        </w:rPr>
        <w:t>牢固树立过“紧日子”思想，进一步调整优化支出结构，压减一般性支出，盘活财政存量资金，统筹财力优先保障“三保”等重点支出。2021年“三保”支出占一般公共预算支出总量的74.8%。一是快速下达中央直达资金，2021年直达资金补助13.26亿元，已支出11.56亿元，支出率87.2%。二是足额保障民生支出需求，2021年发放义务教师乡镇工作补贴1708万元、边远教师补贴1069万元、退休教师一次性补贴3860.89万元，义教教师奖励性补贴4793万元，及时发放困难群众救助、残疾人两项补贴、城乡居民养老保险、机关事业单位养老等各类社保资金9.74亿元，发放企业职工养老保险金8.3亿元，及时拨付疫情防控资金523万元，新冠病毒疫苗和接种费用财政补贴2168.25万元，下达村级转移支付6775.8万元，有力保障各类民生资金支出使用。三是持续改善城乡人居环境，拨付城乡环卫一体化服务经费8589万元，全年安排拨付环境保护专项、污水处理费、城乡垃圾处理等专项5175万元。四是扎实推进巩固拓展脱贫成果，加大县级投入，安排县级衔接补助资金3260万元，增长5.1%；继续开展财政涉农衔接资金整合，2021年整合资金3.6亿元，整合到位率100%，已拨付3.27亿元，拨付率为90.8%。</w:t>
      </w:r>
    </w:p>
    <w:p>
      <w:pPr>
        <w:ind w:firstLine="643" w:firstLineChars="200"/>
        <w:rPr>
          <w:rFonts w:hint="eastAsia" w:ascii="仿宋_GB2312" w:hAnsi="仿宋_GB2312" w:eastAsia="仿宋_GB2312" w:cs="仿宋_GB2312"/>
          <w:color w:val="000000"/>
          <w:sz w:val="32"/>
          <w:szCs w:val="32"/>
          <w:lang w:val="eu-ES" w:eastAsia="zh-CN"/>
        </w:rPr>
      </w:pPr>
      <w:r>
        <w:rPr>
          <w:rFonts w:hint="eastAsia" w:ascii="华文楷体" w:hAnsi="华文楷体" w:eastAsia="华文楷体" w:cs="华文楷体"/>
          <w:b/>
          <w:bCs/>
          <w:color w:val="000000"/>
          <w:sz w:val="32"/>
          <w:szCs w:val="32"/>
          <w:lang w:val="eu-ES"/>
        </w:rPr>
        <w:t>（三）有力助推企业转型发展。</w:t>
      </w:r>
      <w:r>
        <w:rPr>
          <w:rFonts w:hint="eastAsia" w:ascii="仿宋_GB2312" w:hAnsi="仿宋_GB2312" w:eastAsia="仿宋_GB2312" w:cs="仿宋_GB2312"/>
          <w:color w:val="000000"/>
          <w:sz w:val="32"/>
          <w:szCs w:val="32"/>
          <w:lang w:val="eu-ES"/>
        </w:rPr>
        <w:t>积极树立“产业为先、项目为王”理念，努力为企业发展开辟更大空间、提供更多的成长机会。2021年全年拨付产业发展引导专项资金6.07亿元；发放园区企业各类补贴资金10254.43万元，其中汽摩配产业设备补贴3936.48万元，标准厂房补贴6317.95万元，促进企业向“智能化、自动化”转型升级。同时，积极落实“财园信贷通”政策，2021年我县共有70余家企业享受财园信贷通贷款政策，贷款余额共计约2.51亿元</w:t>
      </w:r>
      <w:r>
        <w:rPr>
          <w:rFonts w:hint="eastAsia" w:ascii="仿宋_GB2312" w:hAnsi="仿宋_GB2312" w:eastAsia="仿宋_GB2312" w:cs="仿宋_GB2312"/>
          <w:color w:val="000000"/>
          <w:sz w:val="32"/>
          <w:szCs w:val="32"/>
          <w:lang w:val="eu-ES" w:eastAsia="zh-CN"/>
        </w:rPr>
        <w:t>。</w:t>
      </w:r>
    </w:p>
    <w:p>
      <w:pPr>
        <w:ind w:firstLine="643" w:firstLineChars="200"/>
        <w:rPr>
          <w:rFonts w:hint="eastAsia" w:ascii="仿宋_GB2312" w:hAnsi="仿宋_GB2312" w:eastAsia="仿宋_GB2312" w:cs="仿宋_GB2312"/>
          <w:color w:val="000000"/>
          <w:sz w:val="32"/>
          <w:szCs w:val="32"/>
          <w:lang w:val="eu-ES"/>
        </w:rPr>
      </w:pPr>
      <w:r>
        <w:rPr>
          <w:rFonts w:hint="eastAsia" w:ascii="华文楷体" w:hAnsi="华文楷体" w:eastAsia="华文楷体" w:cs="华文楷体"/>
          <w:b/>
          <w:bCs/>
          <w:color w:val="000000"/>
          <w:sz w:val="32"/>
          <w:szCs w:val="32"/>
          <w:lang w:val="eu-ES"/>
        </w:rPr>
        <w:t>（四）聚力防范债务风险。</w:t>
      </w:r>
      <w:r>
        <w:rPr>
          <w:rFonts w:hint="eastAsia" w:ascii="仿宋_GB2312" w:hAnsi="仿宋_GB2312" w:eastAsia="仿宋_GB2312" w:cs="仿宋_GB2312"/>
          <w:color w:val="000000"/>
          <w:sz w:val="32"/>
          <w:szCs w:val="32"/>
          <w:lang w:val="eu-ES"/>
        </w:rPr>
        <w:t>牢固树立风险意识和底线思维，不断完善债务风险预警和监控机制，切实防范和化解债务风险。一是大力争取债券资金。2021年共完成6批次的专项债券申报发行工作，筹集政府债券资金13.1亿元。二是积极落实债务化解。按照年度化解目标任务，不断完善化解措施，确保隐性债务真实化解，2021年化解隐性债务5.12亿元，化解率为114.5%。同时加快县融资平台公司市场化转型，不断做实做优县融资平台公司。</w:t>
      </w:r>
    </w:p>
    <w:p>
      <w:pPr>
        <w:ind w:firstLine="643" w:firstLineChars="200"/>
        <w:rPr>
          <w:rFonts w:hint="eastAsia" w:ascii="仿宋_GB2312" w:hAnsi="仿宋_GB2312" w:eastAsia="仿宋_GB2312" w:cs="仿宋_GB2312"/>
          <w:color w:val="000000"/>
          <w:sz w:val="32"/>
          <w:szCs w:val="32"/>
          <w:lang w:val="eu-ES"/>
        </w:rPr>
      </w:pPr>
      <w:r>
        <w:rPr>
          <w:rFonts w:hint="eastAsia" w:ascii="华文楷体" w:hAnsi="华文楷体" w:eastAsia="华文楷体" w:cs="华文楷体"/>
          <w:b/>
          <w:bCs/>
          <w:color w:val="000000"/>
          <w:sz w:val="32"/>
          <w:szCs w:val="32"/>
          <w:lang w:val="eu-ES"/>
        </w:rPr>
        <w:t>（五）合力推进财政改革。</w:t>
      </w:r>
      <w:r>
        <w:rPr>
          <w:rFonts w:hint="eastAsia" w:ascii="仿宋_GB2312" w:hAnsi="仿宋_GB2312" w:eastAsia="仿宋_GB2312" w:cs="仿宋_GB2312"/>
          <w:color w:val="000000"/>
          <w:sz w:val="32"/>
          <w:szCs w:val="32"/>
          <w:lang w:val="eu-ES"/>
        </w:rPr>
        <w:t>一是顺利推进预算管理一体化改革，2021年10月份全县所有单位实行预算一体化改革并成功上线运行</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val="eu-ES"/>
        </w:rPr>
        <w:t>二是深化预算管理制度改革，推动零基预算改革，完善四本预算衔接和部门预算全口径编制，全面落实预算绩效管理一体化，实现预算项目全周期管理和全链条追踪</w:t>
      </w:r>
      <w:r>
        <w:rPr>
          <w:rFonts w:hint="eastAsia" w:ascii="仿宋_GB2312" w:hAnsi="仿宋_GB2312" w:eastAsia="仿宋_GB2312" w:cs="仿宋_GB2312"/>
          <w:color w:val="000000"/>
          <w:sz w:val="32"/>
          <w:szCs w:val="32"/>
          <w:lang w:val="eu-ES" w:eastAsia="zh-CN"/>
        </w:rPr>
        <w:t>，同时</w:t>
      </w:r>
      <w:r>
        <w:rPr>
          <w:rFonts w:hint="eastAsia" w:ascii="仿宋_GB2312" w:hAnsi="仿宋_GB2312" w:eastAsia="仿宋_GB2312" w:cs="仿宋_GB2312"/>
          <w:color w:val="000000"/>
          <w:sz w:val="32"/>
          <w:szCs w:val="32"/>
          <w:lang w:val="eu-ES"/>
        </w:rPr>
        <w:t>建立健全财政预决算公开及存量资金定期清理机制。三是加强直达资金管理监控，确保资金直接惠企利民。四是完善县乡财政体制，实现县乡财政“分灶吃饭”，增强乡镇谋划发展的内生动力</w:t>
      </w:r>
      <w:r>
        <w:rPr>
          <w:rFonts w:hint="eastAsia" w:ascii="仿宋_GB2312" w:hAnsi="仿宋_GB2312" w:eastAsia="仿宋_GB2312" w:cs="仿宋_GB2312"/>
          <w:color w:val="000000"/>
          <w:sz w:val="32"/>
          <w:szCs w:val="32"/>
          <w:lang w:val="eu-ES" w:eastAsia="zh-CN"/>
        </w:rPr>
        <w:t>。五</w:t>
      </w:r>
      <w:r>
        <w:rPr>
          <w:rFonts w:hint="eastAsia" w:ascii="仿宋_GB2312" w:hAnsi="仿宋_GB2312" w:eastAsia="仿宋_GB2312" w:cs="仿宋_GB2312"/>
          <w:color w:val="000000"/>
          <w:sz w:val="32"/>
          <w:szCs w:val="32"/>
          <w:lang w:val="eu-ES"/>
        </w:rPr>
        <w:t>是规范财政资金管理，研究制定《关于进一步规范财政资金审批流程（试行）》《余干县政府投资建设项目评审与核查暂行办法》《关于工程项目合同签订有关事项的工作提示》等制度性文件，进一步明确财政资金审批流程、拨付程序、项目评审以及合同签订等有关事项，有效保障财政资金规范安全运行,进一步提升财政资金保障能力</w:t>
      </w:r>
      <w:r>
        <w:rPr>
          <w:rFonts w:hint="eastAsia" w:ascii="仿宋_GB2312" w:hAnsi="仿宋_GB2312" w:eastAsia="仿宋_GB2312" w:cs="仿宋_GB2312"/>
          <w:color w:val="000000"/>
          <w:sz w:val="32"/>
          <w:szCs w:val="32"/>
          <w:lang w:val="eu-ES" w:eastAsia="zh-CN"/>
        </w:rPr>
        <w:t>。六</w:t>
      </w:r>
      <w:r>
        <w:rPr>
          <w:rFonts w:hint="eastAsia" w:ascii="仿宋_GB2312" w:hAnsi="仿宋_GB2312" w:eastAsia="仿宋_GB2312" w:cs="仿宋_GB2312"/>
          <w:color w:val="000000"/>
          <w:sz w:val="32"/>
          <w:szCs w:val="32"/>
          <w:lang w:val="eu-ES"/>
        </w:rPr>
        <w:t>是深化政府采购改革，细化采购预算编制，扩大采购范围，不断提高采购规模；健全政府采购制度，确保政府采购规范廉洁运作。2021年政府采购183次，采购预算28872.4万元，实际采购金额27413.8万元，节约资金1458.6万元，资金节约率5.1%</w:t>
      </w:r>
      <w:r>
        <w:rPr>
          <w:rFonts w:hint="eastAsia" w:ascii="仿宋_GB2312" w:hAnsi="仿宋_GB2312" w:eastAsia="仿宋_GB2312" w:cs="仿宋_GB2312"/>
          <w:color w:val="000000"/>
          <w:sz w:val="32"/>
          <w:szCs w:val="32"/>
          <w:lang w:val="eu-ES" w:eastAsia="zh-CN"/>
        </w:rPr>
        <w:t>。七</w:t>
      </w:r>
      <w:r>
        <w:rPr>
          <w:rFonts w:hint="eastAsia" w:ascii="仿宋_GB2312" w:hAnsi="仿宋_GB2312" w:eastAsia="仿宋_GB2312" w:cs="仿宋_GB2312"/>
          <w:color w:val="000000"/>
          <w:sz w:val="32"/>
          <w:szCs w:val="32"/>
          <w:lang w:val="eu-ES"/>
        </w:rPr>
        <w:t>是强化财政</w:t>
      </w:r>
      <w:r>
        <w:rPr>
          <w:rFonts w:hint="eastAsia" w:ascii="仿宋_GB2312" w:hAnsi="仿宋_GB2312" w:eastAsia="仿宋_GB2312" w:cs="仿宋_GB2312"/>
          <w:color w:val="000000"/>
          <w:sz w:val="32"/>
          <w:szCs w:val="32"/>
          <w:lang w:val="eu-ES"/>
        </w:rPr>
        <w:fldChar w:fldCharType="begin"/>
      </w:r>
      <w:r>
        <w:rPr>
          <w:rFonts w:hint="eastAsia" w:ascii="仿宋_GB2312" w:hAnsi="仿宋_GB2312" w:eastAsia="仿宋_GB2312" w:cs="仿宋_GB2312"/>
          <w:color w:val="000000"/>
          <w:sz w:val="32"/>
          <w:szCs w:val="32"/>
          <w:lang w:val="eu-ES"/>
        </w:rPr>
        <w:instrText xml:space="preserve"> HYPERLINK "http://tzlw.xchen.com.cn/" </w:instrText>
      </w:r>
      <w:r>
        <w:rPr>
          <w:rFonts w:hint="eastAsia" w:ascii="仿宋_GB2312" w:hAnsi="仿宋_GB2312" w:eastAsia="仿宋_GB2312" w:cs="仿宋_GB2312"/>
          <w:color w:val="000000"/>
          <w:sz w:val="32"/>
          <w:szCs w:val="32"/>
          <w:lang w:val="eu-ES"/>
        </w:rPr>
        <w:fldChar w:fldCharType="separate"/>
      </w:r>
      <w:r>
        <w:rPr>
          <w:rFonts w:hint="eastAsia" w:ascii="仿宋_GB2312" w:hAnsi="仿宋_GB2312" w:eastAsia="仿宋_GB2312" w:cs="仿宋_GB2312"/>
          <w:color w:val="000000"/>
          <w:sz w:val="32"/>
          <w:szCs w:val="32"/>
          <w:lang w:val="eu-ES"/>
        </w:rPr>
        <w:t>投资</w:t>
      </w:r>
      <w:r>
        <w:rPr>
          <w:rFonts w:hint="eastAsia" w:ascii="仿宋_GB2312" w:hAnsi="仿宋_GB2312" w:eastAsia="仿宋_GB2312" w:cs="仿宋_GB2312"/>
          <w:color w:val="000000"/>
          <w:sz w:val="32"/>
          <w:szCs w:val="32"/>
          <w:lang w:val="eu-ES"/>
        </w:rPr>
        <w:fldChar w:fldCharType="end"/>
      </w:r>
      <w:r>
        <w:rPr>
          <w:rFonts w:hint="eastAsia" w:ascii="仿宋_GB2312" w:hAnsi="仿宋_GB2312" w:eastAsia="仿宋_GB2312" w:cs="仿宋_GB2312"/>
          <w:color w:val="000000"/>
          <w:sz w:val="32"/>
          <w:szCs w:val="32"/>
          <w:lang w:val="eu-ES"/>
        </w:rPr>
        <w:t>评审。按照“不唯增、不唯减、只唯实”的评审理念，依法依规进行评审。2021年财政投资送审金额308399.6万元，审定金额293551.3万元，审减金额14848.3万元，审减率8.2%。</w:t>
      </w:r>
      <w:r>
        <w:rPr>
          <w:rFonts w:hint="eastAsia" w:ascii="仿宋_GB2312" w:hAnsi="仿宋_GB2312" w:eastAsia="仿宋_GB2312" w:cs="仿宋_GB2312"/>
          <w:color w:val="000000"/>
          <w:sz w:val="32"/>
          <w:szCs w:val="32"/>
          <w:lang w:val="eu-ES" w:eastAsia="zh-CN"/>
        </w:rPr>
        <w:t>八</w:t>
      </w:r>
      <w:r>
        <w:rPr>
          <w:rFonts w:hint="eastAsia" w:ascii="仿宋_GB2312" w:hAnsi="仿宋_GB2312" w:eastAsia="仿宋_GB2312" w:cs="仿宋_GB2312"/>
          <w:color w:val="000000"/>
          <w:sz w:val="32"/>
          <w:szCs w:val="32"/>
          <w:lang w:val="eu-ES"/>
        </w:rPr>
        <w:t>是严肃财经纪律，自觉接受人大和社会各界监督，积极配合人大预算联网监督平台监督，持续落实审计反馈问题整改，提高财政预算管理水平。</w:t>
      </w:r>
    </w:p>
    <w:p>
      <w:pPr>
        <w:ind w:firstLine="640" w:firstLineChars="200"/>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2021年全县财政运行总体平稳，财政改革发展有序推进，这是县委县政府科学决策、坚强领导的结果，是县人大依法监督、大力支持的结果，是县政协民主监督、积极帮助的结果，也是全县上下共同努力的结果。在肯定成绩的同时，也清醒地认识到，当前财政面临的困难和挑战依然较多，主要是：财政持续增收能力还不强</w:t>
      </w:r>
      <w:r>
        <w:rPr>
          <w:rFonts w:hint="eastAsia" w:ascii="仿宋_GB2312" w:hAnsi="仿宋_GB2312" w:eastAsia="仿宋_GB2312" w:cs="仿宋_GB2312"/>
          <w:color w:val="000000"/>
          <w:sz w:val="32"/>
          <w:szCs w:val="32"/>
          <w:lang w:val="eu-ES" w:eastAsia="zh-CN"/>
        </w:rPr>
        <w:t>、</w:t>
      </w:r>
      <w:r>
        <w:rPr>
          <w:rFonts w:hint="eastAsia" w:ascii="仿宋_GB2312" w:hAnsi="仿宋_GB2312" w:eastAsia="仿宋_GB2312" w:cs="仿宋_GB2312"/>
          <w:color w:val="000000"/>
          <w:sz w:val="32"/>
          <w:szCs w:val="32"/>
          <w:lang w:val="eu-ES"/>
        </w:rPr>
        <w:t>支出压力持续有增不减</w:t>
      </w:r>
      <w:r>
        <w:rPr>
          <w:rFonts w:hint="eastAsia" w:ascii="仿宋_GB2312" w:hAnsi="仿宋_GB2312" w:eastAsia="仿宋_GB2312" w:cs="仿宋_GB2312"/>
          <w:color w:val="000000"/>
          <w:sz w:val="32"/>
          <w:szCs w:val="32"/>
          <w:lang w:val="eu-ES" w:eastAsia="zh-CN"/>
        </w:rPr>
        <w:t>、</w:t>
      </w:r>
      <w:r>
        <w:rPr>
          <w:rFonts w:hint="eastAsia" w:ascii="仿宋_GB2312" w:hAnsi="仿宋_GB2312" w:eastAsia="仿宋_GB2312" w:cs="仿宋_GB2312"/>
          <w:color w:val="000000"/>
          <w:sz w:val="32"/>
          <w:szCs w:val="32"/>
          <w:lang w:val="eu-ES"/>
        </w:rPr>
        <w:t>兜牢 “三保”底线及偿债压力仍然较大，财政收支紧平衡成为常态；直达资金支付进度还需进一步加快；部分项目资金支出绩效还有待提高等等，将在今后改革发展过程中加以解决。</w:t>
      </w:r>
    </w:p>
    <w:p>
      <w:pPr>
        <w:keepNext w:val="0"/>
        <w:keepLines w:val="0"/>
        <w:pageBreakBefore w:val="0"/>
        <w:kinsoku/>
        <w:wordWrap/>
        <w:overflowPunct/>
        <w:topLinePunct w:val="0"/>
        <w:autoSpaceDE/>
        <w:autoSpaceDN/>
        <w:bidi w:val="0"/>
        <w:adjustRightInd/>
        <w:snapToGrid/>
        <w:spacing w:line="580" w:lineRule="exact"/>
        <w:ind w:firstLine="630" w:firstLineChars="196"/>
        <w:textAlignment w:val="baseline"/>
        <w:rPr>
          <w:rFonts w:hint="eastAsia" w:ascii="黑体" w:hAnsi="黑体" w:eastAsia="黑体" w:cs="黑体"/>
          <w:b/>
          <w:color w:val="000000"/>
          <w:sz w:val="32"/>
          <w:szCs w:val="32"/>
          <w:lang w:val="eu-ES"/>
        </w:rPr>
      </w:pPr>
      <w:r>
        <w:rPr>
          <w:rFonts w:hint="eastAsia" w:ascii="黑体" w:hAnsi="黑体" w:eastAsia="黑体" w:cs="黑体"/>
          <w:b/>
          <w:color w:val="000000"/>
          <w:sz w:val="32"/>
          <w:szCs w:val="32"/>
          <w:lang w:val="eu-ES"/>
        </w:rPr>
        <w:t>三、2022年县级预算草案</w:t>
      </w:r>
    </w:p>
    <w:p>
      <w:pPr>
        <w:adjustRightInd w:val="0"/>
        <w:snapToGrid w:val="0"/>
        <w:spacing w:line="560" w:lineRule="exact"/>
        <w:ind w:firstLine="645"/>
        <w:rPr>
          <w:rFonts w:hint="eastAsia" w:ascii="黑体" w:hAnsi="黑体" w:eastAsia="黑体" w:cs="黑体"/>
          <w:b/>
          <w:bCs/>
          <w:color w:val="000000"/>
          <w:kern w:val="0"/>
          <w:sz w:val="32"/>
          <w:szCs w:val="32"/>
          <w:lang w:val="eu-ES" w:eastAsia="zh-CN" w:bidi="ar-SA"/>
        </w:rPr>
      </w:pPr>
      <w:r>
        <w:rPr>
          <w:rFonts w:hint="eastAsia" w:ascii="仿宋_GB2312" w:hAnsi="仿宋_GB2312" w:eastAsia="仿宋_GB2312" w:cs="仿宋_GB2312"/>
          <w:color w:val="000000"/>
          <w:kern w:val="0"/>
          <w:sz w:val="32"/>
          <w:szCs w:val="32"/>
          <w:lang w:val="eu-ES" w:eastAsia="zh-CN" w:bidi="ar-SA"/>
        </w:rPr>
        <w:t>2022年全县财政工作总体要求</w:t>
      </w:r>
      <w:r>
        <w:rPr>
          <w:rFonts w:hint="eastAsia" w:ascii="黑体" w:hAnsi="黑体" w:eastAsia="黑体" w:cs="黑体"/>
          <w:b/>
          <w:bCs/>
          <w:color w:val="000000"/>
          <w:kern w:val="0"/>
          <w:sz w:val="32"/>
          <w:szCs w:val="32"/>
          <w:lang w:val="eu-ES" w:eastAsia="zh-CN" w:bidi="ar-SA"/>
        </w:rPr>
        <w:t>：坚持以习近平新时代中国特色社会主义思想为指导，全面贯彻党的十九大和十九届历次全会以及中央、省市经济工作会议精神，深入学习贯彻习近平总书记视察江西重要讲话精神，围绕中央、省、市和县委、县政府的决策部署，牢牢把握“稳住、进好、调优”的原则要求，紧扣“高质量建设开明开放、美丽幸福现代化余干”发展目标，坚持稳中求进工作总基调，全面贯彻新发展理念，加快构建新发展格局，推动高质量发展。坚持以供给侧结构性改革为主线，统筹疫情防控和经济社会发展，继续做好“六稳”“六保”工作，持续改善民生。落实好新的减税降费政策，减轻市场主体负担；加强财政资源统筹，保证支出强度，优化支出重点和结构，坚持党政机构过紧日子，强化预算约束和绩效管理，提高财政支出的精准性有效性；进一步深化预算管理制度改革，防范化解地方政府债务风险，坚决遏制新增政府隐性债务，坚定不移推进高质量跨越式发展，为高质量建设开明开放、美丽幸福现代化余干提供坚实的财政保障，以优异的成绩迎接党的二十大胜利召开。</w:t>
      </w:r>
    </w:p>
    <w:p>
      <w:pPr>
        <w:rPr>
          <w:rFonts w:hint="eastAsia" w:ascii="仿宋_GB2312" w:hAnsi="仿宋_GB2312" w:eastAsia="仿宋_GB2312" w:cs="仿宋_GB2312"/>
          <w:b/>
          <w:bCs/>
          <w:color w:val="000000"/>
          <w:kern w:val="0"/>
          <w:sz w:val="32"/>
          <w:szCs w:val="32"/>
          <w:lang w:val="eu-ES" w:eastAsia="zh-CN" w:bidi="ar-SA"/>
        </w:rPr>
      </w:pPr>
      <w:r>
        <w:rPr>
          <w:rFonts w:ascii="仿宋_GB2312"/>
          <w:sz w:val="30"/>
          <w:szCs w:val="32"/>
        </w:rPr>
        <w:t xml:space="preserve"> </w:t>
      </w:r>
      <w:r>
        <w:rPr>
          <w:rFonts w:hint="eastAsia" w:ascii="仿宋_GB2312" w:hAnsi="仿宋_GB2312" w:eastAsia="仿宋_GB2312" w:cs="仿宋_GB2312"/>
          <w:color w:val="000000"/>
          <w:kern w:val="0"/>
          <w:sz w:val="32"/>
          <w:szCs w:val="32"/>
          <w:lang w:val="eu-ES" w:eastAsia="zh-CN" w:bidi="ar-SA"/>
        </w:rPr>
        <w:t xml:space="preserve">  </w:t>
      </w:r>
      <w:r>
        <w:rPr>
          <w:rFonts w:hint="eastAsia" w:ascii="仿宋_GB2312" w:hAnsi="仿宋_GB2312" w:eastAsia="仿宋_GB2312" w:cs="仿宋_GB2312"/>
          <w:color w:val="000000"/>
          <w:kern w:val="0"/>
          <w:sz w:val="32"/>
          <w:szCs w:val="32"/>
          <w:lang w:val="en-US" w:eastAsia="zh-CN" w:bidi="ar-SA"/>
        </w:rPr>
        <w:t xml:space="preserve"> </w:t>
      </w:r>
      <w:r>
        <w:rPr>
          <w:rFonts w:hint="eastAsia" w:ascii="仿宋_GB2312" w:hAnsi="仿宋_GB2312" w:eastAsia="仿宋_GB2312" w:cs="仿宋_GB2312"/>
          <w:color w:val="000000"/>
          <w:kern w:val="0"/>
          <w:sz w:val="32"/>
          <w:szCs w:val="32"/>
          <w:lang w:val="eu-ES" w:eastAsia="zh-CN" w:bidi="ar-SA"/>
        </w:rPr>
        <w:t>2022年预算安排的主要原则</w:t>
      </w:r>
      <w:r>
        <w:rPr>
          <w:rFonts w:hint="eastAsia" w:ascii="黑体" w:hAnsi="黑体" w:eastAsia="黑体" w:cs="黑体"/>
          <w:b/>
          <w:bCs/>
          <w:color w:val="000000"/>
          <w:kern w:val="0"/>
          <w:sz w:val="32"/>
          <w:szCs w:val="32"/>
          <w:lang w:val="eu-ES" w:eastAsia="zh-CN" w:bidi="ar-SA"/>
        </w:rPr>
        <w:t>：一是依法依规组织收入；二是优化财政支出结构；三是全面实施绩效管理。</w:t>
      </w:r>
    </w:p>
    <w:p>
      <w:pPr>
        <w:keepNext w:val="0"/>
        <w:keepLines w:val="0"/>
        <w:pageBreakBefore w:val="0"/>
        <w:widowControl/>
        <w:kinsoku/>
        <w:wordWrap/>
        <w:overflowPunct/>
        <w:topLinePunct w:val="0"/>
        <w:autoSpaceDE/>
        <w:autoSpaceDN/>
        <w:bidi w:val="0"/>
        <w:adjustRightInd/>
        <w:snapToGrid/>
        <w:spacing w:line="580" w:lineRule="exact"/>
        <w:ind w:firstLine="636" w:firstLineChars="198"/>
        <w:rPr>
          <w:rFonts w:hint="eastAsia" w:ascii="华文楷体" w:hAnsi="华文楷体" w:eastAsia="华文楷体" w:cs="华文楷体"/>
          <w:b/>
          <w:color w:val="000000"/>
          <w:sz w:val="32"/>
          <w:szCs w:val="32"/>
          <w:lang w:val="eu-ES"/>
        </w:rPr>
      </w:pPr>
      <w:r>
        <w:rPr>
          <w:rFonts w:hint="eastAsia" w:ascii="华文楷体" w:hAnsi="华文楷体" w:eastAsia="华文楷体" w:cs="华文楷体"/>
          <w:b/>
          <w:color w:val="000000"/>
          <w:sz w:val="32"/>
          <w:szCs w:val="32"/>
          <w:lang w:val="eu-ES"/>
        </w:rPr>
        <w:t>（一）一般公共预算收支安排情况</w:t>
      </w:r>
    </w:p>
    <w:p>
      <w:pPr>
        <w:keepNext w:val="0"/>
        <w:keepLines w:val="0"/>
        <w:pageBreakBefore w:val="0"/>
        <w:widowControl/>
        <w:kinsoku/>
        <w:wordWrap/>
        <w:overflowPunct/>
        <w:topLinePunct w:val="0"/>
        <w:autoSpaceDE/>
        <w:autoSpaceDN/>
        <w:bidi w:val="0"/>
        <w:adjustRightInd/>
        <w:snapToGrid/>
        <w:spacing w:line="580" w:lineRule="exact"/>
        <w:ind w:firstLine="633" w:firstLineChars="198"/>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2022年财政总收入安排25.41亿元，比2021年执行数增加1.54亿元，增长6.4%。</w:t>
      </w:r>
    </w:p>
    <w:p>
      <w:pPr>
        <w:keepNext w:val="0"/>
        <w:keepLines w:val="0"/>
        <w:pageBreakBefore w:val="0"/>
        <w:widowControl/>
        <w:kinsoku/>
        <w:wordWrap/>
        <w:overflowPunct/>
        <w:topLinePunct w:val="0"/>
        <w:autoSpaceDE/>
        <w:autoSpaceDN/>
        <w:bidi w:val="0"/>
        <w:adjustRightInd/>
        <w:snapToGrid/>
        <w:spacing w:line="580" w:lineRule="exact"/>
        <w:ind w:firstLine="633" w:firstLineChars="198"/>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一般公共预算收入安排133310万元，比2021年执行数增长6.5%。主要收入项目安排情况：税收收入105200万元，其中增值税52810万元，企业所得税7616万元，个人所得税1148万元，城市维护建设税10200万元，资源税2500万元，房产税2200万元，城镇土地使用税2600万元，土地增值税4900万元，耕地占用税4500万元，契税12500万元，其他各项税收收入4226万元；非税收入28110万元，其中罚没收入5500万元，行政性收费收入5000万元，专项收入6200万元，国有资源（资产）有偿使用收入9110万元，其他各非税收入2300万元。</w:t>
      </w:r>
    </w:p>
    <w:p>
      <w:pPr>
        <w:keepNext w:val="0"/>
        <w:keepLines w:val="0"/>
        <w:pageBreakBefore w:val="0"/>
        <w:widowControl/>
        <w:kinsoku/>
        <w:wordWrap/>
        <w:overflowPunct/>
        <w:topLinePunct w:val="0"/>
        <w:autoSpaceDE/>
        <w:autoSpaceDN/>
        <w:bidi w:val="0"/>
        <w:adjustRightInd/>
        <w:snapToGrid/>
        <w:spacing w:line="580" w:lineRule="exact"/>
        <w:ind w:firstLine="633" w:firstLineChars="198"/>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一般公共预算收入，加上转移性收入、调入资金，</w:t>
      </w:r>
      <w:r>
        <w:rPr>
          <w:rFonts w:hint="eastAsia" w:ascii="仿宋_GB2312" w:hAnsi="仿宋_GB2312" w:eastAsia="仿宋_GB2312" w:cs="仿宋_GB2312"/>
          <w:color w:val="000000"/>
          <w:sz w:val="32"/>
          <w:szCs w:val="32"/>
          <w:lang w:val="eu-ES" w:eastAsia="zh-CN"/>
        </w:rPr>
        <w:t>减去</w:t>
      </w:r>
      <w:r>
        <w:rPr>
          <w:rFonts w:hint="eastAsia" w:ascii="仿宋_GB2312" w:hAnsi="仿宋_GB2312" w:eastAsia="仿宋_GB2312" w:cs="仿宋_GB2312"/>
          <w:color w:val="000000"/>
          <w:sz w:val="32"/>
          <w:szCs w:val="32"/>
          <w:lang w:val="eu-ES"/>
        </w:rPr>
        <w:t>转移性支出，当年可用财力</w:t>
      </w:r>
      <w:r>
        <w:rPr>
          <w:rFonts w:hint="eastAsia" w:ascii="仿宋_GB2312" w:hAnsi="仿宋_GB2312" w:eastAsia="仿宋_GB2312" w:cs="仿宋_GB2312"/>
          <w:color w:val="000000"/>
          <w:sz w:val="32"/>
          <w:szCs w:val="32"/>
          <w:lang w:val="en-US" w:eastAsia="zh-CN"/>
        </w:rPr>
        <w:t>670942</w:t>
      </w:r>
      <w:r>
        <w:rPr>
          <w:rFonts w:hint="eastAsia" w:ascii="仿宋_GB2312" w:hAnsi="仿宋_GB2312" w:eastAsia="仿宋_GB2312" w:cs="仿宋_GB2312"/>
          <w:color w:val="000000"/>
          <w:sz w:val="32"/>
          <w:szCs w:val="32"/>
          <w:lang w:val="eu-ES"/>
        </w:rPr>
        <w:t>万元。</w:t>
      </w:r>
    </w:p>
    <w:p>
      <w:pPr>
        <w:keepNext w:val="0"/>
        <w:keepLines w:val="0"/>
        <w:pageBreakBefore w:val="0"/>
        <w:widowControl/>
        <w:kinsoku/>
        <w:wordWrap/>
        <w:overflowPunct/>
        <w:topLinePunct w:val="0"/>
        <w:autoSpaceDE/>
        <w:autoSpaceDN/>
        <w:bidi w:val="0"/>
        <w:adjustRightInd/>
        <w:snapToGrid/>
        <w:spacing w:line="580" w:lineRule="exact"/>
        <w:ind w:firstLine="633" w:firstLineChars="198"/>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一般公共预算支出安排</w:t>
      </w:r>
      <w:r>
        <w:rPr>
          <w:rFonts w:hint="eastAsia" w:ascii="仿宋_GB2312" w:hAnsi="仿宋_GB2312" w:eastAsia="仿宋_GB2312" w:cs="仿宋_GB2312"/>
          <w:color w:val="000000"/>
          <w:sz w:val="32"/>
          <w:szCs w:val="32"/>
          <w:lang w:val="en-US" w:eastAsia="zh-CN"/>
        </w:rPr>
        <w:t>670942</w:t>
      </w:r>
      <w:r>
        <w:rPr>
          <w:rFonts w:hint="eastAsia" w:ascii="仿宋_GB2312" w:hAnsi="仿宋_GB2312" w:eastAsia="仿宋_GB2312" w:cs="仿宋_GB2312"/>
          <w:color w:val="000000"/>
          <w:sz w:val="32"/>
          <w:szCs w:val="32"/>
          <w:lang w:val="eu-ES"/>
        </w:rPr>
        <w:t>万元（含上级提前下达的转移支付补助），收支平衡。支出主要项目安排情况：一般公共服务支出</w:t>
      </w:r>
      <w:r>
        <w:rPr>
          <w:rFonts w:hint="eastAsia" w:ascii="仿宋_GB2312" w:hAnsi="仿宋_GB2312" w:eastAsia="仿宋_GB2312" w:cs="仿宋_GB2312"/>
          <w:color w:val="000000"/>
          <w:sz w:val="32"/>
          <w:szCs w:val="32"/>
          <w:lang w:val="en-US" w:eastAsia="zh-CN"/>
        </w:rPr>
        <w:t>63709</w:t>
      </w:r>
      <w:r>
        <w:rPr>
          <w:rFonts w:hint="eastAsia" w:ascii="仿宋_GB2312" w:hAnsi="仿宋_GB2312" w:eastAsia="仿宋_GB2312" w:cs="仿宋_GB2312"/>
          <w:color w:val="000000"/>
          <w:sz w:val="32"/>
          <w:szCs w:val="32"/>
          <w:lang w:val="eu-ES"/>
        </w:rPr>
        <w:t>万元，公共安全支出</w:t>
      </w:r>
      <w:r>
        <w:rPr>
          <w:rFonts w:hint="eastAsia" w:ascii="仿宋_GB2312" w:hAnsi="仿宋_GB2312" w:eastAsia="仿宋_GB2312" w:cs="仿宋_GB2312"/>
          <w:color w:val="000000"/>
          <w:sz w:val="32"/>
          <w:szCs w:val="32"/>
          <w:lang w:val="en-US" w:eastAsia="zh-CN"/>
        </w:rPr>
        <w:t>20971</w:t>
      </w:r>
      <w:r>
        <w:rPr>
          <w:rFonts w:hint="eastAsia" w:ascii="仿宋_GB2312" w:hAnsi="仿宋_GB2312" w:eastAsia="仿宋_GB2312" w:cs="仿宋_GB2312"/>
          <w:color w:val="000000"/>
          <w:sz w:val="32"/>
          <w:szCs w:val="32"/>
          <w:lang w:val="eu-ES"/>
        </w:rPr>
        <w:t>万元，教育支出</w:t>
      </w:r>
      <w:r>
        <w:rPr>
          <w:rFonts w:hint="eastAsia" w:ascii="仿宋_GB2312" w:hAnsi="仿宋_GB2312" w:eastAsia="仿宋_GB2312" w:cs="仿宋_GB2312"/>
          <w:color w:val="000000"/>
          <w:sz w:val="32"/>
          <w:szCs w:val="32"/>
          <w:lang w:val="en-US" w:eastAsia="zh-CN"/>
        </w:rPr>
        <w:t>167501</w:t>
      </w:r>
      <w:r>
        <w:rPr>
          <w:rFonts w:hint="eastAsia" w:ascii="仿宋_GB2312" w:hAnsi="仿宋_GB2312" w:eastAsia="仿宋_GB2312" w:cs="仿宋_GB2312"/>
          <w:color w:val="000000"/>
          <w:sz w:val="32"/>
          <w:szCs w:val="32"/>
          <w:lang w:val="eu-ES"/>
        </w:rPr>
        <w:t>万元，科学技术支出</w:t>
      </w:r>
      <w:r>
        <w:rPr>
          <w:rFonts w:hint="eastAsia" w:ascii="仿宋_GB2312" w:hAnsi="仿宋_GB2312" w:eastAsia="仿宋_GB2312" w:cs="仿宋_GB2312"/>
          <w:color w:val="000000"/>
          <w:sz w:val="32"/>
          <w:szCs w:val="32"/>
          <w:lang w:val="en-US" w:eastAsia="zh-CN"/>
        </w:rPr>
        <w:t>7605</w:t>
      </w:r>
      <w:r>
        <w:rPr>
          <w:rFonts w:hint="eastAsia" w:ascii="仿宋_GB2312" w:hAnsi="仿宋_GB2312" w:eastAsia="仿宋_GB2312" w:cs="仿宋_GB2312"/>
          <w:color w:val="000000"/>
          <w:sz w:val="32"/>
          <w:szCs w:val="32"/>
          <w:lang w:val="eu-ES"/>
        </w:rPr>
        <w:t>万元，文化旅游体育与传媒支出</w:t>
      </w:r>
      <w:r>
        <w:rPr>
          <w:rFonts w:hint="eastAsia" w:ascii="仿宋_GB2312" w:hAnsi="仿宋_GB2312" w:eastAsia="仿宋_GB2312" w:cs="仿宋_GB2312"/>
          <w:color w:val="000000"/>
          <w:sz w:val="32"/>
          <w:szCs w:val="32"/>
          <w:lang w:val="en-US" w:eastAsia="zh-CN"/>
        </w:rPr>
        <w:t>3137</w:t>
      </w:r>
      <w:r>
        <w:rPr>
          <w:rFonts w:hint="eastAsia" w:ascii="仿宋_GB2312" w:hAnsi="仿宋_GB2312" w:eastAsia="仿宋_GB2312" w:cs="仿宋_GB2312"/>
          <w:color w:val="000000"/>
          <w:sz w:val="32"/>
          <w:szCs w:val="32"/>
          <w:lang w:val="eu-ES"/>
        </w:rPr>
        <w:t>万元，社会保障和就业支出</w:t>
      </w:r>
      <w:r>
        <w:rPr>
          <w:rFonts w:hint="eastAsia" w:ascii="仿宋_GB2312" w:hAnsi="仿宋_GB2312" w:eastAsia="仿宋_GB2312" w:cs="仿宋_GB2312"/>
          <w:color w:val="000000"/>
          <w:sz w:val="32"/>
          <w:szCs w:val="32"/>
          <w:lang w:val="en-US" w:eastAsia="zh-CN"/>
        </w:rPr>
        <w:t>101555</w:t>
      </w:r>
      <w:r>
        <w:rPr>
          <w:rFonts w:hint="eastAsia" w:ascii="仿宋_GB2312" w:hAnsi="仿宋_GB2312" w:eastAsia="仿宋_GB2312" w:cs="仿宋_GB2312"/>
          <w:color w:val="000000"/>
          <w:sz w:val="32"/>
          <w:szCs w:val="32"/>
          <w:lang w:val="eu-ES"/>
        </w:rPr>
        <w:t>万元，卫生健康支出</w:t>
      </w:r>
      <w:r>
        <w:rPr>
          <w:rFonts w:hint="eastAsia" w:ascii="仿宋_GB2312" w:hAnsi="仿宋_GB2312" w:eastAsia="仿宋_GB2312" w:cs="仿宋_GB2312"/>
          <w:color w:val="000000"/>
          <w:sz w:val="32"/>
          <w:szCs w:val="32"/>
          <w:lang w:val="en-US" w:eastAsia="zh-CN"/>
        </w:rPr>
        <w:t>47758</w:t>
      </w:r>
      <w:r>
        <w:rPr>
          <w:rFonts w:hint="eastAsia" w:ascii="仿宋_GB2312" w:hAnsi="仿宋_GB2312" w:eastAsia="仿宋_GB2312" w:cs="仿宋_GB2312"/>
          <w:color w:val="000000"/>
          <w:sz w:val="32"/>
          <w:szCs w:val="32"/>
          <w:lang w:val="eu-ES"/>
        </w:rPr>
        <w:t>万元，节能环保支出</w:t>
      </w:r>
      <w:r>
        <w:rPr>
          <w:rFonts w:hint="eastAsia" w:ascii="仿宋_GB2312" w:hAnsi="仿宋_GB2312" w:eastAsia="仿宋_GB2312" w:cs="仿宋_GB2312"/>
          <w:color w:val="000000"/>
          <w:sz w:val="32"/>
          <w:szCs w:val="32"/>
          <w:lang w:val="en-US" w:eastAsia="zh-CN"/>
        </w:rPr>
        <w:t>20276</w:t>
      </w:r>
      <w:r>
        <w:rPr>
          <w:rFonts w:hint="eastAsia" w:ascii="仿宋_GB2312" w:hAnsi="仿宋_GB2312" w:eastAsia="仿宋_GB2312" w:cs="仿宋_GB2312"/>
          <w:color w:val="000000"/>
          <w:sz w:val="32"/>
          <w:szCs w:val="32"/>
          <w:lang w:val="eu-ES"/>
        </w:rPr>
        <w:t>万元，城乡社区支出</w:t>
      </w:r>
      <w:r>
        <w:rPr>
          <w:rFonts w:hint="eastAsia" w:ascii="仿宋_GB2312" w:hAnsi="仿宋_GB2312" w:eastAsia="仿宋_GB2312" w:cs="仿宋_GB2312"/>
          <w:color w:val="000000"/>
          <w:sz w:val="32"/>
          <w:szCs w:val="32"/>
          <w:lang w:val="en-US" w:eastAsia="zh-CN"/>
        </w:rPr>
        <w:t>35042</w:t>
      </w:r>
      <w:r>
        <w:rPr>
          <w:rFonts w:hint="eastAsia" w:ascii="仿宋_GB2312" w:hAnsi="仿宋_GB2312" w:eastAsia="仿宋_GB2312" w:cs="仿宋_GB2312"/>
          <w:color w:val="000000"/>
          <w:sz w:val="32"/>
          <w:szCs w:val="32"/>
          <w:lang w:val="eu-ES"/>
        </w:rPr>
        <w:t>万元，农林水支出</w:t>
      </w:r>
      <w:r>
        <w:rPr>
          <w:rFonts w:hint="eastAsia" w:ascii="仿宋_GB2312" w:hAnsi="仿宋_GB2312" w:eastAsia="仿宋_GB2312" w:cs="仿宋_GB2312"/>
          <w:color w:val="000000"/>
          <w:sz w:val="32"/>
          <w:szCs w:val="32"/>
          <w:lang w:val="en-US" w:eastAsia="zh-CN"/>
        </w:rPr>
        <w:t>117934</w:t>
      </w:r>
      <w:r>
        <w:rPr>
          <w:rFonts w:hint="eastAsia" w:ascii="仿宋_GB2312" w:hAnsi="仿宋_GB2312" w:eastAsia="仿宋_GB2312" w:cs="仿宋_GB2312"/>
          <w:color w:val="000000"/>
          <w:sz w:val="32"/>
          <w:szCs w:val="32"/>
          <w:lang w:val="eu-ES"/>
        </w:rPr>
        <w:t>万元，交通运输支出</w:t>
      </w:r>
      <w:r>
        <w:rPr>
          <w:rFonts w:hint="eastAsia" w:ascii="仿宋_GB2312" w:hAnsi="仿宋_GB2312" w:eastAsia="仿宋_GB2312" w:cs="仿宋_GB2312"/>
          <w:color w:val="000000"/>
          <w:sz w:val="32"/>
          <w:szCs w:val="32"/>
          <w:lang w:val="en-US" w:eastAsia="zh-CN"/>
        </w:rPr>
        <w:t>3147</w:t>
      </w:r>
      <w:r>
        <w:rPr>
          <w:rFonts w:hint="eastAsia" w:ascii="仿宋_GB2312" w:hAnsi="仿宋_GB2312" w:eastAsia="仿宋_GB2312" w:cs="仿宋_GB2312"/>
          <w:color w:val="000000"/>
          <w:sz w:val="32"/>
          <w:szCs w:val="32"/>
          <w:lang w:val="eu-ES"/>
        </w:rPr>
        <w:t>万元，资源勘探信息等支出</w:t>
      </w:r>
      <w:r>
        <w:rPr>
          <w:rFonts w:hint="eastAsia" w:ascii="仿宋_GB2312" w:hAnsi="仿宋_GB2312" w:eastAsia="仿宋_GB2312" w:cs="仿宋_GB2312"/>
          <w:color w:val="000000"/>
          <w:sz w:val="32"/>
          <w:szCs w:val="32"/>
          <w:lang w:val="en-US" w:eastAsia="zh-CN"/>
        </w:rPr>
        <w:t>40923</w:t>
      </w:r>
      <w:r>
        <w:rPr>
          <w:rFonts w:hint="eastAsia" w:ascii="仿宋_GB2312" w:hAnsi="仿宋_GB2312" w:eastAsia="仿宋_GB2312" w:cs="仿宋_GB2312"/>
          <w:color w:val="000000"/>
          <w:sz w:val="32"/>
          <w:szCs w:val="32"/>
          <w:lang w:val="eu-ES"/>
        </w:rPr>
        <w:t>万元，商业服务业等支出</w:t>
      </w:r>
      <w:r>
        <w:rPr>
          <w:rFonts w:hint="eastAsia" w:ascii="仿宋_GB2312" w:hAnsi="仿宋_GB2312" w:eastAsia="仿宋_GB2312" w:cs="仿宋_GB2312"/>
          <w:color w:val="000000"/>
          <w:sz w:val="32"/>
          <w:szCs w:val="32"/>
          <w:lang w:val="en-US" w:eastAsia="zh-CN"/>
        </w:rPr>
        <w:t>48</w:t>
      </w:r>
      <w:r>
        <w:rPr>
          <w:rFonts w:hint="eastAsia" w:ascii="仿宋_GB2312" w:hAnsi="仿宋_GB2312" w:eastAsia="仿宋_GB2312" w:cs="仿宋_GB2312"/>
          <w:color w:val="000000"/>
          <w:sz w:val="32"/>
          <w:szCs w:val="32"/>
          <w:lang w:val="eu-ES"/>
        </w:rPr>
        <w:t>万元，自然资源海洋气象等支出</w:t>
      </w:r>
      <w:r>
        <w:rPr>
          <w:rFonts w:hint="eastAsia" w:ascii="仿宋_GB2312" w:hAnsi="仿宋_GB2312" w:eastAsia="仿宋_GB2312" w:cs="仿宋_GB2312"/>
          <w:color w:val="000000"/>
          <w:sz w:val="32"/>
          <w:szCs w:val="32"/>
          <w:lang w:val="en-US" w:eastAsia="zh-CN"/>
        </w:rPr>
        <w:t>3273</w:t>
      </w:r>
      <w:r>
        <w:rPr>
          <w:rFonts w:hint="eastAsia" w:ascii="仿宋_GB2312" w:hAnsi="仿宋_GB2312" w:eastAsia="仿宋_GB2312" w:cs="仿宋_GB2312"/>
          <w:color w:val="000000"/>
          <w:sz w:val="32"/>
          <w:szCs w:val="32"/>
          <w:lang w:val="eu-ES"/>
        </w:rPr>
        <w:t>万元，</w:t>
      </w:r>
      <w:r>
        <w:rPr>
          <w:rFonts w:hint="eastAsia" w:ascii="仿宋_GB2312" w:hAnsi="仿宋_GB2312" w:eastAsia="仿宋_GB2312" w:cs="仿宋_GB2312"/>
          <w:color w:val="000000"/>
          <w:sz w:val="32"/>
          <w:szCs w:val="32"/>
          <w:lang w:val="eu-ES" w:eastAsia="zh-CN"/>
        </w:rPr>
        <w:t>住房保障支出</w:t>
      </w:r>
      <w:r>
        <w:rPr>
          <w:rFonts w:hint="eastAsia" w:ascii="仿宋_GB2312" w:hAnsi="仿宋_GB2312" w:eastAsia="仿宋_GB2312" w:cs="仿宋_GB2312"/>
          <w:color w:val="000000"/>
          <w:sz w:val="32"/>
          <w:szCs w:val="32"/>
          <w:lang w:val="en-US" w:eastAsia="zh-CN"/>
        </w:rPr>
        <w:t>4471万元，粮油物资储备支出402万元，</w:t>
      </w:r>
      <w:r>
        <w:rPr>
          <w:rFonts w:hint="eastAsia" w:ascii="仿宋_GB2312" w:hAnsi="仿宋_GB2312" w:eastAsia="仿宋_GB2312" w:cs="仿宋_GB2312"/>
          <w:color w:val="000000"/>
          <w:sz w:val="32"/>
          <w:szCs w:val="32"/>
          <w:lang w:val="eu-ES"/>
        </w:rPr>
        <w:t>灾害防治及应急管理支出</w:t>
      </w:r>
      <w:r>
        <w:rPr>
          <w:rFonts w:hint="eastAsia" w:ascii="仿宋_GB2312" w:hAnsi="仿宋_GB2312" w:eastAsia="仿宋_GB2312" w:cs="仿宋_GB2312"/>
          <w:color w:val="000000"/>
          <w:sz w:val="32"/>
          <w:szCs w:val="32"/>
          <w:lang w:val="en-US" w:eastAsia="zh-CN"/>
        </w:rPr>
        <w:t>2141</w:t>
      </w:r>
      <w:r>
        <w:rPr>
          <w:rFonts w:hint="eastAsia" w:ascii="仿宋_GB2312" w:hAnsi="仿宋_GB2312" w:eastAsia="仿宋_GB2312" w:cs="仿宋_GB2312"/>
          <w:color w:val="000000"/>
          <w:sz w:val="32"/>
          <w:szCs w:val="32"/>
          <w:lang w:val="eu-ES"/>
        </w:rPr>
        <w:t>万元，</w:t>
      </w:r>
      <w:r>
        <w:rPr>
          <w:rFonts w:hint="eastAsia" w:ascii="仿宋_GB2312" w:hAnsi="仿宋_GB2312" w:eastAsia="仿宋_GB2312" w:cs="仿宋_GB2312"/>
          <w:color w:val="000000"/>
          <w:sz w:val="32"/>
          <w:szCs w:val="32"/>
          <w:lang w:val="eu-ES" w:eastAsia="zh-CN"/>
        </w:rPr>
        <w:t>预备费</w:t>
      </w:r>
      <w:r>
        <w:rPr>
          <w:rFonts w:hint="eastAsia" w:ascii="仿宋_GB2312" w:hAnsi="仿宋_GB2312" w:eastAsia="仿宋_GB2312" w:cs="仿宋_GB2312"/>
          <w:color w:val="000000"/>
          <w:sz w:val="32"/>
          <w:szCs w:val="32"/>
          <w:lang w:val="en-US" w:eastAsia="zh-CN"/>
        </w:rPr>
        <w:t>6710万元，</w:t>
      </w:r>
      <w:r>
        <w:rPr>
          <w:rFonts w:hint="eastAsia" w:ascii="仿宋_GB2312" w:hAnsi="仿宋_GB2312" w:eastAsia="仿宋_GB2312" w:cs="仿宋_GB2312"/>
          <w:color w:val="000000"/>
          <w:sz w:val="32"/>
          <w:szCs w:val="32"/>
          <w:lang w:val="eu-ES"/>
        </w:rPr>
        <w:t>其他支出</w:t>
      </w:r>
      <w:r>
        <w:rPr>
          <w:rFonts w:hint="eastAsia" w:ascii="仿宋_GB2312" w:hAnsi="仿宋_GB2312" w:eastAsia="仿宋_GB2312" w:cs="仿宋_GB2312"/>
          <w:color w:val="000000"/>
          <w:sz w:val="32"/>
          <w:szCs w:val="32"/>
          <w:lang w:val="en-US" w:eastAsia="zh-CN"/>
        </w:rPr>
        <w:t>16000</w:t>
      </w:r>
      <w:r>
        <w:rPr>
          <w:rFonts w:hint="eastAsia" w:ascii="仿宋_GB2312" w:hAnsi="仿宋_GB2312" w:eastAsia="仿宋_GB2312" w:cs="仿宋_GB2312"/>
          <w:color w:val="000000"/>
          <w:sz w:val="32"/>
          <w:szCs w:val="32"/>
          <w:lang w:val="eu-ES"/>
        </w:rPr>
        <w:t>万元，还本付息支出</w:t>
      </w:r>
      <w:r>
        <w:rPr>
          <w:rFonts w:hint="eastAsia" w:ascii="仿宋_GB2312" w:hAnsi="仿宋_GB2312" w:eastAsia="仿宋_GB2312" w:cs="仿宋_GB2312"/>
          <w:color w:val="000000"/>
          <w:sz w:val="32"/>
          <w:szCs w:val="32"/>
          <w:lang w:val="en-US" w:eastAsia="zh-CN"/>
        </w:rPr>
        <w:t>8335</w:t>
      </w:r>
      <w:r>
        <w:rPr>
          <w:rFonts w:hint="eastAsia" w:ascii="仿宋_GB2312" w:hAnsi="仿宋_GB2312" w:eastAsia="仿宋_GB2312" w:cs="仿宋_GB2312"/>
          <w:color w:val="000000"/>
          <w:sz w:val="32"/>
          <w:szCs w:val="32"/>
          <w:lang w:val="eu-ES"/>
        </w:rPr>
        <w:t>万元。</w:t>
      </w:r>
    </w:p>
    <w:p>
      <w:pPr>
        <w:keepNext w:val="0"/>
        <w:keepLines w:val="0"/>
        <w:pageBreakBefore w:val="0"/>
        <w:widowControl/>
        <w:kinsoku/>
        <w:wordWrap/>
        <w:overflowPunct/>
        <w:topLinePunct w:val="0"/>
        <w:autoSpaceDE/>
        <w:autoSpaceDN/>
        <w:bidi w:val="0"/>
        <w:adjustRightInd/>
        <w:snapToGrid/>
        <w:spacing w:line="580" w:lineRule="exact"/>
        <w:ind w:firstLine="643" w:firstLineChars="200"/>
        <w:rPr>
          <w:rFonts w:hint="eastAsia" w:ascii="华文楷体" w:hAnsi="华文楷体" w:eastAsia="华文楷体" w:cs="华文楷体"/>
          <w:b/>
          <w:color w:val="000000"/>
          <w:sz w:val="32"/>
          <w:szCs w:val="32"/>
          <w:lang w:val="eu-ES"/>
        </w:rPr>
      </w:pPr>
      <w:r>
        <w:rPr>
          <w:rFonts w:hint="eastAsia" w:ascii="华文楷体" w:hAnsi="华文楷体" w:eastAsia="华文楷体" w:cs="华文楷体"/>
          <w:b/>
          <w:color w:val="000000"/>
          <w:sz w:val="32"/>
          <w:szCs w:val="32"/>
          <w:lang w:val="eu-ES"/>
        </w:rPr>
        <w:t>（二）政府性基金预算收支安排情况</w:t>
      </w:r>
    </w:p>
    <w:p>
      <w:pPr>
        <w:keepNext w:val="0"/>
        <w:keepLines w:val="0"/>
        <w:pageBreakBefore w:val="0"/>
        <w:widowControl/>
        <w:kinsoku/>
        <w:wordWrap/>
        <w:overflowPunct/>
        <w:topLinePunct w:val="0"/>
        <w:autoSpaceDE/>
        <w:autoSpaceDN/>
        <w:bidi w:val="0"/>
        <w:adjustRightInd/>
        <w:snapToGrid/>
        <w:spacing w:line="580" w:lineRule="exact"/>
        <w:ind w:firstLine="633" w:firstLineChars="198"/>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政府性基金预算收入安排</w:t>
      </w:r>
      <w:r>
        <w:rPr>
          <w:rFonts w:hint="eastAsia" w:ascii="仿宋_GB2312" w:hAnsi="仿宋_GB2312" w:eastAsia="仿宋_GB2312" w:cs="仿宋_GB2312"/>
          <w:color w:val="000000"/>
          <w:sz w:val="32"/>
          <w:szCs w:val="32"/>
          <w:lang w:val="en-US" w:eastAsia="zh-CN"/>
        </w:rPr>
        <w:t>232750</w:t>
      </w:r>
      <w:r>
        <w:rPr>
          <w:rFonts w:hint="eastAsia" w:ascii="仿宋_GB2312" w:hAnsi="仿宋_GB2312" w:eastAsia="仿宋_GB2312" w:cs="仿宋_GB2312"/>
          <w:color w:val="000000"/>
          <w:sz w:val="32"/>
          <w:szCs w:val="32"/>
          <w:lang w:val="eu-ES"/>
        </w:rPr>
        <w:t>万元（其中：国有土地使用权出让收入</w:t>
      </w:r>
      <w:r>
        <w:rPr>
          <w:rFonts w:hint="eastAsia" w:ascii="仿宋_GB2312" w:hAnsi="仿宋_GB2312" w:eastAsia="仿宋_GB2312" w:cs="仿宋_GB2312"/>
          <w:color w:val="000000"/>
          <w:sz w:val="32"/>
          <w:szCs w:val="32"/>
          <w:lang w:val="en-US" w:eastAsia="zh-CN"/>
        </w:rPr>
        <w:t>223000</w:t>
      </w:r>
      <w:r>
        <w:rPr>
          <w:rFonts w:hint="eastAsia" w:ascii="仿宋_GB2312" w:hAnsi="仿宋_GB2312" w:eastAsia="仿宋_GB2312" w:cs="仿宋_GB2312"/>
          <w:color w:val="000000"/>
          <w:sz w:val="32"/>
          <w:szCs w:val="32"/>
          <w:lang w:val="eu-ES"/>
        </w:rPr>
        <w:t>万元，国有土地收益基金收入</w:t>
      </w:r>
      <w:r>
        <w:rPr>
          <w:rFonts w:hint="eastAsia" w:ascii="仿宋_GB2312" w:hAnsi="仿宋_GB2312" w:eastAsia="仿宋_GB2312" w:cs="仿宋_GB2312"/>
          <w:color w:val="000000"/>
          <w:sz w:val="32"/>
          <w:szCs w:val="32"/>
          <w:lang w:val="en-US" w:eastAsia="zh-CN"/>
        </w:rPr>
        <w:t>7500</w:t>
      </w:r>
      <w:r>
        <w:rPr>
          <w:rFonts w:hint="eastAsia" w:ascii="仿宋_GB2312" w:hAnsi="仿宋_GB2312" w:eastAsia="仿宋_GB2312" w:cs="仿宋_GB2312"/>
          <w:color w:val="000000"/>
          <w:sz w:val="32"/>
          <w:szCs w:val="32"/>
          <w:lang w:val="eu-ES"/>
        </w:rPr>
        <w:t>万元，农业土地开发资金收入</w:t>
      </w:r>
      <w:r>
        <w:rPr>
          <w:rFonts w:hint="eastAsia" w:ascii="仿宋_GB2312" w:hAnsi="仿宋_GB2312" w:eastAsia="仿宋_GB2312" w:cs="仿宋_GB2312"/>
          <w:color w:val="000000"/>
          <w:sz w:val="32"/>
          <w:szCs w:val="32"/>
          <w:lang w:val="en-US" w:eastAsia="zh-CN"/>
        </w:rPr>
        <w:t>500</w:t>
      </w:r>
      <w:r>
        <w:rPr>
          <w:rFonts w:hint="eastAsia" w:ascii="仿宋_GB2312" w:hAnsi="仿宋_GB2312" w:eastAsia="仿宋_GB2312" w:cs="仿宋_GB2312"/>
          <w:color w:val="000000"/>
          <w:sz w:val="32"/>
          <w:szCs w:val="32"/>
          <w:lang w:val="eu-ES"/>
        </w:rPr>
        <w:t>万元，彩票公益金收入</w:t>
      </w:r>
      <w:r>
        <w:rPr>
          <w:rFonts w:hint="eastAsia" w:ascii="仿宋_GB2312" w:hAnsi="仿宋_GB2312" w:eastAsia="仿宋_GB2312" w:cs="仿宋_GB2312"/>
          <w:color w:val="000000"/>
          <w:sz w:val="32"/>
          <w:szCs w:val="32"/>
          <w:lang w:val="en-US" w:eastAsia="zh-CN"/>
        </w:rPr>
        <w:t>1500</w:t>
      </w:r>
      <w:r>
        <w:rPr>
          <w:rFonts w:hint="eastAsia" w:ascii="仿宋_GB2312" w:hAnsi="仿宋_GB2312" w:eastAsia="仿宋_GB2312" w:cs="仿宋_GB2312"/>
          <w:color w:val="000000"/>
          <w:sz w:val="32"/>
          <w:szCs w:val="32"/>
          <w:lang w:val="eu-ES"/>
        </w:rPr>
        <w:t>万元，污水处理费收入</w:t>
      </w:r>
      <w:r>
        <w:rPr>
          <w:rFonts w:hint="eastAsia" w:ascii="仿宋_GB2312" w:hAnsi="仿宋_GB2312" w:eastAsia="仿宋_GB2312" w:cs="仿宋_GB2312"/>
          <w:color w:val="000000"/>
          <w:sz w:val="32"/>
          <w:szCs w:val="32"/>
          <w:lang w:val="en-US" w:eastAsia="zh-CN"/>
        </w:rPr>
        <w:t>250</w:t>
      </w:r>
      <w:r>
        <w:rPr>
          <w:rFonts w:hint="eastAsia" w:ascii="仿宋_GB2312" w:hAnsi="仿宋_GB2312" w:eastAsia="仿宋_GB2312" w:cs="仿宋_GB2312"/>
          <w:color w:val="000000"/>
          <w:sz w:val="32"/>
          <w:szCs w:val="32"/>
          <w:lang w:val="eu-ES"/>
        </w:rPr>
        <w:t>万元），加上转移性收入、上年结余收入，基金收入总计</w:t>
      </w:r>
      <w:r>
        <w:rPr>
          <w:rFonts w:hint="eastAsia" w:ascii="仿宋_GB2312" w:hAnsi="仿宋_GB2312" w:eastAsia="仿宋_GB2312" w:cs="仿宋_GB2312"/>
          <w:color w:val="000000"/>
          <w:sz w:val="32"/>
          <w:szCs w:val="32"/>
          <w:lang w:val="en-US" w:eastAsia="zh-CN"/>
        </w:rPr>
        <w:t>303583</w:t>
      </w:r>
      <w:r>
        <w:rPr>
          <w:rFonts w:hint="eastAsia" w:ascii="仿宋_GB2312" w:hAnsi="仿宋_GB2312" w:eastAsia="仿宋_GB2312" w:cs="仿宋_GB2312"/>
          <w:color w:val="000000"/>
          <w:sz w:val="32"/>
          <w:szCs w:val="32"/>
          <w:lang w:val="eu-ES"/>
        </w:rPr>
        <w:t>万元。</w:t>
      </w:r>
    </w:p>
    <w:p>
      <w:pPr>
        <w:keepNext w:val="0"/>
        <w:keepLines w:val="0"/>
        <w:pageBreakBefore w:val="0"/>
        <w:widowControl/>
        <w:kinsoku/>
        <w:wordWrap/>
        <w:overflowPunct/>
        <w:topLinePunct w:val="0"/>
        <w:autoSpaceDE/>
        <w:autoSpaceDN/>
        <w:bidi w:val="0"/>
        <w:adjustRightInd/>
        <w:snapToGrid/>
        <w:spacing w:line="580" w:lineRule="exact"/>
        <w:ind w:firstLine="633" w:firstLineChars="198"/>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政府性基金预算支出安排</w:t>
      </w:r>
      <w:r>
        <w:rPr>
          <w:rFonts w:hint="eastAsia" w:ascii="仿宋_GB2312" w:hAnsi="仿宋_GB2312" w:eastAsia="仿宋_GB2312" w:cs="仿宋_GB2312"/>
          <w:color w:val="000000"/>
          <w:sz w:val="32"/>
          <w:szCs w:val="32"/>
          <w:lang w:val="en-US" w:eastAsia="zh-CN"/>
        </w:rPr>
        <w:t>121733</w:t>
      </w:r>
      <w:r>
        <w:rPr>
          <w:rFonts w:hint="eastAsia" w:ascii="仿宋_GB2312" w:hAnsi="仿宋_GB2312" w:eastAsia="仿宋_GB2312" w:cs="仿宋_GB2312"/>
          <w:color w:val="000000"/>
          <w:sz w:val="32"/>
          <w:szCs w:val="32"/>
          <w:lang w:val="eu-ES"/>
        </w:rPr>
        <w:t>万元（其中：大中型水库移民后期扶持基金支出</w:t>
      </w:r>
      <w:r>
        <w:rPr>
          <w:rFonts w:hint="eastAsia" w:ascii="仿宋_GB2312" w:hAnsi="仿宋_GB2312" w:eastAsia="仿宋_GB2312" w:cs="仿宋_GB2312"/>
          <w:color w:val="000000"/>
          <w:sz w:val="32"/>
          <w:szCs w:val="32"/>
          <w:lang w:val="en-US" w:eastAsia="zh-CN"/>
        </w:rPr>
        <w:t>2942</w:t>
      </w:r>
      <w:r>
        <w:rPr>
          <w:rFonts w:hint="eastAsia" w:ascii="仿宋_GB2312" w:hAnsi="仿宋_GB2312" w:eastAsia="仿宋_GB2312" w:cs="仿宋_GB2312"/>
          <w:color w:val="000000"/>
          <w:sz w:val="32"/>
          <w:szCs w:val="32"/>
          <w:lang w:val="eu-ES"/>
        </w:rPr>
        <w:t>万元，国有土地使用权出让收入安排的支出</w:t>
      </w:r>
      <w:r>
        <w:rPr>
          <w:rFonts w:hint="eastAsia" w:ascii="仿宋_GB2312" w:hAnsi="仿宋_GB2312" w:eastAsia="仿宋_GB2312" w:cs="仿宋_GB2312"/>
          <w:color w:val="000000"/>
          <w:sz w:val="32"/>
          <w:szCs w:val="32"/>
          <w:lang w:val="en-US" w:eastAsia="zh-CN"/>
        </w:rPr>
        <w:t>47740</w:t>
      </w:r>
      <w:r>
        <w:rPr>
          <w:rFonts w:hint="eastAsia" w:ascii="仿宋_GB2312" w:hAnsi="仿宋_GB2312" w:eastAsia="仿宋_GB2312" w:cs="仿宋_GB2312"/>
          <w:color w:val="000000"/>
          <w:sz w:val="32"/>
          <w:szCs w:val="32"/>
          <w:lang w:val="eu-ES"/>
        </w:rPr>
        <w:t>万元，</w:t>
      </w:r>
      <w:r>
        <w:rPr>
          <w:rFonts w:hint="eastAsia" w:ascii="仿宋_GB2312" w:hAnsi="仿宋_GB2312" w:eastAsia="仿宋_GB2312" w:cs="仿宋_GB2312"/>
          <w:color w:val="000000"/>
          <w:sz w:val="32"/>
          <w:szCs w:val="32"/>
          <w:lang w:val="eu-ES" w:eastAsia="zh-CN"/>
        </w:rPr>
        <w:t>其他地方自行试点项目收益专项债券收入安排的支出</w:t>
      </w:r>
      <w:r>
        <w:rPr>
          <w:rFonts w:hint="eastAsia" w:ascii="仿宋_GB2312" w:hAnsi="仿宋_GB2312" w:eastAsia="仿宋_GB2312" w:cs="仿宋_GB2312"/>
          <w:color w:val="000000"/>
          <w:sz w:val="32"/>
          <w:szCs w:val="32"/>
          <w:lang w:val="en-US" w:eastAsia="zh-CN"/>
        </w:rPr>
        <w:t>56442万元，</w:t>
      </w:r>
      <w:r>
        <w:rPr>
          <w:rFonts w:hint="eastAsia" w:ascii="仿宋_GB2312" w:hAnsi="仿宋_GB2312" w:eastAsia="仿宋_GB2312" w:cs="仿宋_GB2312"/>
          <w:color w:val="000000"/>
          <w:sz w:val="32"/>
          <w:szCs w:val="32"/>
          <w:lang w:val="eu-ES" w:eastAsia="zh-CN"/>
        </w:rPr>
        <w:t>彩票公益金安排的</w:t>
      </w:r>
      <w:r>
        <w:rPr>
          <w:rFonts w:hint="eastAsia" w:ascii="仿宋_GB2312" w:hAnsi="仿宋_GB2312" w:eastAsia="仿宋_GB2312" w:cs="仿宋_GB2312"/>
          <w:color w:val="000000"/>
          <w:sz w:val="32"/>
          <w:szCs w:val="32"/>
          <w:lang w:val="eu-ES"/>
        </w:rPr>
        <w:t>支出</w:t>
      </w:r>
      <w:r>
        <w:rPr>
          <w:rFonts w:hint="eastAsia" w:ascii="仿宋_GB2312" w:hAnsi="仿宋_GB2312" w:eastAsia="仿宋_GB2312" w:cs="仿宋_GB2312"/>
          <w:color w:val="000000"/>
          <w:sz w:val="32"/>
          <w:szCs w:val="32"/>
          <w:lang w:val="en-US" w:eastAsia="zh-CN"/>
        </w:rPr>
        <w:t>935</w:t>
      </w:r>
      <w:r>
        <w:rPr>
          <w:rFonts w:hint="eastAsia" w:ascii="仿宋_GB2312" w:hAnsi="仿宋_GB2312" w:eastAsia="仿宋_GB2312" w:cs="仿宋_GB2312"/>
          <w:color w:val="000000"/>
          <w:sz w:val="32"/>
          <w:szCs w:val="32"/>
          <w:lang w:val="eu-ES"/>
        </w:rPr>
        <w:t>万元，债务付息支出</w:t>
      </w:r>
      <w:r>
        <w:rPr>
          <w:rFonts w:hint="eastAsia" w:ascii="仿宋_GB2312" w:hAnsi="仿宋_GB2312" w:eastAsia="仿宋_GB2312" w:cs="仿宋_GB2312"/>
          <w:color w:val="000000"/>
          <w:sz w:val="32"/>
          <w:szCs w:val="32"/>
          <w:lang w:val="en-US" w:eastAsia="zh-CN"/>
        </w:rPr>
        <w:t>13584</w:t>
      </w:r>
      <w:r>
        <w:rPr>
          <w:rFonts w:hint="eastAsia" w:ascii="仿宋_GB2312" w:hAnsi="仿宋_GB2312" w:eastAsia="仿宋_GB2312" w:cs="仿宋_GB2312"/>
          <w:color w:val="000000"/>
          <w:sz w:val="32"/>
          <w:szCs w:val="32"/>
          <w:lang w:val="eu-ES"/>
        </w:rPr>
        <w:t>万元</w:t>
      </w:r>
      <w:r>
        <w:rPr>
          <w:rFonts w:hint="eastAsia" w:ascii="仿宋_GB2312" w:hAnsi="仿宋_GB2312" w:eastAsia="仿宋_GB2312" w:cs="仿宋_GB2312"/>
          <w:color w:val="000000"/>
          <w:sz w:val="32"/>
          <w:szCs w:val="32"/>
          <w:lang w:val="eu-ES" w:eastAsia="zh-CN"/>
        </w:rPr>
        <w:t>，债务发行费用支出</w:t>
      </w:r>
      <w:r>
        <w:rPr>
          <w:rFonts w:hint="eastAsia" w:ascii="仿宋_GB2312" w:hAnsi="仿宋_GB2312" w:eastAsia="仿宋_GB2312" w:cs="仿宋_GB2312"/>
          <w:color w:val="000000"/>
          <w:sz w:val="32"/>
          <w:szCs w:val="32"/>
          <w:lang w:val="en-US" w:eastAsia="zh-CN"/>
        </w:rPr>
        <w:t>90万元</w:t>
      </w:r>
      <w:r>
        <w:rPr>
          <w:rFonts w:hint="eastAsia" w:ascii="仿宋_GB2312" w:hAnsi="仿宋_GB2312" w:eastAsia="仿宋_GB2312" w:cs="仿宋_GB2312"/>
          <w:color w:val="000000"/>
          <w:sz w:val="32"/>
          <w:szCs w:val="32"/>
          <w:lang w:val="eu-ES"/>
        </w:rPr>
        <w:t>），加上</w:t>
      </w:r>
      <w:r>
        <w:rPr>
          <w:rFonts w:hint="eastAsia" w:ascii="仿宋_GB2312" w:hAnsi="仿宋_GB2312" w:eastAsia="仿宋_GB2312" w:cs="仿宋_GB2312"/>
          <w:color w:val="000000"/>
          <w:sz w:val="32"/>
          <w:szCs w:val="32"/>
          <w:lang w:val="eu-ES" w:eastAsia="zh-CN"/>
        </w:rPr>
        <w:t>上解</w:t>
      </w:r>
      <w:r>
        <w:rPr>
          <w:rFonts w:hint="eastAsia" w:ascii="仿宋_GB2312" w:hAnsi="仿宋_GB2312" w:eastAsia="仿宋_GB2312" w:cs="仿宋_GB2312"/>
          <w:color w:val="000000"/>
          <w:sz w:val="32"/>
          <w:szCs w:val="32"/>
          <w:lang w:val="eu-ES"/>
        </w:rPr>
        <w:t>支出、调出资金，基金支出总计</w:t>
      </w:r>
      <w:r>
        <w:rPr>
          <w:rFonts w:hint="eastAsia" w:ascii="仿宋_GB2312" w:hAnsi="仿宋_GB2312" w:eastAsia="仿宋_GB2312" w:cs="仿宋_GB2312"/>
          <w:color w:val="000000"/>
          <w:sz w:val="32"/>
          <w:szCs w:val="32"/>
          <w:lang w:val="en-US" w:eastAsia="zh-CN"/>
        </w:rPr>
        <w:t>301058</w:t>
      </w:r>
      <w:r>
        <w:rPr>
          <w:rFonts w:hint="eastAsia" w:ascii="仿宋_GB2312" w:hAnsi="仿宋_GB2312" w:eastAsia="仿宋_GB2312" w:cs="仿宋_GB2312"/>
          <w:color w:val="000000"/>
          <w:sz w:val="32"/>
          <w:szCs w:val="32"/>
          <w:lang w:val="eu-ES"/>
        </w:rPr>
        <w:t>万元，</w:t>
      </w:r>
      <w:r>
        <w:rPr>
          <w:rFonts w:hint="eastAsia" w:ascii="仿宋_GB2312" w:hAnsi="仿宋_GB2312" w:eastAsia="仿宋_GB2312" w:cs="仿宋_GB2312"/>
          <w:color w:val="000000"/>
          <w:sz w:val="32"/>
          <w:szCs w:val="32"/>
          <w:lang w:val="eu-ES" w:eastAsia="zh-CN"/>
        </w:rPr>
        <w:t>年终</w:t>
      </w:r>
      <w:r>
        <w:rPr>
          <w:rFonts w:hint="eastAsia" w:ascii="仿宋_GB2312" w:hAnsi="仿宋_GB2312" w:eastAsia="仿宋_GB2312" w:cs="仿宋_GB2312"/>
          <w:color w:val="000000"/>
          <w:sz w:val="32"/>
          <w:szCs w:val="32"/>
          <w:lang w:val="eu-ES"/>
        </w:rPr>
        <w:t>结余</w:t>
      </w:r>
      <w:r>
        <w:rPr>
          <w:rFonts w:hint="eastAsia" w:ascii="仿宋_GB2312" w:hAnsi="仿宋_GB2312" w:eastAsia="仿宋_GB2312" w:cs="仿宋_GB2312"/>
          <w:color w:val="000000"/>
          <w:sz w:val="32"/>
          <w:szCs w:val="32"/>
          <w:lang w:val="en-US" w:eastAsia="zh-CN"/>
        </w:rPr>
        <w:t>2525</w:t>
      </w:r>
      <w:r>
        <w:rPr>
          <w:rFonts w:hint="eastAsia" w:ascii="仿宋_GB2312" w:hAnsi="仿宋_GB2312" w:eastAsia="仿宋_GB2312" w:cs="仿宋_GB2312"/>
          <w:color w:val="000000"/>
          <w:sz w:val="32"/>
          <w:szCs w:val="32"/>
          <w:lang w:val="eu-ES"/>
        </w:rPr>
        <w:t>万元。</w:t>
      </w:r>
    </w:p>
    <w:p>
      <w:pPr>
        <w:keepNext w:val="0"/>
        <w:keepLines w:val="0"/>
        <w:pageBreakBefore w:val="0"/>
        <w:widowControl/>
        <w:kinsoku/>
        <w:wordWrap/>
        <w:overflowPunct/>
        <w:topLinePunct w:val="0"/>
        <w:autoSpaceDE/>
        <w:autoSpaceDN/>
        <w:bidi w:val="0"/>
        <w:adjustRightInd/>
        <w:snapToGrid/>
        <w:spacing w:line="580" w:lineRule="exact"/>
        <w:ind w:firstLine="643" w:firstLineChars="200"/>
        <w:rPr>
          <w:rFonts w:hint="eastAsia" w:ascii="华文楷体" w:hAnsi="华文楷体" w:eastAsia="华文楷体" w:cs="华文楷体"/>
          <w:b/>
          <w:color w:val="000000"/>
          <w:sz w:val="32"/>
          <w:szCs w:val="32"/>
          <w:lang w:val="eu-ES"/>
        </w:rPr>
      </w:pPr>
      <w:r>
        <w:rPr>
          <w:rFonts w:hint="eastAsia" w:ascii="华文楷体" w:hAnsi="华文楷体" w:eastAsia="华文楷体" w:cs="华文楷体"/>
          <w:b/>
          <w:color w:val="000000"/>
          <w:sz w:val="32"/>
          <w:szCs w:val="32"/>
          <w:lang w:val="eu-ES"/>
        </w:rPr>
        <w:t>（三）社会保险基金预算收支安排情况</w:t>
      </w:r>
    </w:p>
    <w:p>
      <w:pPr>
        <w:keepNext w:val="0"/>
        <w:keepLines w:val="0"/>
        <w:pageBreakBefore w:val="0"/>
        <w:widowControl/>
        <w:kinsoku/>
        <w:wordWrap/>
        <w:overflowPunct/>
        <w:topLinePunct w:val="0"/>
        <w:autoSpaceDE/>
        <w:autoSpaceDN/>
        <w:bidi w:val="0"/>
        <w:adjustRightInd/>
        <w:snapToGrid/>
        <w:spacing w:line="580" w:lineRule="exact"/>
        <w:ind w:firstLine="633" w:firstLineChars="198"/>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社会保险基金预算收入安排69168.8万元，其中：城乡居民基本养老保险收入29690.4万元，机关事业单位基本养老保险收入39478.4万元。</w:t>
      </w:r>
    </w:p>
    <w:p>
      <w:pPr>
        <w:keepNext w:val="0"/>
        <w:keepLines w:val="0"/>
        <w:pageBreakBefore w:val="0"/>
        <w:widowControl/>
        <w:kinsoku/>
        <w:wordWrap/>
        <w:overflowPunct/>
        <w:topLinePunct w:val="0"/>
        <w:autoSpaceDE/>
        <w:autoSpaceDN/>
        <w:bidi w:val="0"/>
        <w:adjustRightInd/>
        <w:snapToGrid/>
        <w:spacing w:line="580" w:lineRule="exact"/>
        <w:ind w:firstLine="633" w:firstLineChars="198"/>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社会保险基金预算支出安排61973.2万元，其中：城乡居民基本养老保险支出22522.3万元，机关事业单位基本养老保险支出39450.9万元。</w:t>
      </w:r>
    </w:p>
    <w:p>
      <w:pPr>
        <w:keepNext w:val="0"/>
        <w:keepLines w:val="0"/>
        <w:pageBreakBefore w:val="0"/>
        <w:widowControl/>
        <w:kinsoku/>
        <w:wordWrap/>
        <w:overflowPunct/>
        <w:topLinePunct w:val="0"/>
        <w:autoSpaceDE/>
        <w:autoSpaceDN/>
        <w:bidi w:val="0"/>
        <w:adjustRightInd/>
        <w:snapToGrid/>
        <w:spacing w:line="580" w:lineRule="exact"/>
        <w:ind w:firstLine="633" w:firstLineChars="198"/>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基金当年收支结余7195.6万元，年末滚存结余85506.2万元。</w:t>
      </w:r>
    </w:p>
    <w:p>
      <w:pPr>
        <w:keepNext w:val="0"/>
        <w:keepLines w:val="0"/>
        <w:pageBreakBefore w:val="0"/>
        <w:widowControl/>
        <w:kinsoku/>
        <w:wordWrap/>
        <w:overflowPunct/>
        <w:topLinePunct w:val="0"/>
        <w:autoSpaceDE/>
        <w:autoSpaceDN/>
        <w:bidi w:val="0"/>
        <w:adjustRightInd/>
        <w:snapToGrid/>
        <w:spacing w:line="580" w:lineRule="exact"/>
        <w:ind w:firstLine="643" w:firstLineChars="200"/>
        <w:rPr>
          <w:rFonts w:hint="eastAsia" w:ascii="华文楷体" w:hAnsi="华文楷体" w:eastAsia="华文楷体" w:cs="华文楷体"/>
          <w:b/>
          <w:color w:val="000000"/>
          <w:sz w:val="32"/>
          <w:szCs w:val="32"/>
          <w:lang w:val="eu-ES"/>
        </w:rPr>
      </w:pPr>
      <w:r>
        <w:rPr>
          <w:rFonts w:hint="eastAsia" w:ascii="华文楷体" w:hAnsi="华文楷体" w:eastAsia="华文楷体" w:cs="华文楷体"/>
          <w:b/>
          <w:color w:val="000000"/>
          <w:sz w:val="32"/>
          <w:szCs w:val="32"/>
          <w:lang w:val="eu-ES"/>
        </w:rPr>
        <w:t>（四）国有资本经营预算收支安排情况</w:t>
      </w:r>
    </w:p>
    <w:p>
      <w:pPr>
        <w:keepNext w:val="0"/>
        <w:keepLines w:val="0"/>
        <w:pageBreakBefore w:val="0"/>
        <w:widowControl/>
        <w:kinsoku/>
        <w:wordWrap/>
        <w:overflowPunct/>
        <w:topLinePunct w:val="0"/>
        <w:autoSpaceDE/>
        <w:autoSpaceDN/>
        <w:bidi w:val="0"/>
        <w:adjustRightInd/>
        <w:snapToGrid/>
        <w:spacing w:line="580" w:lineRule="exact"/>
        <w:ind w:firstLine="633" w:firstLineChars="198"/>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国有资本经营预算总收入安排</w:t>
      </w:r>
      <w:r>
        <w:rPr>
          <w:rFonts w:hint="eastAsia" w:ascii="仿宋_GB2312" w:hAnsi="仿宋_GB2312" w:eastAsia="仿宋_GB2312" w:cs="仿宋_GB2312"/>
          <w:color w:val="000000"/>
          <w:sz w:val="32"/>
          <w:szCs w:val="32"/>
          <w:lang w:val="en-US" w:eastAsia="zh-CN"/>
        </w:rPr>
        <w:t>24037.99</w:t>
      </w:r>
      <w:r>
        <w:rPr>
          <w:rFonts w:hint="eastAsia" w:ascii="仿宋_GB2312" w:hAnsi="仿宋_GB2312" w:eastAsia="仿宋_GB2312" w:cs="仿宋_GB2312"/>
          <w:color w:val="000000"/>
          <w:sz w:val="32"/>
          <w:szCs w:val="32"/>
          <w:lang w:val="eu-ES"/>
        </w:rPr>
        <w:t>万元，其中利润收入</w:t>
      </w:r>
      <w:r>
        <w:rPr>
          <w:rFonts w:hint="eastAsia" w:ascii="仿宋_GB2312" w:hAnsi="仿宋_GB2312" w:eastAsia="仿宋_GB2312" w:cs="仿宋_GB2312"/>
          <w:color w:val="000000"/>
          <w:sz w:val="32"/>
          <w:szCs w:val="32"/>
          <w:lang w:val="en-US" w:eastAsia="zh-CN"/>
        </w:rPr>
        <w:t>23700</w:t>
      </w:r>
      <w:r>
        <w:rPr>
          <w:rFonts w:hint="eastAsia" w:ascii="仿宋_GB2312" w:hAnsi="仿宋_GB2312" w:eastAsia="仿宋_GB2312" w:cs="仿宋_GB2312"/>
          <w:color w:val="000000"/>
          <w:sz w:val="32"/>
          <w:szCs w:val="32"/>
          <w:lang w:val="eu-ES"/>
        </w:rPr>
        <w:t>万元，</w:t>
      </w:r>
      <w:r>
        <w:rPr>
          <w:rFonts w:hint="eastAsia" w:ascii="仿宋_GB2312" w:hAnsi="仿宋_GB2312" w:eastAsia="仿宋_GB2312" w:cs="仿宋_GB2312"/>
          <w:color w:val="000000"/>
          <w:sz w:val="32"/>
          <w:szCs w:val="32"/>
          <w:lang w:val="eu-ES" w:eastAsia="zh-CN"/>
        </w:rPr>
        <w:t>其他国有资本经营预算收入</w:t>
      </w:r>
      <w:r>
        <w:rPr>
          <w:rFonts w:hint="eastAsia" w:ascii="仿宋_GB2312" w:hAnsi="仿宋_GB2312" w:eastAsia="仿宋_GB2312" w:cs="仿宋_GB2312"/>
          <w:color w:val="000000"/>
          <w:sz w:val="32"/>
          <w:szCs w:val="32"/>
          <w:lang w:val="en-US" w:eastAsia="zh-CN"/>
        </w:rPr>
        <w:t>300万元，</w:t>
      </w:r>
      <w:r>
        <w:rPr>
          <w:rFonts w:hint="eastAsia" w:ascii="仿宋_GB2312" w:hAnsi="仿宋_GB2312" w:eastAsia="仿宋_GB2312" w:cs="仿宋_GB2312"/>
          <w:color w:val="000000"/>
          <w:sz w:val="32"/>
          <w:szCs w:val="32"/>
          <w:lang w:val="eu-ES"/>
        </w:rPr>
        <w:t>上年结余收入37.99万元。</w:t>
      </w:r>
    </w:p>
    <w:p>
      <w:pPr>
        <w:keepNext w:val="0"/>
        <w:keepLines w:val="0"/>
        <w:pageBreakBefore w:val="0"/>
        <w:widowControl/>
        <w:kinsoku/>
        <w:wordWrap/>
        <w:overflowPunct/>
        <w:topLinePunct w:val="0"/>
        <w:autoSpaceDE/>
        <w:autoSpaceDN/>
        <w:bidi w:val="0"/>
        <w:adjustRightInd/>
        <w:snapToGrid/>
        <w:spacing w:line="580" w:lineRule="exact"/>
        <w:ind w:firstLine="633" w:firstLineChars="198"/>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国有资本经营预算总支出安排</w:t>
      </w:r>
      <w:r>
        <w:rPr>
          <w:rFonts w:hint="eastAsia" w:ascii="仿宋_GB2312" w:hAnsi="仿宋_GB2312" w:eastAsia="仿宋_GB2312" w:cs="仿宋_GB2312"/>
          <w:color w:val="000000"/>
          <w:sz w:val="32"/>
          <w:szCs w:val="32"/>
          <w:lang w:val="en-US" w:eastAsia="zh-CN"/>
        </w:rPr>
        <w:t>24</w:t>
      </w:r>
      <w:r>
        <w:rPr>
          <w:rFonts w:hint="eastAsia" w:ascii="仿宋_GB2312" w:hAnsi="仿宋_GB2312" w:eastAsia="仿宋_GB2312" w:cs="仿宋_GB2312"/>
          <w:color w:val="000000"/>
          <w:sz w:val="32"/>
          <w:szCs w:val="32"/>
          <w:lang w:val="eu-ES"/>
        </w:rPr>
        <w:t>037.99万元，其中</w:t>
      </w:r>
      <w:r>
        <w:rPr>
          <w:rFonts w:hint="eastAsia" w:ascii="仿宋_GB2312" w:hAnsi="仿宋_GB2312" w:eastAsia="仿宋_GB2312" w:cs="仿宋_GB2312"/>
          <w:color w:val="000000"/>
          <w:sz w:val="32"/>
          <w:szCs w:val="32"/>
          <w:lang w:val="eu-ES" w:eastAsia="zh-CN"/>
        </w:rPr>
        <w:t>解决历史遗留问题及改革成本支出</w:t>
      </w:r>
      <w:r>
        <w:rPr>
          <w:rFonts w:hint="eastAsia" w:ascii="仿宋_GB2312" w:hAnsi="仿宋_GB2312" w:eastAsia="仿宋_GB2312" w:cs="仿宋_GB2312"/>
          <w:color w:val="000000"/>
          <w:sz w:val="32"/>
          <w:szCs w:val="32"/>
          <w:lang w:val="en-US" w:eastAsia="zh-CN"/>
        </w:rPr>
        <w:t>37.99万元，</w:t>
      </w:r>
      <w:r>
        <w:rPr>
          <w:rFonts w:hint="eastAsia" w:ascii="仿宋_GB2312" w:hAnsi="仿宋_GB2312" w:eastAsia="仿宋_GB2312" w:cs="仿宋_GB2312"/>
          <w:color w:val="000000"/>
          <w:sz w:val="32"/>
          <w:szCs w:val="32"/>
          <w:lang w:val="eu-ES"/>
        </w:rPr>
        <w:t>国有资本经营预算调出资金</w:t>
      </w:r>
      <w:r>
        <w:rPr>
          <w:rFonts w:hint="eastAsia" w:ascii="仿宋_GB2312" w:hAnsi="仿宋_GB2312" w:eastAsia="仿宋_GB2312" w:cs="仿宋_GB2312"/>
          <w:color w:val="000000"/>
          <w:sz w:val="32"/>
          <w:szCs w:val="32"/>
          <w:lang w:val="en-US" w:eastAsia="zh-CN"/>
        </w:rPr>
        <w:t>24000</w:t>
      </w:r>
      <w:r>
        <w:rPr>
          <w:rFonts w:hint="eastAsia" w:ascii="仿宋_GB2312" w:hAnsi="仿宋_GB2312" w:eastAsia="仿宋_GB2312" w:cs="仿宋_GB2312"/>
          <w:color w:val="000000"/>
          <w:sz w:val="32"/>
          <w:szCs w:val="32"/>
          <w:lang w:val="eu-ES"/>
        </w:rPr>
        <w:t>万元统筹用于一般公共预算支出。</w:t>
      </w:r>
    </w:p>
    <w:p>
      <w:pPr>
        <w:keepNext w:val="0"/>
        <w:keepLines w:val="0"/>
        <w:pageBreakBefore w:val="0"/>
        <w:widowControl/>
        <w:kinsoku/>
        <w:wordWrap/>
        <w:overflowPunct/>
        <w:topLinePunct w:val="0"/>
        <w:autoSpaceDE/>
        <w:autoSpaceDN/>
        <w:bidi w:val="0"/>
        <w:adjustRightInd/>
        <w:snapToGrid/>
        <w:spacing w:line="580" w:lineRule="exact"/>
        <w:ind w:firstLine="633" w:firstLineChars="198"/>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color w:val="000000"/>
          <w:sz w:val="32"/>
          <w:szCs w:val="32"/>
          <w:lang w:val="eu-ES"/>
        </w:rPr>
        <w:t>2022年县直部门预算请一并予以审议。另外，就几个具体问题向各位代表说明如下：</w:t>
      </w:r>
    </w:p>
    <w:p>
      <w:pPr>
        <w:keepNext w:val="0"/>
        <w:keepLines w:val="0"/>
        <w:pageBreakBefore w:val="0"/>
        <w:kinsoku/>
        <w:wordWrap/>
        <w:overflowPunct/>
        <w:topLinePunct w:val="0"/>
        <w:autoSpaceDE/>
        <w:autoSpaceDN/>
        <w:bidi w:val="0"/>
        <w:adjustRightInd/>
        <w:snapToGrid/>
        <w:spacing w:line="580" w:lineRule="exact"/>
        <w:ind w:firstLine="643" w:firstLineChars="200"/>
        <w:rPr>
          <w:rFonts w:hint="eastAsia"/>
          <w:lang w:val="eu-ES"/>
        </w:rPr>
      </w:pPr>
      <w:r>
        <w:rPr>
          <w:rFonts w:hint="eastAsia" w:ascii="仿宋_GB2312" w:hAnsi="仿宋_GB2312" w:eastAsia="仿宋_GB2312" w:cs="仿宋_GB2312"/>
          <w:b/>
          <w:color w:val="000000"/>
          <w:sz w:val="32"/>
          <w:szCs w:val="32"/>
          <w:lang w:val="eu-ES" w:eastAsia="zh-CN"/>
        </w:rPr>
        <w:t>第一，</w:t>
      </w:r>
      <w:r>
        <w:rPr>
          <w:rFonts w:hint="eastAsia" w:ascii="仿宋_GB2312" w:hAnsi="仿宋_GB2312" w:eastAsia="仿宋_GB2312" w:cs="仿宋_GB2312"/>
          <w:b/>
          <w:color w:val="000000"/>
          <w:sz w:val="32"/>
          <w:szCs w:val="32"/>
          <w:lang w:val="eu-ES"/>
        </w:rPr>
        <w:t>202</w:t>
      </w:r>
      <w:r>
        <w:rPr>
          <w:rFonts w:hint="eastAsia" w:ascii="仿宋_GB2312" w:hAnsi="仿宋_GB2312" w:eastAsia="仿宋_GB2312" w:cs="仿宋_GB2312"/>
          <w:b/>
          <w:color w:val="000000"/>
          <w:sz w:val="32"/>
          <w:szCs w:val="32"/>
          <w:lang w:val="en-US" w:eastAsia="zh-CN"/>
        </w:rPr>
        <w:t>2</w:t>
      </w:r>
      <w:r>
        <w:rPr>
          <w:rFonts w:hint="eastAsia" w:ascii="仿宋_GB2312" w:hAnsi="仿宋_GB2312" w:eastAsia="仿宋_GB2312" w:cs="仿宋_GB2312"/>
          <w:b/>
          <w:color w:val="000000"/>
          <w:sz w:val="32"/>
          <w:szCs w:val="32"/>
          <w:lang w:val="eu-ES"/>
        </w:rPr>
        <w:t>年地方政府债券待省厅核定我县额度后再编制调整预算方案，专门提请县人大常委会审查批准。</w:t>
      </w:r>
    </w:p>
    <w:p>
      <w:pPr>
        <w:keepNext w:val="0"/>
        <w:keepLines w:val="0"/>
        <w:pageBreakBefore w:val="0"/>
        <w:widowControl/>
        <w:kinsoku/>
        <w:wordWrap/>
        <w:overflowPunct/>
        <w:topLinePunct w:val="0"/>
        <w:autoSpaceDE/>
        <w:autoSpaceDN/>
        <w:bidi w:val="0"/>
        <w:adjustRightInd/>
        <w:snapToGrid/>
        <w:spacing w:line="580" w:lineRule="exact"/>
        <w:ind w:firstLine="636" w:firstLineChars="198"/>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b/>
          <w:color w:val="000000"/>
          <w:sz w:val="32"/>
          <w:szCs w:val="32"/>
          <w:lang w:val="eu-ES" w:eastAsia="zh-CN"/>
        </w:rPr>
        <w:t>第二，2022年一般公共预算收入增长6.5%。主要考虑：</w:t>
      </w:r>
      <w:r>
        <w:rPr>
          <w:rFonts w:hint="eastAsia" w:ascii="仿宋_GB2312" w:hAnsi="仿宋_GB2312" w:eastAsia="仿宋_GB2312" w:cs="仿宋_GB2312"/>
          <w:color w:val="000000"/>
          <w:sz w:val="32"/>
          <w:szCs w:val="32"/>
          <w:lang w:val="eu-ES"/>
        </w:rPr>
        <w:t>2022年是转变发展方式、优化经济结构、转换增长动力的攻关期，发展的外部环境和内部条件发生深刻变化。从发展大势看，当前新冠疫情影响广泛深远，但我国经济长期向好基本面和内在向上的发展趋势没有改变。构建以国内大循环为主体、国内国际双循环相互促进的新发展格局，推动生产要素纵深布局，促进产业在国内有序转移，为我们扩大有效投资、承接产业梯度转移提供了新的机遇。从区域形势看，随着构建大南昌都市圈、推进鄱余万协同发展战略的深入实施，以及昌景黄高铁、信江八字嘴航电枢纽等重大交通工程的建设使用，必将推动人流、物流、资金流、信息流加速汇聚联动，余干的区位优势、政策优势、发展优势更加凸显。从自身态势看，发展后劲充足。近年来实施“主攻工业”战略，我县产业发展得到长足进步，城市经济加速壮大，生态环境持续改善，经济发展基本盘更加稳固。</w:t>
      </w:r>
    </w:p>
    <w:p>
      <w:pPr>
        <w:keepNext w:val="0"/>
        <w:keepLines w:val="0"/>
        <w:pageBreakBefore w:val="0"/>
        <w:widowControl/>
        <w:kinsoku/>
        <w:wordWrap/>
        <w:overflowPunct/>
        <w:topLinePunct w:val="0"/>
        <w:autoSpaceDE/>
        <w:autoSpaceDN/>
        <w:bidi w:val="0"/>
        <w:adjustRightInd/>
        <w:snapToGrid/>
        <w:spacing w:line="580" w:lineRule="exact"/>
        <w:ind w:firstLine="636" w:firstLineChars="198"/>
        <w:rPr>
          <w:rFonts w:hint="eastAsia" w:ascii="仿宋_GB2312" w:hAnsi="仿宋_GB2312" w:eastAsia="仿宋_GB2312" w:cs="仿宋_GB2312"/>
          <w:color w:val="000000"/>
          <w:sz w:val="32"/>
          <w:szCs w:val="32"/>
          <w:lang w:val="eu-ES"/>
        </w:rPr>
      </w:pPr>
      <w:r>
        <w:rPr>
          <w:rFonts w:hint="eastAsia" w:ascii="仿宋_GB2312" w:hAnsi="仿宋_GB2312" w:eastAsia="仿宋_GB2312" w:cs="仿宋_GB2312"/>
          <w:b/>
          <w:color w:val="000000"/>
          <w:sz w:val="32"/>
          <w:szCs w:val="32"/>
          <w:lang w:val="eu-ES" w:eastAsia="zh-CN"/>
        </w:rPr>
        <w:t>第三，2022年一般公共预算支出安排</w:t>
      </w:r>
      <w:r>
        <w:rPr>
          <w:rFonts w:hint="eastAsia" w:ascii="仿宋_GB2312" w:hAnsi="仿宋_GB2312" w:eastAsia="仿宋_GB2312" w:cs="仿宋_GB2312"/>
          <w:b/>
          <w:color w:val="000000"/>
          <w:sz w:val="32"/>
          <w:szCs w:val="32"/>
          <w:lang w:val="en-US" w:eastAsia="zh-CN"/>
        </w:rPr>
        <w:t>67.09</w:t>
      </w:r>
      <w:r>
        <w:rPr>
          <w:rFonts w:hint="eastAsia" w:ascii="仿宋_GB2312" w:hAnsi="仿宋_GB2312" w:eastAsia="仿宋_GB2312" w:cs="仿宋_GB2312"/>
          <w:b/>
          <w:color w:val="000000"/>
          <w:sz w:val="32"/>
          <w:szCs w:val="32"/>
          <w:lang w:val="eu-ES" w:eastAsia="zh-CN"/>
        </w:rPr>
        <w:t>亿元，较2021年执行数增长</w:t>
      </w:r>
      <w:r>
        <w:rPr>
          <w:rFonts w:hint="eastAsia" w:ascii="仿宋_GB2312" w:hAnsi="仿宋_GB2312" w:eastAsia="仿宋_GB2312" w:cs="仿宋_GB2312"/>
          <w:b/>
          <w:color w:val="000000"/>
          <w:sz w:val="32"/>
          <w:szCs w:val="32"/>
          <w:lang w:val="en-US" w:eastAsia="zh-CN"/>
        </w:rPr>
        <w:t>18</w:t>
      </w:r>
      <w:r>
        <w:rPr>
          <w:rFonts w:hint="eastAsia" w:ascii="仿宋_GB2312" w:hAnsi="仿宋_GB2312" w:eastAsia="仿宋_GB2312" w:cs="仿宋_GB2312"/>
          <w:b/>
          <w:color w:val="000000"/>
          <w:sz w:val="32"/>
          <w:szCs w:val="32"/>
          <w:lang w:val="eu-ES" w:eastAsia="zh-CN"/>
        </w:rPr>
        <w:t>%。</w:t>
      </w:r>
      <w:r>
        <w:rPr>
          <w:rFonts w:hint="eastAsia" w:ascii="仿宋_GB2312" w:hAnsi="仿宋_GB2312" w:eastAsia="仿宋_GB2312" w:cs="仿宋_GB2312"/>
          <w:color w:val="000000"/>
          <w:sz w:val="32"/>
          <w:szCs w:val="32"/>
          <w:lang w:val="eu-ES"/>
        </w:rPr>
        <w:t>一是将上年结余和上级提前下达转移支付补助资金纳入安排；二是兜牢“三保”底线，强化“三保”保障；三是继续做好“六稳”工作、落实“六保”任务，强化教育、社保、医疗、节能环保、农林水、巩固扩展脱贫攻坚成果同乡村振兴有效衔接等重点领域支出；四是保障各项改革任务的顺利推进，统筹推进城乡一体化，推进高质量发展。</w:t>
      </w:r>
    </w:p>
    <w:p>
      <w:pPr>
        <w:keepNext w:val="0"/>
        <w:keepLines w:val="0"/>
        <w:pageBreakBefore w:val="0"/>
        <w:kinsoku/>
        <w:wordWrap/>
        <w:overflowPunct/>
        <w:topLinePunct w:val="0"/>
        <w:autoSpaceDE/>
        <w:autoSpaceDN/>
        <w:bidi w:val="0"/>
        <w:adjustRightInd/>
        <w:snapToGrid/>
        <w:spacing w:line="580" w:lineRule="exact"/>
        <w:ind w:firstLine="643" w:firstLineChars="200"/>
        <w:rPr>
          <w:rFonts w:hint="eastAsia" w:ascii="黑体" w:hAnsi="黑体" w:eastAsia="黑体" w:cs="黑体"/>
          <w:b/>
          <w:color w:val="000000"/>
          <w:sz w:val="32"/>
          <w:szCs w:val="32"/>
          <w:lang w:val="eu-ES"/>
        </w:rPr>
      </w:pPr>
      <w:r>
        <w:rPr>
          <w:rFonts w:hint="eastAsia" w:ascii="黑体" w:hAnsi="黑体" w:eastAsia="黑体" w:cs="黑体"/>
          <w:b/>
          <w:color w:val="000000"/>
          <w:sz w:val="32"/>
          <w:szCs w:val="32"/>
          <w:lang w:val="eu-ES"/>
        </w:rPr>
        <w:t>四、完成2022年预算的主要措施</w:t>
      </w:r>
    </w:p>
    <w:p>
      <w:pPr>
        <w:keepNext w:val="0"/>
        <w:keepLines w:val="0"/>
        <w:pageBreakBefore w:val="0"/>
        <w:kinsoku/>
        <w:wordWrap/>
        <w:overflowPunct/>
        <w:topLinePunct w:val="0"/>
        <w:autoSpaceDE/>
        <w:autoSpaceDN/>
        <w:bidi w:val="0"/>
        <w:adjustRightInd/>
        <w:snapToGrid/>
        <w:spacing w:line="580" w:lineRule="exact"/>
        <w:ind w:firstLine="643" w:firstLineChars="200"/>
        <w:rPr>
          <w:rFonts w:hint="eastAsia" w:ascii="仿宋_GB2312" w:hAnsi="仿宋_GB2312" w:eastAsia="仿宋_GB2312" w:cs="仿宋_GB2312"/>
          <w:bCs/>
          <w:color w:val="000000"/>
          <w:sz w:val="32"/>
          <w:szCs w:val="32"/>
        </w:rPr>
      </w:pPr>
      <w:r>
        <w:rPr>
          <w:rFonts w:hint="eastAsia" w:ascii="华文楷体" w:hAnsi="华文楷体" w:eastAsia="华文楷体" w:cs="华文楷体"/>
          <w:b/>
          <w:color w:val="000000"/>
          <w:sz w:val="32"/>
          <w:szCs w:val="32"/>
          <w:lang w:eastAsia="zh-CN"/>
        </w:rPr>
        <w:t>（一）</w:t>
      </w:r>
      <w:r>
        <w:rPr>
          <w:rFonts w:hint="eastAsia" w:ascii="华文楷体" w:hAnsi="华文楷体" w:eastAsia="华文楷体" w:cs="华文楷体"/>
          <w:b/>
          <w:color w:val="000000"/>
          <w:sz w:val="32"/>
          <w:szCs w:val="32"/>
        </w:rPr>
        <w:t>坚持提质增效，融入新发展格局，在增加可用财力上实现新进展。</w:t>
      </w:r>
      <w:r>
        <w:rPr>
          <w:rFonts w:hint="eastAsia" w:ascii="仿宋_GB2312" w:hAnsi="仿宋_GB2312" w:eastAsia="仿宋_GB2312" w:cs="仿宋_GB2312"/>
          <w:bCs/>
          <w:color w:val="000000"/>
          <w:sz w:val="32"/>
          <w:szCs w:val="32"/>
        </w:rPr>
        <w:t>聚焦高质量发展，强化财源培植，加大财政投入力度，充分发挥财政产业发展引导基金的扶持引导作用，积极支持汽摩配、电子信息、绿色食品深加工、光伏新能源等主导产业做强，大力培育大数据、物联网、人工智能等数字产业，推动新旧动能转换，产业结构升级发展，实现企业可持续健康发展，助力财政持续增收，为高质量发展提供财政动力。</w:t>
      </w:r>
    </w:p>
    <w:p>
      <w:pPr>
        <w:keepNext w:val="0"/>
        <w:keepLines w:val="0"/>
        <w:pageBreakBefore w:val="0"/>
        <w:kinsoku/>
        <w:wordWrap/>
        <w:overflowPunct/>
        <w:topLinePunct w:val="0"/>
        <w:autoSpaceDE/>
        <w:autoSpaceDN/>
        <w:bidi w:val="0"/>
        <w:adjustRightInd/>
        <w:snapToGrid/>
        <w:spacing w:line="580" w:lineRule="exact"/>
        <w:ind w:firstLine="643" w:firstLineChars="200"/>
        <w:rPr>
          <w:rFonts w:hint="eastAsia" w:ascii="仿宋_GB2312" w:hAnsi="仿宋_GB2312" w:eastAsia="仿宋_GB2312" w:cs="仿宋_GB2312"/>
          <w:bCs/>
          <w:color w:val="000000"/>
          <w:sz w:val="32"/>
          <w:szCs w:val="32"/>
        </w:rPr>
      </w:pPr>
      <w:r>
        <w:rPr>
          <w:rFonts w:hint="eastAsia" w:ascii="华文楷体" w:hAnsi="华文楷体" w:eastAsia="华文楷体" w:cs="华文楷体"/>
          <w:b/>
          <w:color w:val="000000"/>
          <w:sz w:val="32"/>
          <w:szCs w:val="32"/>
          <w:lang w:eastAsia="zh-CN"/>
        </w:rPr>
        <w:t>（二）</w:t>
      </w:r>
      <w:r>
        <w:rPr>
          <w:rFonts w:hint="eastAsia" w:ascii="华文楷体" w:hAnsi="华文楷体" w:eastAsia="华文楷体" w:cs="华文楷体"/>
          <w:b/>
          <w:color w:val="000000"/>
          <w:sz w:val="32"/>
          <w:szCs w:val="32"/>
        </w:rPr>
        <w:t>坚持突出重点，围绕高质量发展，在支持经济发展上实现新进展。</w:t>
      </w:r>
      <w:r>
        <w:rPr>
          <w:rFonts w:hint="eastAsia" w:ascii="仿宋_GB2312" w:hAnsi="仿宋_GB2312" w:eastAsia="仿宋_GB2312" w:cs="仿宋_GB2312"/>
          <w:bCs/>
          <w:color w:val="000000"/>
          <w:sz w:val="32"/>
          <w:szCs w:val="32"/>
        </w:rPr>
        <w:t>全面落实好财税优惠政策，大力支持中小企业和个体工商户发展，积极用活用足 “财园信贷通”、“财政惠农信贷通”、产业发展引导基金和融资担保体系，缓解中小企业融资困难问题，促使更多的金融资源和社会资源支持中小企业发展和产业升级，激发民间投资潜力和创新活力。围绕“一区三园”布局，扎实推进园区建设，加快标准厂房、污水处理、物流仓储、工业新基建等园区基础设施及其配套设施建设，拓宽园区发展空间，不断优化投资营商环境。同时加大向上争资力度，积极谋划专项债券项目，全力保障县委县政府重大决策部署落实。</w:t>
      </w:r>
    </w:p>
    <w:p>
      <w:pPr>
        <w:keepNext w:val="0"/>
        <w:keepLines w:val="0"/>
        <w:pageBreakBefore w:val="0"/>
        <w:kinsoku/>
        <w:wordWrap/>
        <w:overflowPunct/>
        <w:topLinePunct w:val="0"/>
        <w:autoSpaceDE/>
        <w:autoSpaceDN/>
        <w:bidi w:val="0"/>
        <w:adjustRightInd/>
        <w:snapToGrid/>
        <w:spacing w:line="580" w:lineRule="exact"/>
        <w:ind w:firstLine="643" w:firstLineChars="200"/>
        <w:rPr>
          <w:rFonts w:hint="eastAsia" w:ascii="仿宋_GB2312" w:hAnsi="仿宋_GB2312" w:eastAsia="仿宋_GB2312" w:cs="仿宋_GB2312"/>
          <w:bCs/>
          <w:color w:val="000000"/>
          <w:sz w:val="32"/>
          <w:szCs w:val="32"/>
        </w:rPr>
      </w:pPr>
      <w:r>
        <w:rPr>
          <w:rFonts w:hint="eastAsia" w:ascii="华文楷体" w:hAnsi="华文楷体" w:eastAsia="华文楷体" w:cs="华文楷体"/>
          <w:b/>
          <w:color w:val="000000"/>
          <w:sz w:val="32"/>
          <w:szCs w:val="32"/>
          <w:lang w:eastAsia="zh-CN"/>
        </w:rPr>
        <w:t>（三）坚持民生优先，着力提高保障能力，在促进社会和谐上实现新进展。</w:t>
      </w:r>
      <w:r>
        <w:rPr>
          <w:rFonts w:hint="eastAsia" w:ascii="仿宋_GB2312" w:hAnsi="仿宋_GB2312" w:eastAsia="仿宋_GB2312" w:cs="仿宋_GB2312"/>
          <w:bCs/>
          <w:color w:val="000000"/>
          <w:sz w:val="32"/>
          <w:szCs w:val="32"/>
        </w:rPr>
        <w:t>坚持政府过“紧日子”，进一步优化财政支出结构，强化支出管理，善于打好“铁算盘”，敢于当好“铁公鸡”，将更多资金用于“三保”等重点领域支出。继续做好“六稳”工作，落实“六保”任务，加强普惠性、基础性、兜底性民生建设保障能力，不断加大对教育、医疗、社会保障、巩固拓展脱贫攻坚成果同乡村振兴有效衔接等领域投入。</w:t>
      </w:r>
    </w:p>
    <w:p>
      <w:pPr>
        <w:keepNext w:val="0"/>
        <w:keepLines w:val="0"/>
        <w:pageBreakBefore w:val="0"/>
        <w:kinsoku/>
        <w:wordWrap/>
        <w:overflowPunct/>
        <w:topLinePunct w:val="0"/>
        <w:autoSpaceDE/>
        <w:autoSpaceDN/>
        <w:bidi w:val="0"/>
        <w:adjustRightInd/>
        <w:snapToGrid/>
        <w:spacing w:line="580" w:lineRule="exact"/>
        <w:ind w:firstLine="643" w:firstLineChars="200"/>
        <w:rPr>
          <w:rFonts w:hint="eastAsia" w:ascii="仿宋_GB2312" w:hAnsi="仿宋_GB2312" w:eastAsia="仿宋_GB2312" w:cs="仿宋_GB2312"/>
          <w:bCs/>
          <w:color w:val="000000"/>
          <w:sz w:val="32"/>
          <w:szCs w:val="32"/>
        </w:rPr>
      </w:pPr>
      <w:r>
        <w:rPr>
          <w:rFonts w:hint="eastAsia" w:ascii="华文楷体" w:hAnsi="华文楷体" w:eastAsia="华文楷体" w:cs="华文楷体"/>
          <w:b/>
          <w:color w:val="000000"/>
          <w:sz w:val="32"/>
          <w:szCs w:val="32"/>
          <w:lang w:eastAsia="zh-CN"/>
        </w:rPr>
        <w:t>（四）坚持改革创新，加快建立现代财政制度，在提高管理水平上实现新进展。</w:t>
      </w:r>
      <w:r>
        <w:rPr>
          <w:rFonts w:hint="eastAsia" w:ascii="仿宋_GB2312" w:hAnsi="仿宋_GB2312" w:eastAsia="仿宋_GB2312" w:cs="仿宋_GB2312"/>
          <w:bCs/>
          <w:color w:val="000000"/>
          <w:sz w:val="32"/>
          <w:szCs w:val="32"/>
        </w:rPr>
        <w:t>准确把握财税工作新形势、新要求，加强政策协同，积极推进预算管理一体化改革，着力推进零基预算改革，破除支出固化格局。加强直达资金管理，进一步完善新增财政资金直达机制，充分发挥财政直达资金惠企利民。积极防范债务风险，杜绝出现隐性债务之外的隐性债务，防止发生系统性财政金融风险。深入推进绩效目标管理，扎实做好绩效评价工作，强化评价结果应用。继续深化政府采购领域和财政投资评审改革，强化政府投资项目管理。</w:t>
      </w:r>
    </w:p>
    <w:p>
      <w:pPr>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各位代表，2022年全县财政部门将紧紧围绕县委、县政府的决策部署，主动接受县人大的依法监督，认真听取政协意见建议，齐心协力、开拓进取、敢于担当、顽强拼搏，扎实做好各项财政工作，以优异的成绩迎接党的二十大召开！</w:t>
      </w:r>
    </w:p>
    <w:sectPr>
      <w:headerReference r:id="rId3" w:type="default"/>
      <w:footerReference r:id="rId4" w:type="default"/>
      <w:footerReference r:id="rId5" w:type="even"/>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330C483E"/>
    <w:rsid w:val="000015FE"/>
    <w:rsid w:val="00007FFD"/>
    <w:rsid w:val="000110EB"/>
    <w:rsid w:val="00011E47"/>
    <w:rsid w:val="0001559C"/>
    <w:rsid w:val="000174C6"/>
    <w:rsid w:val="0002213F"/>
    <w:rsid w:val="0002382E"/>
    <w:rsid w:val="000258AA"/>
    <w:rsid w:val="0002778B"/>
    <w:rsid w:val="0003651B"/>
    <w:rsid w:val="0003764C"/>
    <w:rsid w:val="00037841"/>
    <w:rsid w:val="00037B1E"/>
    <w:rsid w:val="000415B7"/>
    <w:rsid w:val="000422E0"/>
    <w:rsid w:val="00066816"/>
    <w:rsid w:val="00076623"/>
    <w:rsid w:val="00080B18"/>
    <w:rsid w:val="00080FEC"/>
    <w:rsid w:val="00097450"/>
    <w:rsid w:val="00097E76"/>
    <w:rsid w:val="000A2380"/>
    <w:rsid w:val="000A2392"/>
    <w:rsid w:val="000A2B3E"/>
    <w:rsid w:val="000A4B03"/>
    <w:rsid w:val="000C5D02"/>
    <w:rsid w:val="000C64BB"/>
    <w:rsid w:val="000D2EE3"/>
    <w:rsid w:val="000D3D6F"/>
    <w:rsid w:val="000D4159"/>
    <w:rsid w:val="000E054D"/>
    <w:rsid w:val="000E20FD"/>
    <w:rsid w:val="000E567F"/>
    <w:rsid w:val="000F05C4"/>
    <w:rsid w:val="000F1979"/>
    <w:rsid w:val="001010C4"/>
    <w:rsid w:val="001027ED"/>
    <w:rsid w:val="00102982"/>
    <w:rsid w:val="00103EAC"/>
    <w:rsid w:val="00107127"/>
    <w:rsid w:val="00112797"/>
    <w:rsid w:val="0012155E"/>
    <w:rsid w:val="0012645D"/>
    <w:rsid w:val="0013515B"/>
    <w:rsid w:val="0015503D"/>
    <w:rsid w:val="001774D4"/>
    <w:rsid w:val="0018294B"/>
    <w:rsid w:val="00185A5A"/>
    <w:rsid w:val="001861A0"/>
    <w:rsid w:val="00186CEC"/>
    <w:rsid w:val="001872D6"/>
    <w:rsid w:val="001A45B7"/>
    <w:rsid w:val="001B40A3"/>
    <w:rsid w:val="001B7187"/>
    <w:rsid w:val="001C1840"/>
    <w:rsid w:val="001C361A"/>
    <w:rsid w:val="001D3BBE"/>
    <w:rsid w:val="001D594E"/>
    <w:rsid w:val="001D64ED"/>
    <w:rsid w:val="001E5B23"/>
    <w:rsid w:val="001E6185"/>
    <w:rsid w:val="001F0D4B"/>
    <w:rsid w:val="001F6E5C"/>
    <w:rsid w:val="00203DB3"/>
    <w:rsid w:val="00206CA1"/>
    <w:rsid w:val="00207A98"/>
    <w:rsid w:val="0021287B"/>
    <w:rsid w:val="00213B44"/>
    <w:rsid w:val="00217D22"/>
    <w:rsid w:val="0022016F"/>
    <w:rsid w:val="00222311"/>
    <w:rsid w:val="00223542"/>
    <w:rsid w:val="00227D2E"/>
    <w:rsid w:val="00240CFB"/>
    <w:rsid w:val="00243FF9"/>
    <w:rsid w:val="002443FD"/>
    <w:rsid w:val="00244DD0"/>
    <w:rsid w:val="00266312"/>
    <w:rsid w:val="0026640F"/>
    <w:rsid w:val="00274A28"/>
    <w:rsid w:val="00276476"/>
    <w:rsid w:val="00282AFC"/>
    <w:rsid w:val="0028559A"/>
    <w:rsid w:val="00286A03"/>
    <w:rsid w:val="002A05C5"/>
    <w:rsid w:val="002A4B58"/>
    <w:rsid w:val="002B119D"/>
    <w:rsid w:val="002C13E7"/>
    <w:rsid w:val="002C2A2F"/>
    <w:rsid w:val="002C4261"/>
    <w:rsid w:val="002D7808"/>
    <w:rsid w:val="002D7DDF"/>
    <w:rsid w:val="002E1E4D"/>
    <w:rsid w:val="002E295C"/>
    <w:rsid w:val="002E3010"/>
    <w:rsid w:val="002E30EB"/>
    <w:rsid w:val="002E3CAC"/>
    <w:rsid w:val="002E4702"/>
    <w:rsid w:val="002F275C"/>
    <w:rsid w:val="002F4FE1"/>
    <w:rsid w:val="0030401E"/>
    <w:rsid w:val="003147AE"/>
    <w:rsid w:val="00315B1B"/>
    <w:rsid w:val="0032031C"/>
    <w:rsid w:val="00333014"/>
    <w:rsid w:val="0033364A"/>
    <w:rsid w:val="00333F8D"/>
    <w:rsid w:val="0033784D"/>
    <w:rsid w:val="003411B7"/>
    <w:rsid w:val="00343685"/>
    <w:rsid w:val="00343901"/>
    <w:rsid w:val="003452BC"/>
    <w:rsid w:val="003477E3"/>
    <w:rsid w:val="003561D7"/>
    <w:rsid w:val="0036255C"/>
    <w:rsid w:val="003649D4"/>
    <w:rsid w:val="003729B3"/>
    <w:rsid w:val="00381780"/>
    <w:rsid w:val="00385186"/>
    <w:rsid w:val="003A32E0"/>
    <w:rsid w:val="003A3B54"/>
    <w:rsid w:val="003A55E8"/>
    <w:rsid w:val="003A5887"/>
    <w:rsid w:val="003A690A"/>
    <w:rsid w:val="003D0C2A"/>
    <w:rsid w:val="003D3AAE"/>
    <w:rsid w:val="003D62E4"/>
    <w:rsid w:val="003E68BC"/>
    <w:rsid w:val="003F044A"/>
    <w:rsid w:val="003F719D"/>
    <w:rsid w:val="00410411"/>
    <w:rsid w:val="00420933"/>
    <w:rsid w:val="00420C1F"/>
    <w:rsid w:val="00425CBC"/>
    <w:rsid w:val="00425D90"/>
    <w:rsid w:val="00433B40"/>
    <w:rsid w:val="00442F41"/>
    <w:rsid w:val="00455809"/>
    <w:rsid w:val="00462E5C"/>
    <w:rsid w:val="004675BD"/>
    <w:rsid w:val="004726D0"/>
    <w:rsid w:val="0047746D"/>
    <w:rsid w:val="0048069E"/>
    <w:rsid w:val="0048077B"/>
    <w:rsid w:val="004842CD"/>
    <w:rsid w:val="004855D7"/>
    <w:rsid w:val="00493FC1"/>
    <w:rsid w:val="004A4CE0"/>
    <w:rsid w:val="004A5BE4"/>
    <w:rsid w:val="004B0166"/>
    <w:rsid w:val="004B60AD"/>
    <w:rsid w:val="004C0037"/>
    <w:rsid w:val="004D3618"/>
    <w:rsid w:val="004D60A5"/>
    <w:rsid w:val="004E1574"/>
    <w:rsid w:val="004E2F78"/>
    <w:rsid w:val="004E5029"/>
    <w:rsid w:val="004E7368"/>
    <w:rsid w:val="004F030D"/>
    <w:rsid w:val="004F08B7"/>
    <w:rsid w:val="004F5A24"/>
    <w:rsid w:val="005025EE"/>
    <w:rsid w:val="005035BB"/>
    <w:rsid w:val="005112E0"/>
    <w:rsid w:val="0051154D"/>
    <w:rsid w:val="00511C49"/>
    <w:rsid w:val="0051602A"/>
    <w:rsid w:val="0052059F"/>
    <w:rsid w:val="00520F18"/>
    <w:rsid w:val="00523AF8"/>
    <w:rsid w:val="00530466"/>
    <w:rsid w:val="005344DC"/>
    <w:rsid w:val="00537D09"/>
    <w:rsid w:val="00544C69"/>
    <w:rsid w:val="00546555"/>
    <w:rsid w:val="00546F13"/>
    <w:rsid w:val="00554B8F"/>
    <w:rsid w:val="00556CF7"/>
    <w:rsid w:val="0056433B"/>
    <w:rsid w:val="005653EA"/>
    <w:rsid w:val="00570003"/>
    <w:rsid w:val="005735B8"/>
    <w:rsid w:val="005736B7"/>
    <w:rsid w:val="0058010B"/>
    <w:rsid w:val="00581C17"/>
    <w:rsid w:val="00582453"/>
    <w:rsid w:val="00584824"/>
    <w:rsid w:val="00586638"/>
    <w:rsid w:val="005A4EB0"/>
    <w:rsid w:val="005A5357"/>
    <w:rsid w:val="005B1480"/>
    <w:rsid w:val="005B7375"/>
    <w:rsid w:val="005B761A"/>
    <w:rsid w:val="005C34DE"/>
    <w:rsid w:val="005D1F8B"/>
    <w:rsid w:val="005D329D"/>
    <w:rsid w:val="005D6428"/>
    <w:rsid w:val="005E0CD2"/>
    <w:rsid w:val="005E7770"/>
    <w:rsid w:val="005F2944"/>
    <w:rsid w:val="00600E88"/>
    <w:rsid w:val="00600FCD"/>
    <w:rsid w:val="006044E9"/>
    <w:rsid w:val="0061187D"/>
    <w:rsid w:val="00611C2B"/>
    <w:rsid w:val="00617F74"/>
    <w:rsid w:val="00621E33"/>
    <w:rsid w:val="00622690"/>
    <w:rsid w:val="00625152"/>
    <w:rsid w:val="00625C8C"/>
    <w:rsid w:val="006268E5"/>
    <w:rsid w:val="0063303E"/>
    <w:rsid w:val="00645ECA"/>
    <w:rsid w:val="0065097F"/>
    <w:rsid w:val="0065365B"/>
    <w:rsid w:val="006539FD"/>
    <w:rsid w:val="00656F43"/>
    <w:rsid w:val="0066235C"/>
    <w:rsid w:val="00664191"/>
    <w:rsid w:val="006710E2"/>
    <w:rsid w:val="0067202B"/>
    <w:rsid w:val="00672CF7"/>
    <w:rsid w:val="006739E6"/>
    <w:rsid w:val="006744B6"/>
    <w:rsid w:val="00685A6E"/>
    <w:rsid w:val="0069309A"/>
    <w:rsid w:val="006A0DA4"/>
    <w:rsid w:val="006A13DD"/>
    <w:rsid w:val="006A2B13"/>
    <w:rsid w:val="006A625E"/>
    <w:rsid w:val="006A6D13"/>
    <w:rsid w:val="006A721D"/>
    <w:rsid w:val="006A77FA"/>
    <w:rsid w:val="006B332F"/>
    <w:rsid w:val="006B4E3E"/>
    <w:rsid w:val="006C15A6"/>
    <w:rsid w:val="006C76EA"/>
    <w:rsid w:val="006D0095"/>
    <w:rsid w:val="006D4911"/>
    <w:rsid w:val="006D6DEA"/>
    <w:rsid w:val="006D7981"/>
    <w:rsid w:val="006D7C21"/>
    <w:rsid w:val="006E0620"/>
    <w:rsid w:val="006E1D23"/>
    <w:rsid w:val="006F1961"/>
    <w:rsid w:val="006F30CF"/>
    <w:rsid w:val="006F61FE"/>
    <w:rsid w:val="00700C52"/>
    <w:rsid w:val="0070202D"/>
    <w:rsid w:val="00715F07"/>
    <w:rsid w:val="00723458"/>
    <w:rsid w:val="007301AC"/>
    <w:rsid w:val="00732209"/>
    <w:rsid w:val="00734301"/>
    <w:rsid w:val="007372CD"/>
    <w:rsid w:val="0074609C"/>
    <w:rsid w:val="00747F76"/>
    <w:rsid w:val="00751437"/>
    <w:rsid w:val="00753F05"/>
    <w:rsid w:val="007541C2"/>
    <w:rsid w:val="00776703"/>
    <w:rsid w:val="007856DF"/>
    <w:rsid w:val="00787420"/>
    <w:rsid w:val="007932D6"/>
    <w:rsid w:val="007968F3"/>
    <w:rsid w:val="007A544D"/>
    <w:rsid w:val="007B1F11"/>
    <w:rsid w:val="007C0151"/>
    <w:rsid w:val="007D0449"/>
    <w:rsid w:val="007D0AD0"/>
    <w:rsid w:val="007D6722"/>
    <w:rsid w:val="007D6C05"/>
    <w:rsid w:val="007D6CE2"/>
    <w:rsid w:val="007D765C"/>
    <w:rsid w:val="007E05C3"/>
    <w:rsid w:val="007E1A77"/>
    <w:rsid w:val="007E1B2C"/>
    <w:rsid w:val="007E6FF1"/>
    <w:rsid w:val="007E75B8"/>
    <w:rsid w:val="007F46F1"/>
    <w:rsid w:val="008005DC"/>
    <w:rsid w:val="0080184E"/>
    <w:rsid w:val="0081531E"/>
    <w:rsid w:val="0082132F"/>
    <w:rsid w:val="00821F1F"/>
    <w:rsid w:val="008241B8"/>
    <w:rsid w:val="008251E5"/>
    <w:rsid w:val="00832906"/>
    <w:rsid w:val="00835EC0"/>
    <w:rsid w:val="0084206A"/>
    <w:rsid w:val="008523A8"/>
    <w:rsid w:val="0085598D"/>
    <w:rsid w:val="00866FB3"/>
    <w:rsid w:val="00873818"/>
    <w:rsid w:val="00876891"/>
    <w:rsid w:val="00880A61"/>
    <w:rsid w:val="00891A1E"/>
    <w:rsid w:val="00892B69"/>
    <w:rsid w:val="00894B44"/>
    <w:rsid w:val="008A2C3F"/>
    <w:rsid w:val="008C2191"/>
    <w:rsid w:val="008D1289"/>
    <w:rsid w:val="008D307C"/>
    <w:rsid w:val="008D37AE"/>
    <w:rsid w:val="008D4448"/>
    <w:rsid w:val="008D7077"/>
    <w:rsid w:val="008E11F9"/>
    <w:rsid w:val="008E196A"/>
    <w:rsid w:val="008E2018"/>
    <w:rsid w:val="008E5CA2"/>
    <w:rsid w:val="008F7E1E"/>
    <w:rsid w:val="0090369B"/>
    <w:rsid w:val="00904BED"/>
    <w:rsid w:val="00906B2B"/>
    <w:rsid w:val="009170B4"/>
    <w:rsid w:val="009179A3"/>
    <w:rsid w:val="009309EC"/>
    <w:rsid w:val="00935B7E"/>
    <w:rsid w:val="0093680E"/>
    <w:rsid w:val="00940396"/>
    <w:rsid w:val="00944163"/>
    <w:rsid w:val="00946ED1"/>
    <w:rsid w:val="009472F2"/>
    <w:rsid w:val="0094758A"/>
    <w:rsid w:val="00955402"/>
    <w:rsid w:val="00955E59"/>
    <w:rsid w:val="00956760"/>
    <w:rsid w:val="009652F6"/>
    <w:rsid w:val="0096550C"/>
    <w:rsid w:val="00976651"/>
    <w:rsid w:val="0097746E"/>
    <w:rsid w:val="009774A0"/>
    <w:rsid w:val="009804E3"/>
    <w:rsid w:val="00981451"/>
    <w:rsid w:val="00986F97"/>
    <w:rsid w:val="009912FD"/>
    <w:rsid w:val="009972A6"/>
    <w:rsid w:val="009A21DD"/>
    <w:rsid w:val="009A2424"/>
    <w:rsid w:val="009A28E6"/>
    <w:rsid w:val="009A5E49"/>
    <w:rsid w:val="009B3DF8"/>
    <w:rsid w:val="009B45B3"/>
    <w:rsid w:val="009C3170"/>
    <w:rsid w:val="009C40D9"/>
    <w:rsid w:val="009D1BFB"/>
    <w:rsid w:val="009D622F"/>
    <w:rsid w:val="009F4219"/>
    <w:rsid w:val="009F559F"/>
    <w:rsid w:val="009F6A1C"/>
    <w:rsid w:val="00A027FE"/>
    <w:rsid w:val="00A04535"/>
    <w:rsid w:val="00A10ABF"/>
    <w:rsid w:val="00A1230E"/>
    <w:rsid w:val="00A136C1"/>
    <w:rsid w:val="00A14D37"/>
    <w:rsid w:val="00A14DE9"/>
    <w:rsid w:val="00A20ABE"/>
    <w:rsid w:val="00A326CD"/>
    <w:rsid w:val="00A47EE3"/>
    <w:rsid w:val="00A50D30"/>
    <w:rsid w:val="00A529FC"/>
    <w:rsid w:val="00A53D1B"/>
    <w:rsid w:val="00A55A58"/>
    <w:rsid w:val="00A57323"/>
    <w:rsid w:val="00A63BDF"/>
    <w:rsid w:val="00A64460"/>
    <w:rsid w:val="00A72905"/>
    <w:rsid w:val="00A72F3C"/>
    <w:rsid w:val="00A77BB2"/>
    <w:rsid w:val="00A97CC0"/>
    <w:rsid w:val="00AA3015"/>
    <w:rsid w:val="00AA370F"/>
    <w:rsid w:val="00AA5CEF"/>
    <w:rsid w:val="00AB7D8E"/>
    <w:rsid w:val="00AC4A16"/>
    <w:rsid w:val="00AD4A3B"/>
    <w:rsid w:val="00AE2DBB"/>
    <w:rsid w:val="00AE2E75"/>
    <w:rsid w:val="00AE382F"/>
    <w:rsid w:val="00AF10AB"/>
    <w:rsid w:val="00AF566C"/>
    <w:rsid w:val="00AF5D78"/>
    <w:rsid w:val="00AF70DB"/>
    <w:rsid w:val="00AF7342"/>
    <w:rsid w:val="00AF7761"/>
    <w:rsid w:val="00B017CA"/>
    <w:rsid w:val="00B02749"/>
    <w:rsid w:val="00B02887"/>
    <w:rsid w:val="00B03379"/>
    <w:rsid w:val="00B05694"/>
    <w:rsid w:val="00B07305"/>
    <w:rsid w:val="00B207C6"/>
    <w:rsid w:val="00B2096C"/>
    <w:rsid w:val="00B21F49"/>
    <w:rsid w:val="00B238BD"/>
    <w:rsid w:val="00B2718D"/>
    <w:rsid w:val="00B27C2A"/>
    <w:rsid w:val="00B3179B"/>
    <w:rsid w:val="00B37B50"/>
    <w:rsid w:val="00B400DB"/>
    <w:rsid w:val="00B45EDE"/>
    <w:rsid w:val="00B5366D"/>
    <w:rsid w:val="00B54813"/>
    <w:rsid w:val="00B55F3B"/>
    <w:rsid w:val="00B57793"/>
    <w:rsid w:val="00B578C5"/>
    <w:rsid w:val="00B57DB3"/>
    <w:rsid w:val="00B6098E"/>
    <w:rsid w:val="00B614E6"/>
    <w:rsid w:val="00B6185F"/>
    <w:rsid w:val="00B66208"/>
    <w:rsid w:val="00B741D5"/>
    <w:rsid w:val="00B74DA6"/>
    <w:rsid w:val="00B76952"/>
    <w:rsid w:val="00B77816"/>
    <w:rsid w:val="00B83514"/>
    <w:rsid w:val="00B86BB1"/>
    <w:rsid w:val="00B93E56"/>
    <w:rsid w:val="00B94F20"/>
    <w:rsid w:val="00BA55FD"/>
    <w:rsid w:val="00BA57DC"/>
    <w:rsid w:val="00BC2E4B"/>
    <w:rsid w:val="00BC4285"/>
    <w:rsid w:val="00BD0454"/>
    <w:rsid w:val="00BD135F"/>
    <w:rsid w:val="00BD17D1"/>
    <w:rsid w:val="00BD3ACE"/>
    <w:rsid w:val="00BD7221"/>
    <w:rsid w:val="00BE040B"/>
    <w:rsid w:val="00BE4061"/>
    <w:rsid w:val="00BE5944"/>
    <w:rsid w:val="00BE6AC9"/>
    <w:rsid w:val="00BE7269"/>
    <w:rsid w:val="00BE72C6"/>
    <w:rsid w:val="00BF0616"/>
    <w:rsid w:val="00BF3BE8"/>
    <w:rsid w:val="00BF5468"/>
    <w:rsid w:val="00BF6131"/>
    <w:rsid w:val="00C0002A"/>
    <w:rsid w:val="00C03E72"/>
    <w:rsid w:val="00C05E64"/>
    <w:rsid w:val="00C161C3"/>
    <w:rsid w:val="00C2046C"/>
    <w:rsid w:val="00C306FE"/>
    <w:rsid w:val="00C339DA"/>
    <w:rsid w:val="00C4440E"/>
    <w:rsid w:val="00C52E57"/>
    <w:rsid w:val="00C56B4C"/>
    <w:rsid w:val="00C61E90"/>
    <w:rsid w:val="00C62DE8"/>
    <w:rsid w:val="00C64872"/>
    <w:rsid w:val="00C67D13"/>
    <w:rsid w:val="00C709F4"/>
    <w:rsid w:val="00C7299E"/>
    <w:rsid w:val="00C7466D"/>
    <w:rsid w:val="00C766C3"/>
    <w:rsid w:val="00C809DF"/>
    <w:rsid w:val="00C87A43"/>
    <w:rsid w:val="00C91341"/>
    <w:rsid w:val="00C9239D"/>
    <w:rsid w:val="00C944EA"/>
    <w:rsid w:val="00C94EA0"/>
    <w:rsid w:val="00C97FA3"/>
    <w:rsid w:val="00CB0BB9"/>
    <w:rsid w:val="00CB23CC"/>
    <w:rsid w:val="00CB422F"/>
    <w:rsid w:val="00CB4C7B"/>
    <w:rsid w:val="00CC1BEE"/>
    <w:rsid w:val="00CC2594"/>
    <w:rsid w:val="00CD0325"/>
    <w:rsid w:val="00CD4745"/>
    <w:rsid w:val="00CE3D2E"/>
    <w:rsid w:val="00CF2350"/>
    <w:rsid w:val="00CF25E7"/>
    <w:rsid w:val="00CF28C9"/>
    <w:rsid w:val="00CF310D"/>
    <w:rsid w:val="00CF37BF"/>
    <w:rsid w:val="00CF51A2"/>
    <w:rsid w:val="00D03790"/>
    <w:rsid w:val="00D106C6"/>
    <w:rsid w:val="00D11B78"/>
    <w:rsid w:val="00D1764B"/>
    <w:rsid w:val="00D208CF"/>
    <w:rsid w:val="00D20ABF"/>
    <w:rsid w:val="00D210B1"/>
    <w:rsid w:val="00D2205C"/>
    <w:rsid w:val="00D224C2"/>
    <w:rsid w:val="00D34248"/>
    <w:rsid w:val="00D34E8D"/>
    <w:rsid w:val="00D449C9"/>
    <w:rsid w:val="00D4531C"/>
    <w:rsid w:val="00D45E5D"/>
    <w:rsid w:val="00D541EC"/>
    <w:rsid w:val="00D62409"/>
    <w:rsid w:val="00D62EAD"/>
    <w:rsid w:val="00D6312E"/>
    <w:rsid w:val="00D70AE8"/>
    <w:rsid w:val="00D74231"/>
    <w:rsid w:val="00D74C8D"/>
    <w:rsid w:val="00D877DD"/>
    <w:rsid w:val="00D912A9"/>
    <w:rsid w:val="00D91858"/>
    <w:rsid w:val="00D95E05"/>
    <w:rsid w:val="00D97AAF"/>
    <w:rsid w:val="00DA0164"/>
    <w:rsid w:val="00DA17DB"/>
    <w:rsid w:val="00DA5F5C"/>
    <w:rsid w:val="00DA7A8C"/>
    <w:rsid w:val="00DB0393"/>
    <w:rsid w:val="00DB4B02"/>
    <w:rsid w:val="00DC294A"/>
    <w:rsid w:val="00DC2A36"/>
    <w:rsid w:val="00DC5785"/>
    <w:rsid w:val="00DC6B86"/>
    <w:rsid w:val="00DD0BED"/>
    <w:rsid w:val="00DE14F4"/>
    <w:rsid w:val="00DE1B2C"/>
    <w:rsid w:val="00DE2DC2"/>
    <w:rsid w:val="00DF0946"/>
    <w:rsid w:val="00DF3165"/>
    <w:rsid w:val="00DF45F3"/>
    <w:rsid w:val="00DF5960"/>
    <w:rsid w:val="00DF620F"/>
    <w:rsid w:val="00E0109E"/>
    <w:rsid w:val="00E07D4D"/>
    <w:rsid w:val="00E11B58"/>
    <w:rsid w:val="00E11FB2"/>
    <w:rsid w:val="00E250AA"/>
    <w:rsid w:val="00E367D5"/>
    <w:rsid w:val="00E37665"/>
    <w:rsid w:val="00E40D03"/>
    <w:rsid w:val="00E471D6"/>
    <w:rsid w:val="00E506A5"/>
    <w:rsid w:val="00E518F7"/>
    <w:rsid w:val="00E53F67"/>
    <w:rsid w:val="00E6310B"/>
    <w:rsid w:val="00E63A17"/>
    <w:rsid w:val="00E64EB5"/>
    <w:rsid w:val="00E71746"/>
    <w:rsid w:val="00E74B17"/>
    <w:rsid w:val="00E82DC9"/>
    <w:rsid w:val="00E861E2"/>
    <w:rsid w:val="00E87B57"/>
    <w:rsid w:val="00E90EB8"/>
    <w:rsid w:val="00E91776"/>
    <w:rsid w:val="00E91F00"/>
    <w:rsid w:val="00E92EB5"/>
    <w:rsid w:val="00E94AB9"/>
    <w:rsid w:val="00E94F3F"/>
    <w:rsid w:val="00E961DF"/>
    <w:rsid w:val="00EA226A"/>
    <w:rsid w:val="00EA4651"/>
    <w:rsid w:val="00EA6417"/>
    <w:rsid w:val="00EA6CE0"/>
    <w:rsid w:val="00EB2CAA"/>
    <w:rsid w:val="00EB5D51"/>
    <w:rsid w:val="00EB7EFE"/>
    <w:rsid w:val="00EC458D"/>
    <w:rsid w:val="00EC4BC1"/>
    <w:rsid w:val="00EC6F2D"/>
    <w:rsid w:val="00ED2978"/>
    <w:rsid w:val="00ED3060"/>
    <w:rsid w:val="00ED31FD"/>
    <w:rsid w:val="00ED4B4D"/>
    <w:rsid w:val="00EE09B9"/>
    <w:rsid w:val="00EE1477"/>
    <w:rsid w:val="00EE2F16"/>
    <w:rsid w:val="00EE3ED7"/>
    <w:rsid w:val="00EF3ABB"/>
    <w:rsid w:val="00EF45CE"/>
    <w:rsid w:val="00EF69A4"/>
    <w:rsid w:val="00EF7116"/>
    <w:rsid w:val="00EF76E0"/>
    <w:rsid w:val="00F02EF7"/>
    <w:rsid w:val="00F106F7"/>
    <w:rsid w:val="00F12193"/>
    <w:rsid w:val="00F20A3E"/>
    <w:rsid w:val="00F24E59"/>
    <w:rsid w:val="00F27E8E"/>
    <w:rsid w:val="00F33918"/>
    <w:rsid w:val="00F35AD4"/>
    <w:rsid w:val="00F52F3C"/>
    <w:rsid w:val="00F57466"/>
    <w:rsid w:val="00F62637"/>
    <w:rsid w:val="00F671BA"/>
    <w:rsid w:val="00F77F3A"/>
    <w:rsid w:val="00F82047"/>
    <w:rsid w:val="00F854C7"/>
    <w:rsid w:val="00F86DC5"/>
    <w:rsid w:val="00F9665C"/>
    <w:rsid w:val="00F96ADC"/>
    <w:rsid w:val="00FA035E"/>
    <w:rsid w:val="00FA5538"/>
    <w:rsid w:val="00FA64B4"/>
    <w:rsid w:val="00FB0DB3"/>
    <w:rsid w:val="00FB1200"/>
    <w:rsid w:val="00FC6300"/>
    <w:rsid w:val="00FD1E87"/>
    <w:rsid w:val="00FD4B05"/>
    <w:rsid w:val="00FD606F"/>
    <w:rsid w:val="00FE1332"/>
    <w:rsid w:val="00FE7578"/>
    <w:rsid w:val="00FE7923"/>
    <w:rsid w:val="00FF320B"/>
    <w:rsid w:val="00FF765D"/>
    <w:rsid w:val="00FF7C0B"/>
    <w:rsid w:val="010A29DC"/>
    <w:rsid w:val="012F22D5"/>
    <w:rsid w:val="013142D8"/>
    <w:rsid w:val="018A58CB"/>
    <w:rsid w:val="01A64590"/>
    <w:rsid w:val="01C14589"/>
    <w:rsid w:val="03015719"/>
    <w:rsid w:val="033C0D43"/>
    <w:rsid w:val="038D76B4"/>
    <w:rsid w:val="03BE360A"/>
    <w:rsid w:val="04531FA4"/>
    <w:rsid w:val="047E4718"/>
    <w:rsid w:val="0559083E"/>
    <w:rsid w:val="06035C4C"/>
    <w:rsid w:val="063575DD"/>
    <w:rsid w:val="06BC14F0"/>
    <w:rsid w:val="06CD24E2"/>
    <w:rsid w:val="06E93111"/>
    <w:rsid w:val="075C1AB8"/>
    <w:rsid w:val="077C1F45"/>
    <w:rsid w:val="080C1485"/>
    <w:rsid w:val="082B60CA"/>
    <w:rsid w:val="08B8362D"/>
    <w:rsid w:val="08F0594E"/>
    <w:rsid w:val="09734E97"/>
    <w:rsid w:val="09E74D0A"/>
    <w:rsid w:val="0AE41844"/>
    <w:rsid w:val="0AF049F1"/>
    <w:rsid w:val="0B127820"/>
    <w:rsid w:val="0B471AA0"/>
    <w:rsid w:val="0C4F603D"/>
    <w:rsid w:val="0C605BA6"/>
    <w:rsid w:val="0DEE18D5"/>
    <w:rsid w:val="0F862D38"/>
    <w:rsid w:val="0FCB77DB"/>
    <w:rsid w:val="10212B34"/>
    <w:rsid w:val="10E47D32"/>
    <w:rsid w:val="11286567"/>
    <w:rsid w:val="12142A6E"/>
    <w:rsid w:val="12267809"/>
    <w:rsid w:val="1334672C"/>
    <w:rsid w:val="139323BD"/>
    <w:rsid w:val="14EA425F"/>
    <w:rsid w:val="14EF4A54"/>
    <w:rsid w:val="153D4CD7"/>
    <w:rsid w:val="15C20CB4"/>
    <w:rsid w:val="17D8152B"/>
    <w:rsid w:val="187A5C10"/>
    <w:rsid w:val="18E62EA4"/>
    <w:rsid w:val="192166BD"/>
    <w:rsid w:val="19BF248F"/>
    <w:rsid w:val="19E25E4D"/>
    <w:rsid w:val="19ED43F0"/>
    <w:rsid w:val="1ADD03C2"/>
    <w:rsid w:val="1BC60097"/>
    <w:rsid w:val="1D491D3F"/>
    <w:rsid w:val="1D813BCE"/>
    <w:rsid w:val="1DB16262"/>
    <w:rsid w:val="1E6A4663"/>
    <w:rsid w:val="1E6A60E9"/>
    <w:rsid w:val="1EC82BC7"/>
    <w:rsid w:val="1ED3045A"/>
    <w:rsid w:val="1EF93AF7"/>
    <w:rsid w:val="1F8F338F"/>
    <w:rsid w:val="1F9D6372"/>
    <w:rsid w:val="1FA83694"/>
    <w:rsid w:val="20AC4ABE"/>
    <w:rsid w:val="2110329F"/>
    <w:rsid w:val="21542453"/>
    <w:rsid w:val="21E10DD5"/>
    <w:rsid w:val="225765E4"/>
    <w:rsid w:val="228A51E0"/>
    <w:rsid w:val="231E231E"/>
    <w:rsid w:val="23496F3C"/>
    <w:rsid w:val="23614286"/>
    <w:rsid w:val="238B1303"/>
    <w:rsid w:val="240F3CE2"/>
    <w:rsid w:val="241A2687"/>
    <w:rsid w:val="24311EAA"/>
    <w:rsid w:val="249C4E4A"/>
    <w:rsid w:val="24D76B96"/>
    <w:rsid w:val="2580476C"/>
    <w:rsid w:val="26404C77"/>
    <w:rsid w:val="26A76454"/>
    <w:rsid w:val="279E4A75"/>
    <w:rsid w:val="27BC3905"/>
    <w:rsid w:val="27D17500"/>
    <w:rsid w:val="280C6502"/>
    <w:rsid w:val="28B07116"/>
    <w:rsid w:val="294F2DD3"/>
    <w:rsid w:val="29A74A55"/>
    <w:rsid w:val="29AB625B"/>
    <w:rsid w:val="2A9D36CA"/>
    <w:rsid w:val="2AB445E7"/>
    <w:rsid w:val="2C854DC8"/>
    <w:rsid w:val="2C9C6C7F"/>
    <w:rsid w:val="2CC31B0E"/>
    <w:rsid w:val="2D4C7978"/>
    <w:rsid w:val="2D4F15F3"/>
    <w:rsid w:val="2D7F7AD0"/>
    <w:rsid w:val="2E7B3D22"/>
    <w:rsid w:val="2E9548DB"/>
    <w:rsid w:val="2FE47EAD"/>
    <w:rsid w:val="31380AF6"/>
    <w:rsid w:val="317B29B7"/>
    <w:rsid w:val="31C00377"/>
    <w:rsid w:val="3216448E"/>
    <w:rsid w:val="32220022"/>
    <w:rsid w:val="323179AF"/>
    <w:rsid w:val="3281224F"/>
    <w:rsid w:val="32AE0B6A"/>
    <w:rsid w:val="330C483E"/>
    <w:rsid w:val="338E3441"/>
    <w:rsid w:val="347656B7"/>
    <w:rsid w:val="34F338F2"/>
    <w:rsid w:val="359D0A22"/>
    <w:rsid w:val="35AB3009"/>
    <w:rsid w:val="35E054DE"/>
    <w:rsid w:val="35F72828"/>
    <w:rsid w:val="36B062E5"/>
    <w:rsid w:val="36B349A1"/>
    <w:rsid w:val="373F4487"/>
    <w:rsid w:val="3785588A"/>
    <w:rsid w:val="38BD1B07"/>
    <w:rsid w:val="3A6D217A"/>
    <w:rsid w:val="3AC71633"/>
    <w:rsid w:val="3ADB0022"/>
    <w:rsid w:val="3B3F4A55"/>
    <w:rsid w:val="3C1A7270"/>
    <w:rsid w:val="3C776471"/>
    <w:rsid w:val="3D8B5067"/>
    <w:rsid w:val="3DD16C87"/>
    <w:rsid w:val="3DE73182"/>
    <w:rsid w:val="3E485604"/>
    <w:rsid w:val="3E9C21BE"/>
    <w:rsid w:val="3F163D1F"/>
    <w:rsid w:val="3FB86B84"/>
    <w:rsid w:val="40311899"/>
    <w:rsid w:val="40BA2F5B"/>
    <w:rsid w:val="434F5A51"/>
    <w:rsid w:val="43572B58"/>
    <w:rsid w:val="437555CC"/>
    <w:rsid w:val="43A250A9"/>
    <w:rsid w:val="444F5B5D"/>
    <w:rsid w:val="45124F88"/>
    <w:rsid w:val="46A55988"/>
    <w:rsid w:val="46D45FE7"/>
    <w:rsid w:val="46D83FB0"/>
    <w:rsid w:val="471548BC"/>
    <w:rsid w:val="48482A6F"/>
    <w:rsid w:val="48E33679"/>
    <w:rsid w:val="490B5F77"/>
    <w:rsid w:val="495C67D2"/>
    <w:rsid w:val="49EC3FFA"/>
    <w:rsid w:val="4A2C5ED4"/>
    <w:rsid w:val="4AC1169A"/>
    <w:rsid w:val="4B521F3C"/>
    <w:rsid w:val="4CDB1999"/>
    <w:rsid w:val="4D5679DC"/>
    <w:rsid w:val="4D645028"/>
    <w:rsid w:val="4D92310A"/>
    <w:rsid w:val="4EA03156"/>
    <w:rsid w:val="4EA56E6D"/>
    <w:rsid w:val="4F7A47FD"/>
    <w:rsid w:val="4FD44EB5"/>
    <w:rsid w:val="50F10A24"/>
    <w:rsid w:val="51694B48"/>
    <w:rsid w:val="51CF0C09"/>
    <w:rsid w:val="520A4423"/>
    <w:rsid w:val="527252B8"/>
    <w:rsid w:val="52943481"/>
    <w:rsid w:val="538C5F06"/>
    <w:rsid w:val="53D855EF"/>
    <w:rsid w:val="54617438"/>
    <w:rsid w:val="547C44F5"/>
    <w:rsid w:val="5543503A"/>
    <w:rsid w:val="55AC6D33"/>
    <w:rsid w:val="55C37BD9"/>
    <w:rsid w:val="563A433F"/>
    <w:rsid w:val="565D4C23"/>
    <w:rsid w:val="56707D61"/>
    <w:rsid w:val="56BE16E2"/>
    <w:rsid w:val="56F73C07"/>
    <w:rsid w:val="570C2BF4"/>
    <w:rsid w:val="57C33EC0"/>
    <w:rsid w:val="58664F14"/>
    <w:rsid w:val="5A2D47BC"/>
    <w:rsid w:val="5AE66844"/>
    <w:rsid w:val="5B072517"/>
    <w:rsid w:val="5B1A473F"/>
    <w:rsid w:val="5B6A1223"/>
    <w:rsid w:val="5C4557EC"/>
    <w:rsid w:val="5CD45B28"/>
    <w:rsid w:val="5D192F00"/>
    <w:rsid w:val="5D30492F"/>
    <w:rsid w:val="5DFC53B0"/>
    <w:rsid w:val="5EB629D1"/>
    <w:rsid w:val="5F0B0627"/>
    <w:rsid w:val="5F2A61B3"/>
    <w:rsid w:val="5F570658"/>
    <w:rsid w:val="62165C60"/>
    <w:rsid w:val="621F43E9"/>
    <w:rsid w:val="62255EA3"/>
    <w:rsid w:val="622C2A14"/>
    <w:rsid w:val="63161C90"/>
    <w:rsid w:val="63300D31"/>
    <w:rsid w:val="634C56B2"/>
    <w:rsid w:val="642F125B"/>
    <w:rsid w:val="655A3B84"/>
    <w:rsid w:val="65706A74"/>
    <w:rsid w:val="65DF6369"/>
    <w:rsid w:val="68091DC3"/>
    <w:rsid w:val="698C4A5A"/>
    <w:rsid w:val="699B19DE"/>
    <w:rsid w:val="6A877632"/>
    <w:rsid w:val="6B685053"/>
    <w:rsid w:val="6B6932A5"/>
    <w:rsid w:val="6B787BBA"/>
    <w:rsid w:val="6BE41986"/>
    <w:rsid w:val="6BFF6DED"/>
    <w:rsid w:val="6C2E3BA6"/>
    <w:rsid w:val="6C705F6D"/>
    <w:rsid w:val="6C7D068A"/>
    <w:rsid w:val="6CBF5146"/>
    <w:rsid w:val="6E3851B0"/>
    <w:rsid w:val="6E9546C9"/>
    <w:rsid w:val="6F0357BE"/>
    <w:rsid w:val="6F0F60B4"/>
    <w:rsid w:val="6F345A43"/>
    <w:rsid w:val="6F3F4098"/>
    <w:rsid w:val="6FBD0165"/>
    <w:rsid w:val="6FFE5F86"/>
    <w:rsid w:val="709C3385"/>
    <w:rsid w:val="71BC1C54"/>
    <w:rsid w:val="71DD22F7"/>
    <w:rsid w:val="734D49E0"/>
    <w:rsid w:val="739B5903"/>
    <w:rsid w:val="746F795B"/>
    <w:rsid w:val="74F300F1"/>
    <w:rsid w:val="750E6997"/>
    <w:rsid w:val="752B15CB"/>
    <w:rsid w:val="7544443B"/>
    <w:rsid w:val="75732EAC"/>
    <w:rsid w:val="760726A9"/>
    <w:rsid w:val="76265B57"/>
    <w:rsid w:val="764C3E04"/>
    <w:rsid w:val="76F31C74"/>
    <w:rsid w:val="793E6DFF"/>
    <w:rsid w:val="79701CA2"/>
    <w:rsid w:val="797323F5"/>
    <w:rsid w:val="797B41A3"/>
    <w:rsid w:val="7A041186"/>
    <w:rsid w:val="7A8F43AA"/>
    <w:rsid w:val="7AC5601E"/>
    <w:rsid w:val="7BA2010D"/>
    <w:rsid w:val="7C605FFE"/>
    <w:rsid w:val="7C86358B"/>
    <w:rsid w:val="7D0E11C6"/>
    <w:rsid w:val="7EAF501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iPriority="99" w:name="Body Text" w:locked="1"/>
    <w:lsdException w:qFormat="1"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qFormat="1" w:unhideWhenUsed="0" w:uiPriority="0"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locked/>
    <w:uiPriority w:val="0"/>
    <w:rPr>
      <w:rFonts w:hAnsi="Courier New" w:eastAsia="宋体" w:cs="Courier New"/>
      <w:sz w:val="21"/>
      <w:szCs w:val="21"/>
    </w:rPr>
  </w:style>
  <w:style w:type="paragraph" w:styleId="3">
    <w:name w:val="Body Text"/>
    <w:basedOn w:val="1"/>
    <w:link w:val="16"/>
    <w:semiHidden/>
    <w:unhideWhenUsed/>
    <w:qFormat/>
    <w:locked/>
    <w:uiPriority w:val="99"/>
    <w:pPr>
      <w:spacing w:after="120"/>
    </w:pPr>
  </w:style>
  <w:style w:type="paragraph" w:styleId="4">
    <w:name w:val="Body Text Indent"/>
    <w:basedOn w:val="1"/>
    <w:link w:val="14"/>
    <w:semiHidden/>
    <w:unhideWhenUsed/>
    <w:qFormat/>
    <w:locked/>
    <w:uiPriority w:val="99"/>
    <w:pPr>
      <w:spacing w:after="120"/>
      <w:ind w:left="420" w:leftChars="200"/>
    </w:p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kern w:val="0"/>
      <w:sz w:val="24"/>
    </w:rPr>
  </w:style>
  <w:style w:type="paragraph" w:styleId="8">
    <w:name w:val="Body Text First Indent 2"/>
    <w:basedOn w:val="4"/>
    <w:link w:val="15"/>
    <w:qFormat/>
    <w:locked/>
    <w:uiPriority w:val="0"/>
    <w:pPr>
      <w:ind w:left="0" w:leftChars="0" w:firstLine="420"/>
    </w:pPr>
    <w:rPr>
      <w:rFonts w:ascii="Times New Roman" w:hAnsi="Times New Roman"/>
      <w:szCs w:val="21"/>
    </w:rPr>
  </w:style>
  <w:style w:type="character" w:styleId="11">
    <w:name w:val="page number"/>
    <w:basedOn w:val="10"/>
    <w:qFormat/>
    <w:uiPriority w:val="99"/>
    <w:rPr>
      <w:rFonts w:cs="Times New Roman"/>
    </w:rPr>
  </w:style>
  <w:style w:type="character" w:customStyle="1" w:styleId="12">
    <w:name w:val="页脚 Char"/>
    <w:basedOn w:val="10"/>
    <w:link w:val="5"/>
    <w:semiHidden/>
    <w:qFormat/>
    <w:locked/>
    <w:uiPriority w:val="99"/>
    <w:rPr>
      <w:rFonts w:ascii="Calibri" w:hAnsi="Calibri" w:cs="Times New Roman"/>
      <w:sz w:val="18"/>
      <w:szCs w:val="18"/>
    </w:rPr>
  </w:style>
  <w:style w:type="character" w:customStyle="1" w:styleId="13">
    <w:name w:val="页眉 Char"/>
    <w:basedOn w:val="10"/>
    <w:link w:val="6"/>
    <w:semiHidden/>
    <w:qFormat/>
    <w:locked/>
    <w:uiPriority w:val="99"/>
    <w:rPr>
      <w:rFonts w:ascii="Calibri" w:hAnsi="Calibri" w:cs="Times New Roman"/>
      <w:sz w:val="18"/>
      <w:szCs w:val="18"/>
    </w:rPr>
  </w:style>
  <w:style w:type="character" w:customStyle="1" w:styleId="14">
    <w:name w:val="正文文本缩进 Char"/>
    <w:basedOn w:val="10"/>
    <w:link w:val="4"/>
    <w:semiHidden/>
    <w:qFormat/>
    <w:uiPriority w:val="99"/>
    <w:rPr>
      <w:rFonts w:ascii="Calibri" w:hAnsi="Calibri"/>
      <w:kern w:val="2"/>
      <w:sz w:val="21"/>
      <w:szCs w:val="24"/>
    </w:rPr>
  </w:style>
  <w:style w:type="character" w:customStyle="1" w:styleId="15">
    <w:name w:val="正文首行缩进 2 Char"/>
    <w:basedOn w:val="14"/>
    <w:link w:val="8"/>
    <w:qFormat/>
    <w:uiPriority w:val="0"/>
    <w:rPr>
      <w:szCs w:val="21"/>
    </w:rPr>
  </w:style>
  <w:style w:type="character" w:customStyle="1" w:styleId="16">
    <w:name w:val="正文文本 Char"/>
    <w:basedOn w:val="10"/>
    <w:link w:val="3"/>
    <w:semiHidden/>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4F41CA-06BA-48FA-B618-BA8D59C00B5D}">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1338</Words>
  <Characters>7632</Characters>
  <Lines>63</Lines>
  <Paragraphs>17</Paragraphs>
  <TotalTime>199</TotalTime>
  <ScaleCrop>false</ScaleCrop>
  <LinksUpToDate>false</LinksUpToDate>
  <CharactersWithSpaces>8953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2018-12-07T06:15:00Z</dcterms:created>
  <dc:creator>Administrator</dc:creator>
  <cp:lastModifiedBy>Administrator</cp:lastModifiedBy>
  <cp:lastPrinted>2022-02-19T02:21:00Z</cp:lastPrinted>
  <dcterms:modified xsi:type="dcterms:W3CDTF">2022-02-19T12:33:05Z</dcterms:modified>
  <cp:revision>529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781316B4C6C3487D8CE7F752FD7686BB</vt:lpwstr>
  </property>
</Properties>
</file>