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6" w:line="275" w:lineRule="auto"/>
        <w:ind w:right="216"/>
        <w:outlineLvl w:val="0"/>
        <w:rPr>
          <w:rFonts w:hint="default" w:ascii="黑体" w:hAnsi="黑体" w:eastAsia="黑体" w:cs="黑体"/>
          <w:spacing w:val="3"/>
          <w:sz w:val="30"/>
          <w:szCs w:val="30"/>
          <w:lang w:val="en-US" w:eastAsia="zh-CN"/>
        </w:rPr>
      </w:pPr>
      <w:r>
        <w:rPr>
          <w:rFonts w:ascii="黑体" w:hAnsi="黑体" w:eastAsia="黑体" w:cs="黑体"/>
          <w:spacing w:val="3"/>
          <w:sz w:val="30"/>
          <w:szCs w:val="30"/>
        </w:rPr>
        <w:t>余干县小学至园下农村道路工程(第二次）</w:t>
      </w:r>
      <w:r>
        <w:rPr>
          <w:rFonts w:hint="eastAsia" w:ascii="黑体" w:hAnsi="黑体" w:eastAsia="黑体" w:cs="黑体"/>
          <w:spacing w:val="3"/>
          <w:sz w:val="30"/>
          <w:szCs w:val="30"/>
          <w:lang w:val="en-US" w:eastAsia="zh-CN"/>
        </w:rPr>
        <w:t>公路工程公路工程施工招标公告</w:t>
      </w:r>
    </w:p>
    <w:p>
      <w:pPr>
        <w:spacing w:before="56" w:line="275" w:lineRule="auto"/>
        <w:ind w:right="216"/>
        <w:outlineLvl w:val="0"/>
        <w:rPr>
          <w:rFonts w:ascii="黑体" w:hAnsi="黑体" w:eastAsia="黑体" w:cs="黑体"/>
          <w:sz w:val="34"/>
          <w:szCs w:val="34"/>
        </w:rPr>
      </w:pPr>
      <w:r>
        <w:rPr>
          <w:rFonts w:ascii="黑体" w:hAnsi="黑体" w:eastAsia="黑体" w:cs="黑体"/>
          <w:sz w:val="30"/>
          <w:szCs w:val="30"/>
        </w:rPr>
        <w:t xml:space="preserve"> </w:t>
      </w:r>
      <w:r>
        <w:rPr>
          <w:rFonts w:ascii="黑体" w:hAnsi="黑体" w:eastAsia="黑体" w:cs="黑体"/>
          <w:sz w:val="34"/>
          <w:szCs w:val="34"/>
        </w:rPr>
        <w:t>1.招标条件</w:t>
      </w:r>
    </w:p>
    <w:p>
      <w:pPr>
        <w:spacing w:line="311" w:lineRule="auto"/>
        <w:rPr>
          <w:rFonts w:ascii="Arial"/>
          <w:sz w:val="21"/>
        </w:rPr>
      </w:pPr>
    </w:p>
    <w:p>
      <w:pPr>
        <w:pStyle w:val="2"/>
        <w:spacing w:before="68" w:line="476" w:lineRule="auto"/>
        <w:ind w:left="1" w:right="10"/>
      </w:pPr>
      <w:r>
        <w:rPr>
          <w:spacing w:val="6"/>
        </w:rPr>
        <w:t>本次招标项目余干县小学至园下农村道路工程(第二次）公路工程已由行业主管部门以干交投资字【2023】77 号批准建设，施工图设计已由余干县交通运输局以干建规建字【2023】77号批准，项目业主为余干县农村公</w:t>
      </w:r>
      <w:r>
        <w:rPr>
          <w:spacing w:val="4"/>
        </w:rPr>
        <w:t xml:space="preserve">  </w:t>
      </w:r>
      <w:r>
        <w:rPr>
          <w:spacing w:val="6"/>
        </w:rPr>
        <w:t>路建设指挥部办公室，建设资金来自上级补助及县级自筹，项目出资比例为100%，招标人为余干县农村公路</w:t>
      </w:r>
    </w:p>
    <w:p>
      <w:pPr>
        <w:pStyle w:val="2"/>
        <w:spacing w:line="214" w:lineRule="auto"/>
        <w:ind w:left="3"/>
      </w:pPr>
      <w:r>
        <w:rPr>
          <w:spacing w:val="6"/>
        </w:rPr>
        <w:t>建设指挥部办公室。项目已具备招标条件，现对</w:t>
      </w:r>
      <w:r>
        <w:rPr>
          <w:spacing w:val="5"/>
        </w:rPr>
        <w:t>该项目公路工程的施工进行公开招标。</w:t>
      </w:r>
    </w:p>
    <w:p>
      <w:pPr>
        <w:spacing w:line="286" w:lineRule="auto"/>
        <w:rPr>
          <w:rFonts w:ascii="Arial"/>
          <w:sz w:val="21"/>
        </w:rPr>
      </w:pPr>
    </w:p>
    <w:p>
      <w:pPr>
        <w:spacing w:before="110" w:line="210" w:lineRule="auto"/>
        <w:ind w:left="3"/>
        <w:rPr>
          <w:rFonts w:ascii="黑体" w:hAnsi="黑体" w:eastAsia="黑体" w:cs="黑体"/>
          <w:sz w:val="34"/>
          <w:szCs w:val="34"/>
        </w:rPr>
      </w:pPr>
      <w:r>
        <w:rPr>
          <w:rFonts w:ascii="黑体" w:hAnsi="黑体" w:eastAsia="黑体" w:cs="黑体"/>
          <w:spacing w:val="5"/>
          <w:sz w:val="34"/>
          <w:szCs w:val="34"/>
        </w:rPr>
        <w:t>2.项目概况与招标范围</w:t>
      </w:r>
    </w:p>
    <w:p>
      <w:pPr>
        <w:spacing w:line="310" w:lineRule="auto"/>
        <w:rPr>
          <w:rFonts w:ascii="Arial"/>
          <w:sz w:val="21"/>
        </w:rPr>
      </w:pPr>
    </w:p>
    <w:p>
      <w:pPr>
        <w:pStyle w:val="2"/>
        <w:spacing w:before="69" w:line="542" w:lineRule="exact"/>
        <w:ind w:left="218"/>
      </w:pPr>
      <w:r>
        <w:rPr>
          <w:spacing w:val="5"/>
          <w:position w:val="26"/>
        </w:rPr>
        <w:t>本项目位于三塘乡，路面宽度6m。沥青砼路面，全线按四级公路（I类）标准建设。</w:t>
      </w:r>
    </w:p>
    <w:p>
      <w:pPr>
        <w:pStyle w:val="2"/>
        <w:spacing w:line="213" w:lineRule="auto"/>
        <w:ind w:left="1"/>
      </w:pPr>
      <w:r>
        <w:rPr>
          <w:spacing w:val="5"/>
        </w:rPr>
        <w:t>招标范围为施工图纸及工程量清单范围内全</w:t>
      </w:r>
      <w:r>
        <w:rPr>
          <w:spacing w:val="4"/>
        </w:rPr>
        <w:t>部内容。</w:t>
      </w:r>
    </w:p>
    <w:p>
      <w:pPr>
        <w:pStyle w:val="2"/>
        <w:spacing w:before="300" w:line="213" w:lineRule="auto"/>
        <w:ind w:left="1"/>
      </w:pPr>
      <w:r>
        <w:rPr>
          <w:spacing w:val="6"/>
        </w:rPr>
        <w:t>本次招标划分为1个类别，共1个标段，类别及标段划分详见附表一。</w:t>
      </w:r>
    </w:p>
    <w:p>
      <w:pPr>
        <w:spacing w:line="288" w:lineRule="auto"/>
        <w:rPr>
          <w:rFonts w:ascii="Arial"/>
          <w:sz w:val="21"/>
        </w:rPr>
      </w:pPr>
    </w:p>
    <w:p>
      <w:pPr>
        <w:spacing w:before="111" w:line="209" w:lineRule="auto"/>
        <w:ind w:left="5"/>
        <w:rPr>
          <w:rFonts w:ascii="黑体" w:hAnsi="黑体" w:eastAsia="黑体" w:cs="黑体"/>
          <w:sz w:val="34"/>
          <w:szCs w:val="34"/>
        </w:rPr>
      </w:pPr>
      <w:r>
        <w:rPr>
          <w:rFonts w:ascii="黑体" w:hAnsi="黑体" w:eastAsia="黑体" w:cs="黑体"/>
          <w:spacing w:val="4"/>
          <w:sz w:val="34"/>
          <w:szCs w:val="34"/>
        </w:rPr>
        <w:t>3.投标人资格要求</w:t>
      </w:r>
    </w:p>
    <w:p>
      <w:pPr>
        <w:spacing w:line="311" w:lineRule="auto"/>
        <w:rPr>
          <w:rFonts w:ascii="Arial"/>
          <w:sz w:val="21"/>
        </w:rPr>
      </w:pPr>
    </w:p>
    <w:p>
      <w:pPr>
        <w:pStyle w:val="2"/>
        <w:spacing w:before="68" w:line="213" w:lineRule="auto"/>
        <w:ind w:left="5"/>
      </w:pPr>
      <w:r>
        <w:rPr>
          <w:spacing w:val="6"/>
        </w:rPr>
        <w:t>3.1 本次招标要求投标人具备的资质要求、财务要求、业绩要求、信誉要求、项目经理和项目总工资格要</w:t>
      </w:r>
    </w:p>
    <w:p>
      <w:pPr>
        <w:pStyle w:val="2"/>
        <w:spacing w:before="299" w:line="542" w:lineRule="exact"/>
        <w:ind w:left="2"/>
      </w:pPr>
      <w:r>
        <w:rPr>
          <w:spacing w:val="7"/>
          <w:position w:val="26"/>
        </w:rPr>
        <w:t>求、其他管理和技术人员资格要求、主要机械设备和试验检</w:t>
      </w:r>
      <w:r>
        <w:rPr>
          <w:spacing w:val="6"/>
          <w:position w:val="26"/>
        </w:rPr>
        <w:t>测设备要求、其他要求见附表二～附表九，并具</w:t>
      </w:r>
    </w:p>
    <w:p>
      <w:pPr>
        <w:pStyle w:val="2"/>
        <w:spacing w:before="1" w:line="213" w:lineRule="auto"/>
        <w:ind w:left="3"/>
      </w:pPr>
      <w:r>
        <w:rPr>
          <w:spacing w:val="1"/>
        </w:rPr>
        <w:t>备相应的施工能力。</w:t>
      </w:r>
    </w:p>
    <w:p>
      <w:pPr>
        <w:pStyle w:val="2"/>
        <w:spacing w:before="301" w:line="476" w:lineRule="auto"/>
        <w:ind w:left="3" w:right="65" w:hanging="3"/>
      </w:pPr>
      <w:r>
        <w:rPr>
          <w:spacing w:val="16"/>
        </w:rPr>
        <w:t>截至2024年02月28日24时00分（北京时间，下同</w:t>
      </w:r>
      <w:r>
        <w:rPr>
          <w:spacing w:val="26"/>
        </w:rPr>
        <w:t>），</w:t>
      </w:r>
      <w:r>
        <w:rPr>
          <w:spacing w:val="16"/>
        </w:rPr>
        <w:t>江西省交通运输厅发布的发布的 2022年度公路施</w:t>
      </w:r>
      <w:r>
        <w:t xml:space="preserve"> </w:t>
      </w:r>
      <w:r>
        <w:rPr>
          <w:spacing w:val="16"/>
        </w:rPr>
        <w:t>工企业主体二类（序列名称）序列信用评价结果为本次招标使用的信用等级（以下简称“信用等级”，</w:t>
      </w:r>
      <w:r>
        <w:rPr>
          <w:spacing w:val="9"/>
        </w:rPr>
        <w:t xml:space="preserve"> </w:t>
      </w:r>
      <w:r>
        <w:rPr>
          <w:spacing w:val="17"/>
        </w:rPr>
        <w:t>除特别说明外均为此含义</w:t>
      </w:r>
      <w:r>
        <w:rPr>
          <w:spacing w:val="25"/>
        </w:rPr>
        <w:t>）；</w:t>
      </w:r>
      <w:r>
        <w:rPr>
          <w:spacing w:val="17"/>
        </w:rPr>
        <w:t>未被评价的投标人，其信用等级根据江西省公路水运建设市场从业单位信</w:t>
      </w:r>
    </w:p>
    <w:p>
      <w:pPr>
        <w:pStyle w:val="2"/>
        <w:spacing w:line="213" w:lineRule="auto"/>
        <w:ind w:left="2"/>
      </w:pPr>
      <w:r>
        <w:rPr>
          <w:spacing w:val="16"/>
        </w:rPr>
        <w:t>用管理的有关办法确定。信用等级为D级的投标人不具有投标资格。</w:t>
      </w:r>
    </w:p>
    <w:p>
      <w:pPr>
        <w:pStyle w:val="2"/>
        <w:spacing w:before="301" w:line="476" w:lineRule="auto"/>
        <w:ind w:left="6" w:hanging="6"/>
      </w:pPr>
      <w:r>
        <w:rPr>
          <w:spacing w:val="17"/>
        </w:rPr>
        <w:t>截至2024年02月28日24时00分，未在江西省公共资</w:t>
      </w:r>
      <w:r>
        <w:rPr>
          <w:spacing w:val="16"/>
        </w:rPr>
        <w:t>源交易系统（交通工程子系统</w:t>
      </w:r>
      <w:r>
        <w:rPr>
          <w:spacing w:val="19"/>
        </w:rPr>
        <w:t>）（</w:t>
      </w:r>
      <w:r>
        <w:rPr>
          <w:spacing w:val="16"/>
        </w:rPr>
        <w:t>以下简称“交易系</w:t>
      </w:r>
      <w:r>
        <w:rPr>
          <w:spacing w:val="17"/>
        </w:rPr>
        <w:t>统”）开设交通施工用户的从业单位不具有投标资格；在截止时间之前，投标人未在交易系统完成采集的资质、财务能力、业绩、人员和获奖情况，评标时不予认可；投标人在交易系统完成采集的资质、财</w:t>
      </w:r>
    </w:p>
    <w:p>
      <w:pPr>
        <w:pStyle w:val="2"/>
        <w:spacing w:line="213" w:lineRule="auto"/>
      </w:pPr>
      <w:r>
        <w:rPr>
          <w:spacing w:val="17"/>
        </w:rPr>
        <w:t>务能力、业绩、人员和获奖情况等信息在截止时间后发生更改的，评标时以截止时间前采集的数据为</w:t>
      </w:r>
      <w:r>
        <w:rPr>
          <w:spacing w:val="-3"/>
        </w:rPr>
        <w:t>准。</w:t>
      </w:r>
    </w:p>
    <w:p>
      <w:pPr>
        <w:pStyle w:val="2"/>
        <w:spacing w:before="300" w:line="213" w:lineRule="auto"/>
        <w:ind w:left="5"/>
      </w:pPr>
      <w:r>
        <w:rPr>
          <w:spacing w:val="3"/>
        </w:rPr>
        <w:t>3.2 本次招标不接受联合体投标。</w:t>
      </w:r>
    </w:p>
    <w:p>
      <w:pPr>
        <w:pStyle w:val="2"/>
        <w:spacing w:before="301" w:line="476" w:lineRule="auto"/>
        <w:ind w:right="119" w:firstLine="4"/>
        <w:jc w:val="both"/>
      </w:pPr>
      <w:r>
        <w:rPr>
          <w:spacing w:val="6"/>
        </w:rPr>
        <w:t>3.3 投标人在制作投标文件时，其所投的1个类别仅需制作1份第一个信封（商务及技术文件</w:t>
      </w:r>
      <w:r>
        <w:rPr>
          <w:spacing w:val="8"/>
        </w:rPr>
        <w:t>），</w:t>
      </w:r>
      <w:r>
        <w:rPr>
          <w:spacing w:val="6"/>
        </w:rPr>
        <w:t>但必须对该</w:t>
      </w:r>
      <w:r>
        <w:rPr>
          <w:spacing w:val="7"/>
        </w:rPr>
        <w:t>类别下所有标段分别制作第二个信封（报价文件）。投标人最</w:t>
      </w:r>
      <w:r>
        <w:rPr>
          <w:spacing w:val="6"/>
        </w:rPr>
        <w:t>终的投标标段将在第二个信封（报价文件）开</w:t>
      </w:r>
      <w:r>
        <w:rPr>
          <w:spacing w:val="1"/>
        </w:rPr>
        <w:t>标现场随机确定。</w:t>
      </w:r>
    </w:p>
    <w:p>
      <w:pPr>
        <w:pStyle w:val="2"/>
        <w:spacing w:before="40" w:line="544" w:lineRule="exact"/>
        <w:ind w:left="8"/>
        <w:rPr>
          <w:spacing w:val="2"/>
        </w:rPr>
      </w:pPr>
      <w:r>
        <w:rPr>
          <w:spacing w:val="2"/>
        </w:rPr>
        <w:t>投标人投标数量和中标数量的规定：</w:t>
      </w:r>
    </w:p>
    <w:p>
      <w:pPr>
        <w:pStyle w:val="2"/>
        <w:spacing w:before="40" w:line="544" w:lineRule="exact"/>
        <w:ind w:left="8"/>
      </w:pPr>
      <w:r>
        <w:rPr>
          <w:spacing w:val="6"/>
          <w:position w:val="26"/>
        </w:rPr>
        <w:t>3.3.1信用等级为</w:t>
      </w:r>
      <w:r>
        <w:rPr>
          <w:position w:val="26"/>
        </w:rPr>
        <w:t>AA</w:t>
      </w:r>
      <w:r>
        <w:rPr>
          <w:spacing w:val="6"/>
          <w:position w:val="26"/>
        </w:rPr>
        <w:t>级的投标人最多可对1个类别投标，最多可通过1个类别的第一个信封</w:t>
      </w:r>
      <w:r>
        <w:rPr>
          <w:spacing w:val="5"/>
          <w:position w:val="26"/>
        </w:rPr>
        <w:t>（商务及技术文件）</w:t>
      </w:r>
    </w:p>
    <w:p>
      <w:pPr>
        <w:pStyle w:val="2"/>
        <w:spacing w:before="1" w:line="211" w:lineRule="auto"/>
        <w:ind w:left="3"/>
      </w:pPr>
      <w:r>
        <w:rPr>
          <w:spacing w:val="-10"/>
        </w:rPr>
        <w:t>评审；</w:t>
      </w:r>
    </w:p>
    <w:p>
      <w:pPr>
        <w:pStyle w:val="2"/>
        <w:spacing w:before="300" w:line="476" w:lineRule="auto"/>
        <w:ind w:left="4" w:right="54"/>
        <w:jc w:val="both"/>
      </w:pPr>
      <w:r>
        <w:rPr>
          <w:spacing w:val="5"/>
        </w:rPr>
        <w:t>信用等级为A级的投标人最多可对1个类别投标，最多可通过1个类别的第一个信封（商务及技术文件）评审；</w:t>
      </w:r>
      <w:r>
        <w:rPr>
          <w:spacing w:val="14"/>
        </w:rPr>
        <w:t xml:space="preserve"> </w:t>
      </w:r>
      <w:r>
        <w:rPr>
          <w:spacing w:val="5"/>
        </w:rPr>
        <w:t>信用等级为B级的投标人最多可对1个类别投标，最多可通过1个类别的第一个信封（商务及技术文件）评审；</w:t>
      </w:r>
      <w:r>
        <w:rPr>
          <w:spacing w:val="14"/>
        </w:rPr>
        <w:t xml:space="preserve"> </w:t>
      </w:r>
      <w:r>
        <w:rPr>
          <w:spacing w:val="5"/>
        </w:rPr>
        <w:t>信用等级为C级的投标人最多可对1个类别投标，最多可通过1个类别的第一个信封（商务及技术文件）评审；</w:t>
      </w:r>
    </w:p>
    <w:p>
      <w:pPr>
        <w:pStyle w:val="2"/>
        <w:spacing w:line="213" w:lineRule="auto"/>
        <w:ind w:left="4"/>
      </w:pPr>
      <w:r>
        <w:rPr>
          <w:spacing w:val="5"/>
        </w:rPr>
        <w:t>信用等级为D级的投标人最多可对0个类别投标，最多可通过0个类别的第一个信封（商务及技术文件）评审；</w:t>
      </w:r>
    </w:p>
    <w:p>
      <w:pPr>
        <w:pStyle w:val="2"/>
        <w:spacing w:before="299" w:line="542" w:lineRule="exact"/>
        <w:ind w:left="8"/>
      </w:pPr>
      <w:r>
        <w:rPr>
          <w:spacing w:val="5"/>
          <w:position w:val="26"/>
        </w:rPr>
        <w:t>3.3.2 信用等级为</w:t>
      </w:r>
      <w:r>
        <w:rPr>
          <w:position w:val="26"/>
        </w:rPr>
        <w:t>AA</w:t>
      </w:r>
      <w:r>
        <w:rPr>
          <w:spacing w:val="5"/>
          <w:position w:val="26"/>
        </w:rPr>
        <w:t>级的投标人在公路工程中最多可投1个标段，且在该类别中最多可</w:t>
      </w:r>
      <w:r>
        <w:rPr>
          <w:spacing w:val="4"/>
          <w:position w:val="26"/>
        </w:rPr>
        <w:t>中1个标段；</w:t>
      </w:r>
    </w:p>
    <w:p>
      <w:pPr>
        <w:pStyle w:val="2"/>
        <w:spacing w:line="213" w:lineRule="auto"/>
        <w:ind w:left="4"/>
      </w:pPr>
      <w:r>
        <w:rPr>
          <w:spacing w:val="5"/>
        </w:rPr>
        <w:t>信用等级为A级的投标人在公路工程中最多可投1个标段，且在该类别中最多可中1个标段；</w:t>
      </w:r>
    </w:p>
    <w:p>
      <w:pPr>
        <w:pStyle w:val="2"/>
        <w:spacing w:before="300" w:line="476" w:lineRule="auto"/>
        <w:ind w:left="4" w:right="1788"/>
        <w:jc w:val="both"/>
      </w:pPr>
      <w:r>
        <w:rPr>
          <w:spacing w:val="5"/>
        </w:rPr>
        <w:t>信用等级为B级的投标人在公路工程中最多可投1个标段，且在该类别中最多可中1个标段；</w:t>
      </w:r>
      <w:r>
        <w:t xml:space="preserve"> </w:t>
      </w:r>
      <w:r>
        <w:rPr>
          <w:spacing w:val="5"/>
        </w:rPr>
        <w:t>信用等级为C级的投标人在公路工程中最多可投1个标段，且在该类别中最多可中1个标段；</w:t>
      </w:r>
    </w:p>
    <w:p>
      <w:pPr>
        <w:pStyle w:val="2"/>
        <w:spacing w:before="1" w:line="213" w:lineRule="auto"/>
        <w:ind w:left="4"/>
      </w:pPr>
      <w:r>
        <w:rPr>
          <w:spacing w:val="5"/>
        </w:rPr>
        <w:t>信用等级为D级的投标人在公路工程中最多可投0个标段，且在该类别中最多可中0个标段；</w:t>
      </w:r>
    </w:p>
    <w:p>
      <w:pPr>
        <w:pStyle w:val="2"/>
        <w:spacing w:before="299" w:line="542" w:lineRule="exact"/>
        <w:ind w:left="8"/>
      </w:pPr>
      <w:r>
        <w:rPr>
          <w:spacing w:val="4"/>
          <w:position w:val="26"/>
        </w:rPr>
        <w:t>3.3.3 信用等级为</w:t>
      </w:r>
      <w:r>
        <w:rPr>
          <w:position w:val="26"/>
        </w:rPr>
        <w:t>AA</w:t>
      </w:r>
      <w:r>
        <w:rPr>
          <w:spacing w:val="4"/>
          <w:position w:val="26"/>
        </w:rPr>
        <w:t>级的投标人在本次招标项目最多允许中1个标；</w:t>
      </w:r>
    </w:p>
    <w:p>
      <w:pPr>
        <w:pStyle w:val="2"/>
        <w:spacing w:line="213" w:lineRule="auto"/>
        <w:ind w:left="4"/>
      </w:pPr>
      <w:r>
        <w:rPr>
          <w:spacing w:val="4"/>
        </w:rPr>
        <w:t>信用等级为A级的投标人在本次招标项目最多允许中1个标；</w:t>
      </w:r>
    </w:p>
    <w:p>
      <w:pPr>
        <w:pStyle w:val="2"/>
        <w:spacing w:before="300" w:line="542" w:lineRule="exact"/>
        <w:ind w:left="4"/>
      </w:pPr>
      <w:r>
        <w:rPr>
          <w:spacing w:val="4"/>
          <w:position w:val="26"/>
        </w:rPr>
        <w:t>信用等级为B级的投标人在本次招标项目最多允许中1个标；</w:t>
      </w:r>
    </w:p>
    <w:p>
      <w:pPr>
        <w:pStyle w:val="2"/>
        <w:spacing w:line="213" w:lineRule="auto"/>
        <w:ind w:left="4"/>
      </w:pPr>
      <w:r>
        <w:rPr>
          <w:spacing w:val="4"/>
        </w:rPr>
        <w:t>信用等级为C级的投标人在本次招标项目最多允许中1个标；</w:t>
      </w:r>
    </w:p>
    <w:p>
      <w:pPr>
        <w:pStyle w:val="2"/>
        <w:spacing w:before="300" w:line="213" w:lineRule="auto"/>
        <w:ind w:left="4"/>
      </w:pPr>
      <w:r>
        <w:rPr>
          <w:spacing w:val="4"/>
        </w:rPr>
        <w:t>信用等级为D级的投标人在本次招标项目最多允许中0个标；</w:t>
      </w:r>
    </w:p>
    <w:p>
      <w:pPr>
        <w:pStyle w:val="2"/>
        <w:spacing w:before="300" w:line="213" w:lineRule="auto"/>
        <w:ind w:left="8"/>
      </w:pPr>
      <w:r>
        <w:rPr>
          <w:spacing w:val="5"/>
        </w:rPr>
        <w:t>3.3.4 投标数量和中标数量的其他规定</w:t>
      </w:r>
      <w:r>
        <w:rPr>
          <w:spacing w:val="4"/>
        </w:rPr>
        <w:t>:/</w:t>
      </w:r>
    </w:p>
    <w:p>
      <w:pPr>
        <w:pStyle w:val="2"/>
        <w:spacing w:before="300" w:line="476" w:lineRule="auto"/>
        <w:ind w:left="4" w:right="160" w:firstLine="4"/>
        <w:jc w:val="both"/>
      </w:pPr>
      <w:r>
        <w:rPr>
          <w:spacing w:val="6"/>
        </w:rPr>
        <w:t>3.4 与招标人存在利害关系可能影响招标公正性</w:t>
      </w:r>
      <w:r>
        <w:rPr>
          <w:spacing w:val="5"/>
        </w:rPr>
        <w:t xml:space="preserve">的单位，不得参加投标。单位负责人为同一人或者存在控  </w:t>
      </w:r>
      <w:r>
        <w:rPr>
          <w:spacing w:val="6"/>
        </w:rPr>
        <w:t>股、管理关系的不同单位（即关联企业组），不得</w:t>
      </w:r>
      <w:r>
        <w:rPr>
          <w:spacing w:val="5"/>
        </w:rPr>
        <w:t>参加同一标段投标或者未划分标段的同一招标项目投标，</w:t>
      </w:r>
    </w:p>
    <w:p>
      <w:pPr>
        <w:pStyle w:val="2"/>
        <w:spacing w:line="213" w:lineRule="auto"/>
        <w:ind w:left="11"/>
      </w:pPr>
      <w:r>
        <w:rPr>
          <w:spacing w:val="2"/>
        </w:rPr>
        <w:t>否则，相关投标均无效。</w:t>
      </w:r>
    </w:p>
    <w:p>
      <w:pPr>
        <w:pStyle w:val="2"/>
        <w:spacing w:before="264" w:line="577" w:lineRule="exact"/>
        <w:ind w:left="8"/>
      </w:pPr>
      <w:r>
        <w:rPr>
          <w:spacing w:val="7"/>
          <w:position w:val="27"/>
        </w:rPr>
        <w:t>3.5 在“信用中国”网站（</w:t>
      </w:r>
      <w:r>
        <w:fldChar w:fldCharType="begin"/>
      </w:r>
      <w:r>
        <w:instrText xml:space="preserve"> HYPERLINK "http://www.creditchina.gov.cn/" </w:instrText>
      </w:r>
      <w:r>
        <w:fldChar w:fldCharType="separate"/>
      </w:r>
      <w:r>
        <w:rPr>
          <w:position w:val="27"/>
        </w:rPr>
        <w:t>http</w:t>
      </w:r>
      <w:r>
        <w:rPr>
          <w:spacing w:val="7"/>
          <w:position w:val="27"/>
        </w:rPr>
        <w:t>://</w:t>
      </w:r>
      <w:r>
        <w:rPr>
          <w:position w:val="27"/>
        </w:rPr>
        <w:t>www</w:t>
      </w:r>
      <w:r>
        <w:rPr>
          <w:spacing w:val="7"/>
          <w:position w:val="27"/>
        </w:rPr>
        <w:t>.</w:t>
      </w:r>
      <w:r>
        <w:rPr>
          <w:position w:val="27"/>
        </w:rPr>
        <w:t>creditchina</w:t>
      </w:r>
      <w:r>
        <w:rPr>
          <w:spacing w:val="7"/>
          <w:position w:val="27"/>
        </w:rPr>
        <w:t>.</w:t>
      </w:r>
      <w:r>
        <w:rPr>
          <w:position w:val="27"/>
        </w:rPr>
        <w:t>gov</w:t>
      </w:r>
      <w:r>
        <w:rPr>
          <w:spacing w:val="7"/>
          <w:position w:val="27"/>
        </w:rPr>
        <w:t>.</w:t>
      </w:r>
      <w:r>
        <w:rPr>
          <w:position w:val="27"/>
        </w:rPr>
        <w:t>cn</w:t>
      </w:r>
      <w:r>
        <w:rPr>
          <w:spacing w:val="7"/>
          <w:position w:val="27"/>
        </w:rPr>
        <w:t>/</w:t>
      </w:r>
      <w:r>
        <w:rPr>
          <w:spacing w:val="7"/>
          <w:position w:val="27"/>
        </w:rPr>
        <w:fldChar w:fldCharType="end"/>
      </w:r>
      <w:r>
        <w:rPr>
          <w:spacing w:val="7"/>
          <w:position w:val="27"/>
        </w:rPr>
        <w:t>）中被列入失信被执行人名单的投标人不得参</w:t>
      </w:r>
    </w:p>
    <w:p>
      <w:pPr>
        <w:pStyle w:val="2"/>
        <w:spacing w:before="1" w:line="213" w:lineRule="auto"/>
        <w:ind w:left="4"/>
      </w:pPr>
      <w:r>
        <w:rPr>
          <w:spacing w:val="-4"/>
        </w:rPr>
        <w:t>加投标。</w:t>
      </w:r>
    </w:p>
    <w:p>
      <w:pPr>
        <w:pStyle w:val="2"/>
        <w:spacing w:before="263" w:line="578" w:lineRule="exact"/>
        <w:ind w:left="8"/>
      </w:pPr>
      <w:r>
        <w:rPr>
          <w:spacing w:val="7"/>
          <w:position w:val="27"/>
        </w:rPr>
        <w:t>3.6 在国家企业信用信息公示系统（</w:t>
      </w:r>
      <w:r>
        <w:fldChar w:fldCharType="begin"/>
      </w:r>
      <w:r>
        <w:instrText xml:space="preserve"> HYPERLINK "http://www.gsxt.gov.cn/" </w:instrText>
      </w:r>
      <w:r>
        <w:fldChar w:fldCharType="separate"/>
      </w:r>
      <w:r>
        <w:rPr>
          <w:position w:val="27"/>
        </w:rPr>
        <w:t>http</w:t>
      </w:r>
      <w:r>
        <w:rPr>
          <w:spacing w:val="7"/>
          <w:position w:val="27"/>
        </w:rPr>
        <w:t>://</w:t>
      </w:r>
      <w:r>
        <w:rPr>
          <w:position w:val="27"/>
        </w:rPr>
        <w:t>www</w:t>
      </w:r>
      <w:r>
        <w:rPr>
          <w:spacing w:val="7"/>
          <w:position w:val="27"/>
        </w:rPr>
        <w:t>.</w:t>
      </w:r>
      <w:r>
        <w:rPr>
          <w:position w:val="27"/>
        </w:rPr>
        <w:t>gsxt</w:t>
      </w:r>
      <w:r>
        <w:rPr>
          <w:spacing w:val="7"/>
          <w:position w:val="27"/>
        </w:rPr>
        <w:t>.</w:t>
      </w:r>
      <w:r>
        <w:rPr>
          <w:position w:val="27"/>
        </w:rPr>
        <w:t>gov</w:t>
      </w:r>
      <w:r>
        <w:rPr>
          <w:spacing w:val="7"/>
          <w:position w:val="27"/>
        </w:rPr>
        <w:t>.</w:t>
      </w:r>
      <w:r>
        <w:rPr>
          <w:position w:val="27"/>
        </w:rPr>
        <w:t>cn</w:t>
      </w:r>
      <w:r>
        <w:rPr>
          <w:spacing w:val="7"/>
          <w:position w:val="27"/>
        </w:rPr>
        <w:t>/</w:t>
      </w:r>
      <w:r>
        <w:rPr>
          <w:spacing w:val="7"/>
          <w:position w:val="27"/>
        </w:rPr>
        <w:fldChar w:fldCharType="end"/>
      </w:r>
      <w:r>
        <w:rPr>
          <w:spacing w:val="7"/>
          <w:position w:val="27"/>
        </w:rPr>
        <w:t>）中</w:t>
      </w:r>
      <w:r>
        <w:rPr>
          <w:spacing w:val="6"/>
          <w:position w:val="27"/>
        </w:rPr>
        <w:t>被列入严重违法失信企业名单的投标人不</w:t>
      </w:r>
    </w:p>
    <w:p>
      <w:pPr>
        <w:pStyle w:val="2"/>
        <w:spacing w:before="1" w:line="213" w:lineRule="auto"/>
        <w:ind w:left="5"/>
      </w:pPr>
      <w:r>
        <w:rPr>
          <w:spacing w:val="-1"/>
        </w:rPr>
        <w:t>得参加投标。</w:t>
      </w:r>
    </w:p>
    <w:p>
      <w:pPr>
        <w:pStyle w:val="2"/>
        <w:spacing w:before="299" w:line="542" w:lineRule="exact"/>
        <w:jc w:val="right"/>
      </w:pPr>
      <w:r>
        <w:rPr>
          <w:spacing w:val="6"/>
          <w:position w:val="26"/>
        </w:rPr>
        <w:t>3.7 关联企业组成员在参加具有多个标段的类别投标时，为满足第3.4款的规定，可能出现该类别的关联企业</w:t>
      </w:r>
    </w:p>
    <w:p>
      <w:pPr>
        <w:pStyle w:val="2"/>
        <w:spacing w:line="213" w:lineRule="auto"/>
        <w:ind w:left="6"/>
      </w:pPr>
      <w:r>
        <w:rPr>
          <w:spacing w:val="5"/>
        </w:rPr>
        <w:t>组成员不能全部获得第二个信封（报价文件）开标资格的情况。</w:t>
      </w:r>
    </w:p>
    <w:p>
      <w:pPr>
        <w:spacing w:line="284" w:lineRule="auto"/>
        <w:rPr>
          <w:rFonts w:ascii="Arial"/>
          <w:sz w:val="21"/>
        </w:rPr>
      </w:pPr>
    </w:p>
    <w:p>
      <w:pPr>
        <w:spacing w:before="112" w:line="211" w:lineRule="auto"/>
        <w:rPr>
          <w:rFonts w:ascii="黑体" w:hAnsi="黑体" w:eastAsia="黑体" w:cs="黑体"/>
          <w:sz w:val="34"/>
          <w:szCs w:val="34"/>
        </w:rPr>
      </w:pPr>
      <w:r>
        <w:rPr>
          <w:rFonts w:ascii="黑体" w:hAnsi="黑体" w:eastAsia="黑体" w:cs="黑体"/>
          <w:spacing w:val="5"/>
          <w:sz w:val="34"/>
          <w:szCs w:val="34"/>
        </w:rPr>
        <w:t>4.招标文件的获取</w:t>
      </w:r>
    </w:p>
    <w:p>
      <w:pPr>
        <w:spacing w:line="310" w:lineRule="auto"/>
        <w:rPr>
          <w:rFonts w:ascii="Arial"/>
          <w:sz w:val="21"/>
        </w:rPr>
      </w:pPr>
    </w:p>
    <w:p>
      <w:pPr>
        <w:pStyle w:val="2"/>
        <w:spacing w:before="69" w:line="506" w:lineRule="exact"/>
        <w:ind w:left="8"/>
      </w:pPr>
      <w:r>
        <w:rPr>
          <w:spacing w:val="5"/>
          <w:position w:val="23"/>
        </w:rPr>
        <w:t>凡有意参加投标者，请于2024年02月29日 18时00分至2024年03月26日 09时30分，通过互联网使用</w:t>
      </w:r>
      <w:r>
        <w:rPr>
          <w:position w:val="23"/>
        </w:rPr>
        <w:t>CA</w:t>
      </w:r>
      <w:r>
        <w:rPr>
          <w:spacing w:val="5"/>
          <w:position w:val="23"/>
        </w:rPr>
        <w:t>数字证</w:t>
      </w:r>
    </w:p>
    <w:p>
      <w:pPr>
        <w:spacing w:line="242" w:lineRule="auto"/>
        <w:rPr>
          <w:rFonts w:ascii="Arial"/>
          <w:sz w:val="21"/>
        </w:rPr>
      </w:pPr>
      <w:r>
        <w:rPr>
          <w:spacing w:val="4"/>
          <w:position w:val="1"/>
        </w:rPr>
        <w:t>书登录江西省公共资源交易平台（</w:t>
      </w:r>
      <w:r>
        <w:rPr>
          <w:position w:val="1"/>
        </w:rPr>
        <w:t>www</w:t>
      </w:r>
      <w:r>
        <w:rPr>
          <w:spacing w:val="4"/>
          <w:position w:val="1"/>
        </w:rPr>
        <w:t>.</w:t>
      </w:r>
      <w:r>
        <w:rPr>
          <w:position w:val="1"/>
        </w:rPr>
        <w:t>jxsggzy</w:t>
      </w:r>
      <w:r>
        <w:rPr>
          <w:spacing w:val="4"/>
          <w:position w:val="1"/>
        </w:rPr>
        <w:t>.</w:t>
      </w:r>
      <w:r>
        <w:rPr>
          <w:position w:val="1"/>
        </w:rPr>
        <w:t>cn</w:t>
      </w:r>
      <w:r>
        <w:rPr>
          <w:spacing w:val="2"/>
          <w:position w:val="1"/>
        </w:rPr>
        <w:t>）</w:t>
      </w:r>
      <w:r>
        <w:rPr>
          <w:spacing w:val="98"/>
          <w:position w:val="1"/>
        </w:rPr>
        <w:t xml:space="preserve"> </w:t>
      </w:r>
      <w:r>
        <w:rPr>
          <w:spacing w:val="2"/>
          <w:position w:val="1"/>
        </w:rPr>
        <w:t>，</w:t>
      </w:r>
      <w:r>
        <w:rPr>
          <w:spacing w:val="4"/>
          <w:position w:val="1"/>
        </w:rPr>
        <w:t>在交易系统中获取招标文件及相关资</w:t>
      </w:r>
      <w:r>
        <w:rPr>
          <w:spacing w:val="3"/>
          <w:position w:val="1"/>
        </w:rPr>
        <w:t>料。</w:t>
      </w:r>
    </w:p>
    <w:p>
      <w:pPr>
        <w:spacing w:before="110" w:line="212" w:lineRule="auto"/>
        <w:ind w:left="5"/>
        <w:rPr>
          <w:rFonts w:ascii="黑体" w:hAnsi="黑体" w:eastAsia="黑体" w:cs="黑体"/>
          <w:sz w:val="34"/>
          <w:szCs w:val="34"/>
        </w:rPr>
      </w:pPr>
      <w:r>
        <w:rPr>
          <w:rFonts w:ascii="黑体" w:hAnsi="黑体" w:eastAsia="黑体" w:cs="黑体"/>
          <w:spacing w:val="5"/>
          <w:sz w:val="34"/>
          <w:szCs w:val="34"/>
        </w:rPr>
        <w:t>5.投标文件的递交</w:t>
      </w:r>
    </w:p>
    <w:p>
      <w:pPr>
        <w:spacing w:line="311" w:lineRule="auto"/>
        <w:rPr>
          <w:rFonts w:ascii="Arial"/>
          <w:sz w:val="21"/>
        </w:rPr>
      </w:pPr>
    </w:p>
    <w:p>
      <w:pPr>
        <w:pStyle w:val="2"/>
        <w:spacing w:before="68" w:line="213" w:lineRule="auto"/>
        <w:ind w:left="12"/>
      </w:pPr>
      <w:r>
        <w:rPr>
          <w:spacing w:val="5"/>
        </w:rPr>
        <w:t>5.1 招标人将不组织进行工程现场踏勘和不组织召</w:t>
      </w:r>
      <w:r>
        <w:rPr>
          <w:spacing w:val="4"/>
        </w:rPr>
        <w:t>开投标预备会。</w:t>
      </w:r>
    </w:p>
    <w:p>
      <w:pPr>
        <w:pStyle w:val="2"/>
        <w:spacing w:before="299" w:line="542" w:lineRule="exact"/>
        <w:ind w:left="12"/>
      </w:pPr>
      <w:r>
        <w:rPr>
          <w:spacing w:val="6"/>
          <w:position w:val="26"/>
        </w:rPr>
        <w:t>5.2 投标文件应为加密的、交易系统可识别格式的投标文件。投标文件递交的截止时间（投标截止时间，下</w:t>
      </w:r>
    </w:p>
    <w:p>
      <w:pPr>
        <w:pStyle w:val="2"/>
        <w:spacing w:line="213" w:lineRule="auto"/>
        <w:ind w:left="29"/>
      </w:pPr>
      <w:r>
        <w:rPr>
          <w:spacing w:val="6"/>
        </w:rPr>
        <w:t>同）为 2024年03月26日 09时30</w:t>
      </w:r>
      <w:r>
        <w:rPr>
          <w:spacing w:val="5"/>
        </w:rPr>
        <w:t>分，投标人应于投标截止时间前，通过互联网使用</w:t>
      </w:r>
      <w:r>
        <w:t>CA</w:t>
      </w:r>
      <w:r>
        <w:rPr>
          <w:spacing w:val="5"/>
        </w:rPr>
        <w:t>数字证书登录交易系</w:t>
      </w:r>
    </w:p>
    <w:p>
      <w:pPr>
        <w:pStyle w:val="2"/>
        <w:spacing w:before="300" w:line="476" w:lineRule="auto"/>
        <w:ind w:left="6" w:right="281" w:firstLine="6"/>
      </w:pPr>
      <w:r>
        <w:rPr>
          <w:spacing w:val="7"/>
        </w:rPr>
        <w:t>统，将加密的投标文件上传，投标文件到达交易系</w:t>
      </w:r>
      <w:r>
        <w:rPr>
          <w:spacing w:val="6"/>
        </w:rPr>
        <w:t>统的时间即为投标文件递交时间。投标人所投的单个类别</w:t>
      </w:r>
      <w:r>
        <w:t xml:space="preserve">  </w:t>
      </w:r>
      <w:r>
        <w:rPr>
          <w:spacing w:val="7"/>
        </w:rPr>
        <w:t>仅需递交1份第一个信封（商务及技术文件），但必须递交该</w:t>
      </w:r>
      <w:r>
        <w:rPr>
          <w:spacing w:val="6"/>
        </w:rPr>
        <w:t>类别下所有标段的第二个信封（报价文件）。逾</w:t>
      </w:r>
      <w:r>
        <w:t xml:space="preserve"> </w:t>
      </w:r>
      <w:r>
        <w:rPr>
          <w:spacing w:val="7"/>
        </w:rPr>
        <w:t>期未完成上传或未按时到达交易系统或未按规定加密或未采用交易</w:t>
      </w:r>
      <w:r>
        <w:rPr>
          <w:spacing w:val="6"/>
        </w:rPr>
        <w:t>系统可识别格式的投标文件，交易系统将</w:t>
      </w:r>
    </w:p>
    <w:p>
      <w:pPr>
        <w:pStyle w:val="2"/>
        <w:spacing w:before="1" w:line="213" w:lineRule="auto"/>
        <w:ind w:left="15"/>
      </w:pPr>
      <w:r>
        <w:rPr>
          <w:spacing w:val="-3"/>
        </w:rPr>
        <w:t>予以拒收。</w:t>
      </w:r>
    </w:p>
    <w:p>
      <w:pPr>
        <w:pStyle w:val="2"/>
        <w:spacing w:before="299" w:line="213" w:lineRule="auto"/>
        <w:ind w:left="12"/>
      </w:pPr>
      <w:r>
        <w:rPr>
          <w:spacing w:val="3"/>
        </w:rPr>
        <w:t>5.3 本次招标采用不见面形式开标。</w:t>
      </w:r>
    </w:p>
    <w:p>
      <w:pPr>
        <w:pStyle w:val="2"/>
        <w:spacing w:before="301" w:line="476" w:lineRule="auto"/>
        <w:ind w:left="13" w:right="281" w:hanging="6"/>
      </w:pPr>
      <w:r>
        <w:rPr>
          <w:spacing w:val="7"/>
        </w:rPr>
        <w:t>采用不见面形式进行开标的，投标人无需到开标现场参与本次开</w:t>
      </w:r>
      <w:r>
        <w:rPr>
          <w:spacing w:val="6"/>
        </w:rPr>
        <w:t>标活动。投标人应在投标截止时间前进入江</w:t>
      </w:r>
      <w:r>
        <w:t xml:space="preserve">  </w:t>
      </w:r>
      <w:r>
        <w:rPr>
          <w:spacing w:val="7"/>
        </w:rPr>
        <w:t>西省公共资源交易系统不见面开标大厅。不见</w:t>
      </w:r>
      <w:r>
        <w:rPr>
          <w:spacing w:val="6"/>
        </w:rPr>
        <w:t>面开标操作手册，请投标人至“江西省公共资源交易平台-服务</w:t>
      </w:r>
    </w:p>
    <w:p>
      <w:pPr>
        <w:pStyle w:val="2"/>
        <w:spacing w:line="213" w:lineRule="auto"/>
        <w:ind w:left="11"/>
      </w:pPr>
      <w:r>
        <w:rPr>
          <w:spacing w:val="3"/>
        </w:rPr>
        <w:t>指南-投标单位-操作手册”中下载。</w:t>
      </w:r>
    </w:p>
    <w:p>
      <w:pPr>
        <w:spacing w:line="282" w:lineRule="auto"/>
        <w:rPr>
          <w:rFonts w:ascii="Arial"/>
          <w:sz w:val="21"/>
        </w:rPr>
      </w:pPr>
    </w:p>
    <w:p>
      <w:pPr>
        <w:spacing w:before="111" w:line="212" w:lineRule="auto"/>
        <w:ind w:left="12"/>
        <w:rPr>
          <w:rFonts w:ascii="黑体" w:hAnsi="黑体" w:eastAsia="黑体" w:cs="黑体"/>
          <w:sz w:val="34"/>
          <w:szCs w:val="34"/>
        </w:rPr>
      </w:pPr>
      <w:r>
        <w:rPr>
          <w:rFonts w:ascii="黑体" w:hAnsi="黑体" w:eastAsia="黑体" w:cs="黑体"/>
          <w:spacing w:val="4"/>
          <w:sz w:val="34"/>
          <w:szCs w:val="34"/>
        </w:rPr>
        <w:t>6.发布公告的媒介</w:t>
      </w:r>
    </w:p>
    <w:p>
      <w:pPr>
        <w:spacing w:line="275" w:lineRule="auto"/>
        <w:rPr>
          <w:rFonts w:ascii="Arial"/>
          <w:sz w:val="21"/>
        </w:rPr>
      </w:pPr>
    </w:p>
    <w:p>
      <w:pPr>
        <w:pStyle w:val="2"/>
        <w:spacing w:before="69" w:line="280" w:lineRule="exact"/>
        <w:ind w:left="9"/>
      </w:pPr>
      <w:r>
        <w:rPr>
          <w:spacing w:val="7"/>
          <w:position w:val="1"/>
        </w:rPr>
        <w:t>江西省公共资源交易网（</w:t>
      </w:r>
      <w:r>
        <w:fldChar w:fldCharType="begin"/>
      </w:r>
      <w:r>
        <w:instrText xml:space="preserve"> HYPERLINK "http://ggzy.jiangxi.gov.cn/" </w:instrText>
      </w:r>
      <w:r>
        <w:fldChar w:fldCharType="separate"/>
      </w:r>
      <w:r>
        <w:rPr>
          <w:position w:val="1"/>
        </w:rPr>
        <w:t>http</w:t>
      </w:r>
      <w:r>
        <w:rPr>
          <w:spacing w:val="7"/>
          <w:position w:val="1"/>
        </w:rPr>
        <w:t>://</w:t>
      </w:r>
      <w:r>
        <w:rPr>
          <w:position w:val="1"/>
        </w:rPr>
        <w:t>ggzy</w:t>
      </w:r>
      <w:r>
        <w:rPr>
          <w:spacing w:val="7"/>
          <w:position w:val="1"/>
        </w:rPr>
        <w:t>.</w:t>
      </w:r>
      <w:r>
        <w:rPr>
          <w:position w:val="1"/>
        </w:rPr>
        <w:t>jiangxi</w:t>
      </w:r>
      <w:r>
        <w:rPr>
          <w:spacing w:val="7"/>
          <w:position w:val="1"/>
        </w:rPr>
        <w:t>.</w:t>
      </w:r>
      <w:r>
        <w:rPr>
          <w:position w:val="1"/>
        </w:rPr>
        <w:t>gov</w:t>
      </w:r>
      <w:r>
        <w:rPr>
          <w:spacing w:val="7"/>
          <w:position w:val="1"/>
        </w:rPr>
        <w:t>.</w:t>
      </w:r>
      <w:r>
        <w:rPr>
          <w:position w:val="1"/>
        </w:rPr>
        <w:t>cn</w:t>
      </w:r>
      <w:r>
        <w:rPr>
          <w:spacing w:val="7"/>
          <w:position w:val="1"/>
        </w:rPr>
        <w:t>/</w:t>
      </w:r>
      <w:r>
        <w:rPr>
          <w:spacing w:val="7"/>
          <w:position w:val="1"/>
        </w:rPr>
        <w:fldChar w:fldCharType="end"/>
      </w:r>
      <w:r>
        <w:rPr>
          <w:spacing w:val="7"/>
          <w:position w:val="1"/>
        </w:rPr>
        <w:t>）、余干县公共资源交易网</w:t>
      </w:r>
    </w:p>
    <w:p>
      <w:pPr>
        <w:pStyle w:val="2"/>
        <w:spacing w:before="262" w:line="280" w:lineRule="exact"/>
        <w:ind w:left="17"/>
      </w:pPr>
      <w:r>
        <w:rPr>
          <w:spacing w:val="8"/>
          <w:position w:val="1"/>
        </w:rPr>
        <w:t>（</w:t>
      </w:r>
      <w:r>
        <w:fldChar w:fldCharType="begin"/>
      </w:r>
      <w:r>
        <w:instrText xml:space="preserve"> HYPERLINK "http://yugan.etrading.cn/" </w:instrText>
      </w:r>
      <w:r>
        <w:fldChar w:fldCharType="separate"/>
      </w:r>
      <w:r>
        <w:rPr>
          <w:position w:val="1"/>
        </w:rPr>
        <w:t>http</w:t>
      </w:r>
      <w:r>
        <w:rPr>
          <w:spacing w:val="8"/>
          <w:position w:val="1"/>
        </w:rPr>
        <w:t>://</w:t>
      </w:r>
      <w:r>
        <w:rPr>
          <w:position w:val="1"/>
        </w:rPr>
        <w:t>yugan</w:t>
      </w:r>
      <w:r>
        <w:rPr>
          <w:spacing w:val="8"/>
          <w:position w:val="1"/>
        </w:rPr>
        <w:t>.</w:t>
      </w:r>
      <w:r>
        <w:rPr>
          <w:position w:val="1"/>
        </w:rPr>
        <w:t>etrading</w:t>
      </w:r>
      <w:r>
        <w:rPr>
          <w:spacing w:val="8"/>
          <w:position w:val="1"/>
        </w:rPr>
        <w:t>.</w:t>
      </w:r>
      <w:r>
        <w:rPr>
          <w:position w:val="1"/>
        </w:rPr>
        <w:t>cn</w:t>
      </w:r>
      <w:r>
        <w:rPr>
          <w:spacing w:val="8"/>
          <w:position w:val="1"/>
        </w:rPr>
        <w:t>/</w:t>
      </w:r>
      <w:r>
        <w:rPr>
          <w:spacing w:val="8"/>
          <w:position w:val="1"/>
        </w:rPr>
        <w:fldChar w:fldCharType="end"/>
      </w:r>
      <w:r>
        <w:rPr>
          <w:spacing w:val="8"/>
          <w:position w:val="1"/>
        </w:rPr>
        <w:t>）、余干县人民政府网（</w:t>
      </w:r>
      <w:r>
        <w:fldChar w:fldCharType="begin"/>
      </w:r>
      <w:r>
        <w:instrText xml:space="preserve"> HYPERLINK "http://www.yugan.gov.cn/" </w:instrText>
      </w:r>
      <w:r>
        <w:fldChar w:fldCharType="separate"/>
      </w:r>
      <w:r>
        <w:rPr>
          <w:position w:val="1"/>
        </w:rPr>
        <w:t>http</w:t>
      </w:r>
      <w:r>
        <w:rPr>
          <w:spacing w:val="8"/>
          <w:position w:val="1"/>
        </w:rPr>
        <w:t>://</w:t>
      </w:r>
      <w:r>
        <w:rPr>
          <w:position w:val="1"/>
        </w:rPr>
        <w:t>www</w:t>
      </w:r>
      <w:r>
        <w:rPr>
          <w:spacing w:val="8"/>
          <w:position w:val="1"/>
        </w:rPr>
        <w:t>.</w:t>
      </w:r>
      <w:r>
        <w:rPr>
          <w:position w:val="1"/>
        </w:rPr>
        <w:t>yugan</w:t>
      </w:r>
      <w:r>
        <w:rPr>
          <w:spacing w:val="8"/>
          <w:position w:val="1"/>
        </w:rPr>
        <w:t>.</w:t>
      </w:r>
      <w:r>
        <w:rPr>
          <w:position w:val="1"/>
        </w:rPr>
        <w:t>gov</w:t>
      </w:r>
      <w:r>
        <w:rPr>
          <w:spacing w:val="8"/>
          <w:position w:val="1"/>
        </w:rPr>
        <w:t>.</w:t>
      </w:r>
      <w:r>
        <w:rPr>
          <w:position w:val="1"/>
        </w:rPr>
        <w:t>cn</w:t>
      </w:r>
      <w:r>
        <w:rPr>
          <w:spacing w:val="7"/>
          <w:position w:val="1"/>
        </w:rPr>
        <w:t>/</w:t>
      </w:r>
      <w:r>
        <w:rPr>
          <w:spacing w:val="7"/>
          <w:position w:val="1"/>
        </w:rPr>
        <w:fldChar w:fldCharType="end"/>
      </w:r>
      <w:r>
        <w:rPr>
          <w:spacing w:val="7"/>
          <w:position w:val="1"/>
        </w:rPr>
        <w:t>）上发布。</w:t>
      </w:r>
    </w:p>
    <w:p>
      <w:pPr>
        <w:spacing w:line="282" w:lineRule="auto"/>
        <w:rPr>
          <w:rFonts w:ascii="Arial"/>
          <w:sz w:val="21"/>
        </w:rPr>
      </w:pPr>
    </w:p>
    <w:p>
      <w:pPr>
        <w:spacing w:before="112" w:line="211" w:lineRule="auto"/>
        <w:ind w:left="14"/>
        <w:rPr>
          <w:rFonts w:ascii="黑体" w:hAnsi="黑体" w:eastAsia="黑体" w:cs="黑体"/>
          <w:sz w:val="34"/>
          <w:szCs w:val="34"/>
        </w:rPr>
      </w:pPr>
      <w:r>
        <w:rPr>
          <w:rFonts w:ascii="黑体" w:hAnsi="黑体" w:eastAsia="黑体" w:cs="黑体"/>
          <w:spacing w:val="3"/>
          <w:sz w:val="34"/>
          <w:szCs w:val="34"/>
        </w:rPr>
        <w:t>7.其它事项</w:t>
      </w:r>
    </w:p>
    <w:p>
      <w:pPr>
        <w:spacing w:line="311" w:lineRule="auto"/>
        <w:rPr>
          <w:rFonts w:ascii="Arial"/>
          <w:sz w:val="21"/>
        </w:rPr>
      </w:pPr>
    </w:p>
    <w:p>
      <w:pPr>
        <w:pStyle w:val="2"/>
        <w:spacing w:before="68" w:line="213" w:lineRule="auto"/>
        <w:ind w:left="9"/>
      </w:pPr>
      <w:r>
        <w:rPr>
          <w:spacing w:val="2"/>
        </w:rPr>
        <w:t>其他:/</w:t>
      </w: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111" w:line="211" w:lineRule="auto"/>
        <w:ind w:left="9"/>
        <w:rPr>
          <w:rFonts w:ascii="黑体" w:hAnsi="黑体" w:eastAsia="黑体" w:cs="黑体"/>
          <w:sz w:val="34"/>
          <w:szCs w:val="34"/>
        </w:rPr>
      </w:pPr>
      <w:r>
        <w:rPr>
          <w:rFonts w:ascii="黑体" w:hAnsi="黑体" w:eastAsia="黑体" w:cs="黑体"/>
          <w:spacing w:val="4"/>
          <w:sz w:val="34"/>
          <w:szCs w:val="34"/>
        </w:rPr>
        <w:t>8.联系方式</w:t>
      </w:r>
    </w:p>
    <w:p>
      <w:pPr>
        <w:spacing w:before="213"/>
      </w:pPr>
    </w:p>
    <w:tbl>
      <w:tblPr>
        <w:tblStyle w:val="6"/>
        <w:tblW w:w="10309" w:type="dxa"/>
        <w:tblInd w:w="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4938"/>
        <w:gridCol w:w="5371"/>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34"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4" w:line="184" w:lineRule="auto"/>
              <w:ind w:left="21"/>
            </w:pPr>
            <w:r>
              <w:rPr>
                <w:spacing w:val="6"/>
              </w:rPr>
              <w:t>招标人:余干县农村公路建设指挥部办公室</w:t>
            </w:r>
          </w:p>
        </w:tc>
        <w:tc>
          <w:tcPr>
            <w:tcW w:w="5371" w:type="dxa"/>
            <w:vAlign w:val="top"/>
          </w:tcPr>
          <w:p>
            <w:pPr>
              <w:pStyle w:val="7"/>
              <w:spacing w:before="13" w:line="185" w:lineRule="auto"/>
              <w:ind w:left="15"/>
            </w:pPr>
            <w:r>
              <w:rPr>
                <w:spacing w:val="6"/>
              </w:rPr>
              <w:t>招标代理机构:江西羽珞工程管理有限公司</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445"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17" w:line="213" w:lineRule="auto"/>
              <w:ind w:left="20"/>
            </w:pPr>
            <w:r>
              <w:rPr>
                <w:spacing w:val="5"/>
              </w:rPr>
              <w:t>地址:余干县玉亭镇永安西路1号</w:t>
            </w:r>
          </w:p>
        </w:tc>
        <w:tc>
          <w:tcPr>
            <w:tcW w:w="5371" w:type="dxa"/>
            <w:vAlign w:val="top"/>
          </w:tcPr>
          <w:p>
            <w:pPr>
              <w:pStyle w:val="7"/>
              <w:spacing w:before="7" w:line="188" w:lineRule="auto"/>
              <w:ind w:left="14" w:right="260"/>
            </w:pPr>
            <w:r>
              <w:rPr>
                <w:spacing w:val="6"/>
              </w:rPr>
              <w:t>地址:江西省上饶市余干县玉亭镇昌万公路东郡豪庭 4</w:t>
            </w:r>
            <w:r>
              <w:t xml:space="preserve"> 栋</w:t>
            </w:r>
            <w:r>
              <w:rPr>
                <w:spacing w:val="21"/>
              </w:rPr>
              <w:t xml:space="preserve"> </w:t>
            </w:r>
            <w:r>
              <w:t>2</w:t>
            </w:r>
            <w:r>
              <w:rPr>
                <w:spacing w:val="13"/>
              </w:rPr>
              <w:t xml:space="preserve"> </w:t>
            </w:r>
            <w:r>
              <w:t>单元 402</w:t>
            </w:r>
            <w:r>
              <w:rPr>
                <w:spacing w:val="16"/>
              </w:rPr>
              <w:t xml:space="preserve"> </w:t>
            </w:r>
            <w:r>
              <w:t>室</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8"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9" w:line="183" w:lineRule="auto"/>
              <w:ind w:left="36"/>
            </w:pPr>
            <w:r>
              <w:rPr>
                <w:spacing w:val="2"/>
              </w:rPr>
              <w:t>邮政编码:335100</w:t>
            </w:r>
          </w:p>
        </w:tc>
        <w:tc>
          <w:tcPr>
            <w:tcW w:w="5371" w:type="dxa"/>
            <w:vAlign w:val="top"/>
          </w:tcPr>
          <w:p>
            <w:pPr>
              <w:pStyle w:val="7"/>
              <w:spacing w:before="9" w:line="183" w:lineRule="auto"/>
              <w:ind w:left="30"/>
            </w:pPr>
            <w:r>
              <w:rPr>
                <w:spacing w:val="2"/>
              </w:rPr>
              <w:t>邮政编码:335100</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8"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0" w:line="182" w:lineRule="auto"/>
              <w:ind w:left="21"/>
            </w:pPr>
            <w:r>
              <w:rPr>
                <w:spacing w:val="4"/>
              </w:rPr>
              <w:t>联系人:徐洋</w:t>
            </w:r>
          </w:p>
        </w:tc>
        <w:tc>
          <w:tcPr>
            <w:tcW w:w="5371" w:type="dxa"/>
            <w:vAlign w:val="top"/>
          </w:tcPr>
          <w:p>
            <w:pPr>
              <w:pStyle w:val="7"/>
              <w:spacing w:before="10" w:line="182" w:lineRule="auto"/>
              <w:ind w:left="15"/>
            </w:pPr>
            <w:r>
              <w:rPr>
                <w:spacing w:val="4"/>
              </w:rPr>
              <w:t>联系人:苏彦秋</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9"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1" w:line="182" w:lineRule="auto"/>
              <w:ind w:left="45"/>
            </w:pPr>
            <w:r>
              <w:rPr>
                <w:spacing w:val="1"/>
              </w:rPr>
              <w:t>电话:13970336218</w:t>
            </w:r>
          </w:p>
        </w:tc>
        <w:tc>
          <w:tcPr>
            <w:tcW w:w="5371" w:type="dxa"/>
            <w:vAlign w:val="top"/>
          </w:tcPr>
          <w:p>
            <w:pPr>
              <w:pStyle w:val="7"/>
              <w:spacing w:before="11" w:line="182" w:lineRule="auto"/>
              <w:ind w:left="39"/>
            </w:pPr>
            <w:r>
              <w:rPr>
                <w:spacing w:val="1"/>
              </w:rPr>
              <w:t>电话:15946821991</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18"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10" w:line="174" w:lineRule="auto"/>
              <w:ind w:left="18"/>
            </w:pPr>
            <w:r>
              <w:rPr>
                <w:spacing w:val="3"/>
              </w:rPr>
              <w:t>传真:</w:t>
            </w:r>
          </w:p>
        </w:tc>
        <w:tc>
          <w:tcPr>
            <w:tcW w:w="5371" w:type="dxa"/>
            <w:vAlign w:val="top"/>
          </w:tcPr>
          <w:p>
            <w:pPr>
              <w:pStyle w:val="7"/>
              <w:spacing w:before="10" w:line="174" w:lineRule="auto"/>
              <w:ind w:left="12"/>
            </w:pPr>
            <w:r>
              <w:rPr>
                <w:spacing w:val="3"/>
              </w:rPr>
              <w:t>传真:</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9"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21" w:line="174" w:lineRule="auto"/>
              <w:ind w:left="45"/>
            </w:pPr>
            <w:r>
              <w:rPr>
                <w:spacing w:val="-1"/>
              </w:rPr>
              <w:t>电子邮件:</w:t>
            </w:r>
          </w:p>
        </w:tc>
        <w:tc>
          <w:tcPr>
            <w:tcW w:w="5371" w:type="dxa"/>
            <w:vAlign w:val="top"/>
          </w:tcPr>
          <w:p>
            <w:pPr>
              <w:pStyle w:val="7"/>
              <w:spacing w:before="21" w:line="174" w:lineRule="auto"/>
              <w:ind w:left="39"/>
            </w:pPr>
            <w:r>
              <w:rPr>
                <w:spacing w:val="-1"/>
              </w:rPr>
              <w:t>电子邮件:</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28" w:hRule="atLeast"/>
        </w:trPr>
        <w:tc>
          <w:tcPr>
            <w:tcW w:w="4938" w:type="dxa"/>
            <w:tcBorders>
              <w:top w:val="single" w:color="808080" w:sz="4" w:space="0"/>
              <w:left w:val="single" w:color="808080" w:sz="4" w:space="0"/>
              <w:bottom w:val="single" w:color="808080" w:sz="4" w:space="0"/>
              <w:right w:val="single" w:color="808080" w:sz="4" w:space="0"/>
            </w:tcBorders>
            <w:vAlign w:val="top"/>
          </w:tcPr>
          <w:p>
            <w:pPr>
              <w:pStyle w:val="7"/>
              <w:spacing w:before="21" w:line="173" w:lineRule="auto"/>
              <w:ind w:left="21"/>
            </w:pPr>
            <w:r>
              <w:rPr>
                <w:spacing w:val="4"/>
              </w:rPr>
              <w:t>开户银行:</w:t>
            </w:r>
          </w:p>
        </w:tc>
        <w:tc>
          <w:tcPr>
            <w:tcW w:w="5371" w:type="dxa"/>
            <w:vAlign w:val="top"/>
          </w:tcPr>
          <w:p>
            <w:pPr>
              <w:pStyle w:val="7"/>
              <w:spacing w:before="20" w:line="174" w:lineRule="auto"/>
              <w:ind w:left="15"/>
            </w:pPr>
            <w:r>
              <w:rPr>
                <w:spacing w:val="6"/>
              </w:rPr>
              <w:t>开户银行:江西银行股份有限公司上饶余干支行</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45" w:hRule="atLeast"/>
        </w:trPr>
        <w:tc>
          <w:tcPr>
            <w:tcW w:w="4938" w:type="dxa"/>
            <w:vAlign w:val="top"/>
          </w:tcPr>
          <w:p>
            <w:pPr>
              <w:pStyle w:val="7"/>
              <w:spacing w:before="24" w:line="185" w:lineRule="auto"/>
              <w:ind w:left="23"/>
            </w:pPr>
            <w:r>
              <w:rPr>
                <w:spacing w:val="1"/>
              </w:rPr>
              <w:t>账号:</w:t>
            </w:r>
          </w:p>
        </w:tc>
        <w:tc>
          <w:tcPr>
            <w:tcW w:w="5371" w:type="dxa"/>
            <w:vAlign w:val="top"/>
          </w:tcPr>
          <w:p>
            <w:pPr>
              <w:pStyle w:val="7"/>
              <w:spacing w:before="24" w:line="185" w:lineRule="auto"/>
              <w:ind w:left="17"/>
            </w:pPr>
            <w:r>
              <w:rPr>
                <w:spacing w:val="3"/>
              </w:rPr>
              <w:t>账号:793900636000066</w:t>
            </w:r>
          </w:p>
        </w:tc>
      </w:tr>
    </w:tbl>
    <w:p>
      <w:pPr>
        <w:spacing w:line="333" w:lineRule="auto"/>
        <w:rPr>
          <w:rFonts w:ascii="Arial"/>
          <w:sz w:val="21"/>
        </w:rPr>
      </w:pPr>
    </w:p>
    <w:p>
      <w:pPr>
        <w:pStyle w:val="2"/>
        <w:spacing w:before="69" w:line="542" w:lineRule="exact"/>
        <w:ind w:left="12"/>
      </w:pPr>
      <w:r>
        <w:rPr>
          <w:spacing w:val="6"/>
          <w:position w:val="26"/>
        </w:rPr>
        <w:t>交易系统软件服务商名称：国泰新点软件股份有限公司</w:t>
      </w:r>
    </w:p>
    <w:p>
      <w:pPr>
        <w:pStyle w:val="2"/>
        <w:spacing w:before="1" w:line="212" w:lineRule="auto"/>
        <w:ind w:left="10"/>
      </w:pPr>
      <w:r>
        <w:rPr>
          <w:spacing w:val="4"/>
        </w:rPr>
        <w:t>客服联系电话：4009980000</w:t>
      </w:r>
    </w:p>
    <w:p>
      <w:pPr>
        <w:pStyle w:val="2"/>
        <w:spacing w:before="300" w:line="213" w:lineRule="auto"/>
        <w:jc w:val="right"/>
      </w:pPr>
      <w:r>
        <w:rPr>
          <w:spacing w:val="3"/>
        </w:rPr>
        <w:t>2024年02月29日</w:t>
      </w:r>
    </w:p>
    <w:p>
      <w:pPr>
        <w:spacing w:line="213" w:lineRule="auto"/>
        <w:sectPr>
          <w:headerReference r:id="rId5" w:type="default"/>
          <w:pgSz w:w="11900" w:h="16840"/>
          <w:pgMar w:top="400" w:right="703" w:bottom="0" w:left="616" w:header="0" w:footer="0" w:gutter="0"/>
          <w:cols w:space="720" w:num="1"/>
        </w:sectPr>
      </w:pPr>
    </w:p>
    <w:p>
      <w:pPr>
        <w:spacing w:line="269" w:lineRule="auto"/>
        <w:rPr>
          <w:rFonts w:ascii="Arial"/>
          <w:sz w:val="21"/>
        </w:rPr>
      </w:pPr>
    </w:p>
    <w:p>
      <w:pPr>
        <w:spacing w:line="269" w:lineRule="auto"/>
        <w:rPr>
          <w:rFonts w:ascii="Arial"/>
          <w:sz w:val="21"/>
        </w:rPr>
      </w:pPr>
    </w:p>
    <w:p>
      <w:pPr>
        <w:spacing w:before="111" w:line="211" w:lineRule="auto"/>
        <w:ind w:left="32"/>
        <w:rPr>
          <w:rFonts w:ascii="黑体" w:hAnsi="黑体" w:eastAsia="黑体" w:cs="黑体"/>
          <w:sz w:val="34"/>
          <w:szCs w:val="34"/>
        </w:rPr>
      </w:pPr>
      <w:r>
        <w:rPr>
          <w:rFonts w:ascii="黑体" w:hAnsi="黑体" w:eastAsia="黑体" w:cs="黑体"/>
          <w:spacing w:val="4"/>
          <w:sz w:val="34"/>
          <w:szCs w:val="34"/>
        </w:rPr>
        <w:t>附表一 类别及标段划分一览表</w:t>
      </w:r>
    </w:p>
    <w:p>
      <w:pPr>
        <w:spacing w:line="30" w:lineRule="exact"/>
      </w:pPr>
    </w:p>
    <w:tbl>
      <w:tblPr>
        <w:tblStyle w:val="6"/>
        <w:tblW w:w="10808" w:type="dxa"/>
        <w:tblInd w:w="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1199"/>
        <w:gridCol w:w="1194"/>
        <w:gridCol w:w="2398"/>
        <w:gridCol w:w="2398"/>
        <w:gridCol w:w="3619"/>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447" w:hRule="atLeast"/>
        </w:trPr>
        <w:tc>
          <w:tcPr>
            <w:tcW w:w="1199" w:type="dxa"/>
            <w:tcBorders>
              <w:top w:val="single" w:color="808080" w:sz="4" w:space="0"/>
              <w:left w:val="single" w:color="808080" w:sz="4" w:space="0"/>
              <w:bottom w:val="single" w:color="808080" w:sz="4" w:space="0"/>
              <w:right w:val="single" w:color="808080" w:sz="4" w:space="0"/>
            </w:tcBorders>
            <w:vAlign w:val="top"/>
          </w:tcPr>
          <w:p>
            <w:pPr>
              <w:pStyle w:val="7"/>
              <w:spacing w:before="124" w:line="212" w:lineRule="auto"/>
              <w:ind w:left="388"/>
            </w:pPr>
            <w:r>
              <w:rPr>
                <w:spacing w:val="2"/>
              </w:rPr>
              <w:t>类别</w:t>
            </w:r>
          </w:p>
        </w:tc>
        <w:tc>
          <w:tcPr>
            <w:tcW w:w="1194" w:type="dxa"/>
            <w:tcBorders>
              <w:top w:val="single" w:color="808080" w:sz="4" w:space="0"/>
              <w:left w:val="single" w:color="808080" w:sz="4" w:space="0"/>
              <w:bottom w:val="single" w:color="808080" w:sz="4" w:space="0"/>
              <w:right w:val="single" w:color="808080" w:sz="4" w:space="0"/>
            </w:tcBorders>
            <w:vAlign w:val="top"/>
          </w:tcPr>
          <w:p>
            <w:pPr>
              <w:pStyle w:val="7"/>
              <w:spacing w:before="123" w:line="213" w:lineRule="auto"/>
              <w:ind w:left="382"/>
            </w:pPr>
            <w:r>
              <w:rPr>
                <w:spacing w:val="2"/>
              </w:rPr>
              <w:t>标段</w:t>
            </w:r>
          </w:p>
        </w:tc>
        <w:tc>
          <w:tcPr>
            <w:tcW w:w="2398" w:type="dxa"/>
            <w:tcBorders>
              <w:top w:val="single" w:color="808080" w:sz="4" w:space="0"/>
              <w:left w:val="single" w:color="808080" w:sz="4" w:space="0"/>
              <w:bottom w:val="single" w:color="808080" w:sz="4" w:space="0"/>
              <w:right w:val="single" w:color="808080" w:sz="4" w:space="0"/>
            </w:tcBorders>
            <w:vAlign w:val="top"/>
          </w:tcPr>
          <w:p>
            <w:pPr>
              <w:pStyle w:val="7"/>
              <w:spacing w:before="123" w:line="213" w:lineRule="auto"/>
              <w:ind w:left="283"/>
            </w:pPr>
            <w:r>
              <w:rPr>
                <w:spacing w:val="5"/>
              </w:rPr>
              <w:t>起迄桩号/工程地点</w:t>
            </w:r>
          </w:p>
        </w:tc>
        <w:tc>
          <w:tcPr>
            <w:tcW w:w="2398" w:type="dxa"/>
            <w:vAlign w:val="top"/>
          </w:tcPr>
          <w:p>
            <w:pPr>
              <w:pStyle w:val="7"/>
              <w:spacing w:before="14" w:line="192" w:lineRule="auto"/>
              <w:ind w:left="552"/>
            </w:pPr>
            <w:r>
              <w:rPr>
                <w:spacing w:val="5"/>
              </w:rPr>
              <w:t>长度（</w:t>
            </w:r>
            <w:r>
              <w:t>km</w:t>
            </w:r>
            <w:r>
              <w:rPr>
                <w:spacing w:val="5"/>
              </w:rPr>
              <w:t>）/</w:t>
            </w:r>
          </w:p>
          <w:p>
            <w:pPr>
              <w:pStyle w:val="7"/>
              <w:spacing w:line="179" w:lineRule="auto"/>
              <w:ind w:left="340"/>
            </w:pPr>
            <w:r>
              <w:rPr>
                <w:spacing w:val="2"/>
              </w:rPr>
              <w:t>总建筑面积（m2）</w:t>
            </w:r>
          </w:p>
        </w:tc>
        <w:tc>
          <w:tcPr>
            <w:tcW w:w="3619" w:type="dxa"/>
            <w:vAlign w:val="top"/>
          </w:tcPr>
          <w:p>
            <w:pPr>
              <w:pStyle w:val="7"/>
              <w:spacing w:before="123" w:line="213" w:lineRule="auto"/>
              <w:ind w:left="1168"/>
            </w:pPr>
            <w:r>
              <w:rPr>
                <w:spacing w:val="5"/>
              </w:rPr>
              <w:t>主要工程内容</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888" w:hRule="atLeast"/>
        </w:trPr>
        <w:tc>
          <w:tcPr>
            <w:tcW w:w="1199" w:type="dxa"/>
            <w:vAlign w:val="top"/>
          </w:tcPr>
          <w:p>
            <w:pPr>
              <w:spacing w:line="269" w:lineRule="auto"/>
              <w:rPr>
                <w:rFonts w:ascii="Arial"/>
                <w:sz w:val="21"/>
              </w:rPr>
            </w:pPr>
          </w:p>
          <w:p>
            <w:pPr>
              <w:pStyle w:val="7"/>
              <w:spacing w:before="69" w:line="212" w:lineRule="auto"/>
              <w:ind w:left="26"/>
            </w:pPr>
            <w:r>
              <w:rPr>
                <w:spacing w:val="3"/>
              </w:rPr>
              <w:t>公路工程</w:t>
            </w:r>
          </w:p>
        </w:tc>
        <w:tc>
          <w:tcPr>
            <w:tcW w:w="1194" w:type="dxa"/>
            <w:vAlign w:val="top"/>
          </w:tcPr>
          <w:p>
            <w:pPr>
              <w:pStyle w:val="7"/>
              <w:spacing w:before="13" w:line="191" w:lineRule="auto"/>
              <w:ind w:left="12" w:right="94" w:firstLine="1"/>
            </w:pPr>
            <w:r>
              <w:rPr>
                <w:spacing w:val="4"/>
              </w:rPr>
              <w:t>余干县小学</w:t>
            </w:r>
            <w:r>
              <w:rPr>
                <w:spacing w:val="3"/>
              </w:rPr>
              <w:t xml:space="preserve"> </w:t>
            </w:r>
            <w:r>
              <w:rPr>
                <w:spacing w:val="5"/>
              </w:rPr>
              <w:t>至园下农村</w:t>
            </w:r>
            <w:r>
              <w:t xml:space="preserve"> </w:t>
            </w:r>
            <w:r>
              <w:rPr>
                <w:spacing w:val="4"/>
              </w:rPr>
              <w:t>道路工程</w:t>
            </w:r>
          </w:p>
          <w:p>
            <w:pPr>
              <w:pStyle w:val="7"/>
              <w:spacing w:line="187" w:lineRule="auto"/>
              <w:ind w:left="22"/>
            </w:pPr>
            <w:r>
              <w:rPr>
                <w:spacing w:val="-1"/>
              </w:rPr>
              <w:t>（第二次）</w:t>
            </w:r>
          </w:p>
        </w:tc>
        <w:tc>
          <w:tcPr>
            <w:tcW w:w="2398" w:type="dxa"/>
            <w:vAlign w:val="top"/>
          </w:tcPr>
          <w:p>
            <w:pPr>
              <w:pStyle w:val="7"/>
              <w:spacing w:before="302" w:line="310" w:lineRule="exact"/>
              <w:ind w:left="8"/>
            </w:pPr>
            <w:r>
              <w:rPr>
                <w:spacing w:val="3"/>
              </w:rPr>
              <w:t>K0+000~K2+575</w:t>
            </w:r>
          </w:p>
        </w:tc>
        <w:tc>
          <w:tcPr>
            <w:tcW w:w="2398" w:type="dxa"/>
            <w:vAlign w:val="top"/>
          </w:tcPr>
          <w:p>
            <w:pPr>
              <w:spacing w:line="296" w:lineRule="auto"/>
              <w:rPr>
                <w:rFonts w:ascii="Arial"/>
                <w:sz w:val="21"/>
              </w:rPr>
            </w:pPr>
          </w:p>
          <w:p>
            <w:pPr>
              <w:pStyle w:val="7"/>
              <w:spacing w:before="68" w:line="188" w:lineRule="auto"/>
              <w:ind w:left="8"/>
            </w:pPr>
            <w:r>
              <w:rPr>
                <w:spacing w:val="3"/>
              </w:rPr>
              <w:t>4.017</w:t>
            </w:r>
            <w:r>
              <w:t>Km</w:t>
            </w:r>
          </w:p>
        </w:tc>
        <w:tc>
          <w:tcPr>
            <w:tcW w:w="3619" w:type="dxa"/>
            <w:vAlign w:val="top"/>
          </w:tcPr>
          <w:p>
            <w:pPr>
              <w:pStyle w:val="7"/>
              <w:spacing w:before="122" w:line="198" w:lineRule="auto"/>
              <w:ind w:left="17" w:right="22"/>
            </w:pPr>
            <w:r>
              <w:rPr>
                <w:spacing w:val="5"/>
              </w:rPr>
              <w:t>本项目位于三塘乡，路面宽度6m。沥</w:t>
            </w:r>
            <w:r>
              <w:rPr>
                <w:spacing w:val="6"/>
              </w:rPr>
              <w:t xml:space="preserve">  青砼路面，全线按四级公路（I类）标</w:t>
            </w:r>
            <w:r>
              <w:t xml:space="preserve"> </w:t>
            </w:r>
            <w:r>
              <w:rPr>
                <w:spacing w:val="-4"/>
              </w:rPr>
              <w:t>准建设。</w:t>
            </w:r>
          </w:p>
        </w:tc>
      </w:tr>
    </w:tbl>
    <w:p>
      <w:pPr>
        <w:spacing w:line="255" w:lineRule="auto"/>
        <w:rPr>
          <w:rFonts w:ascii="Arial"/>
          <w:sz w:val="21"/>
        </w:rPr>
      </w:pPr>
    </w:p>
    <w:p>
      <w:pPr>
        <w:spacing w:line="256" w:lineRule="auto"/>
        <w:rPr>
          <w:rFonts w:ascii="Arial"/>
          <w:sz w:val="21"/>
        </w:rPr>
      </w:pPr>
    </w:p>
    <w:p>
      <w:pPr>
        <w:spacing w:before="110" w:line="209" w:lineRule="auto"/>
        <w:ind w:left="32"/>
        <w:rPr>
          <w:rFonts w:ascii="黑体" w:hAnsi="黑体" w:eastAsia="黑体" w:cs="黑体"/>
          <w:sz w:val="34"/>
          <w:szCs w:val="34"/>
        </w:rPr>
      </w:pPr>
      <w:r>
        <w:rPr>
          <w:rFonts w:ascii="黑体" w:hAnsi="黑体" w:eastAsia="黑体" w:cs="黑体"/>
          <w:spacing w:val="-2"/>
          <w:sz w:val="34"/>
          <w:szCs w:val="34"/>
        </w:rPr>
        <w:t>附表二</w:t>
      </w:r>
      <w:r>
        <w:rPr>
          <w:rFonts w:ascii="黑体" w:hAnsi="黑体" w:eastAsia="黑体" w:cs="黑体"/>
          <w:spacing w:val="31"/>
          <w:sz w:val="34"/>
          <w:szCs w:val="34"/>
        </w:rPr>
        <w:t xml:space="preserve"> </w:t>
      </w:r>
      <w:r>
        <w:rPr>
          <w:rFonts w:ascii="黑体" w:hAnsi="黑体" w:eastAsia="黑体" w:cs="黑体"/>
          <w:spacing w:val="-2"/>
          <w:sz w:val="34"/>
          <w:szCs w:val="34"/>
        </w:rPr>
        <w:t>资质要求</w:t>
      </w:r>
    </w:p>
    <w:p>
      <w:pPr>
        <w:spacing w:line="31" w:lineRule="exact"/>
      </w:pPr>
    </w:p>
    <w:tbl>
      <w:tblPr>
        <w:tblStyle w:val="6"/>
        <w:tblW w:w="10808"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08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231" w:hRule="atLeast"/>
        </w:trPr>
        <w:tc>
          <w:tcPr>
            <w:tcW w:w="10808" w:type="dxa"/>
            <w:vAlign w:val="top"/>
          </w:tcPr>
          <w:p>
            <w:pPr>
              <w:pStyle w:val="7"/>
              <w:spacing w:before="15" w:line="181" w:lineRule="auto"/>
              <w:ind w:left="4322"/>
            </w:pPr>
            <w:r>
              <w:rPr>
                <w:spacing w:val="6"/>
              </w:rPr>
              <w:t>施工企业资质等级要求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671" w:hRule="atLeast"/>
        </w:trPr>
        <w:tc>
          <w:tcPr>
            <w:tcW w:w="10808" w:type="dxa"/>
            <w:tcBorders>
              <w:top w:val="single" w:color="2C2C2C" w:sz="4" w:space="0"/>
              <w:left w:val="single" w:color="2C2C2C" w:sz="4" w:space="0"/>
              <w:bottom w:val="single" w:color="2C2C2C" w:sz="4" w:space="0"/>
              <w:right w:val="single" w:color="2C2C2C" w:sz="4" w:space="0"/>
            </w:tcBorders>
            <w:vAlign w:val="top"/>
          </w:tcPr>
          <w:p>
            <w:pPr>
              <w:pStyle w:val="7"/>
              <w:spacing w:before="11" w:line="191" w:lineRule="auto"/>
              <w:ind w:left="90"/>
            </w:pPr>
            <w:r>
              <w:rPr>
                <w:spacing w:val="-2"/>
              </w:rPr>
              <w:t>Ⅰ类投标人必须同时具备以下资质：</w:t>
            </w:r>
          </w:p>
          <w:p>
            <w:pPr>
              <w:pStyle w:val="7"/>
              <w:spacing w:line="192" w:lineRule="auto"/>
              <w:ind w:left="243"/>
            </w:pPr>
            <w:r>
              <w:rPr>
                <w:spacing w:val="-1"/>
              </w:rPr>
              <w:t>公路工程施工总承包三级及以上；</w:t>
            </w:r>
            <w:r>
              <w:rPr>
                <w:spacing w:val="35"/>
              </w:rPr>
              <w:t xml:space="preserve">  </w:t>
            </w:r>
            <w:r>
              <w:rPr>
                <w:spacing w:val="-1"/>
              </w:rPr>
              <w:t>具备独立法人资格；</w:t>
            </w:r>
            <w:r>
              <w:rPr>
                <w:spacing w:val="44"/>
              </w:rPr>
              <w:t xml:space="preserve">  </w:t>
            </w:r>
            <w:r>
              <w:rPr>
                <w:spacing w:val="-1"/>
              </w:rPr>
              <w:t>同时具备有效的安全生产许</w:t>
            </w:r>
            <w:r>
              <w:rPr>
                <w:spacing w:val="-2"/>
              </w:rPr>
              <w:t>可证及有效的企业法人营</w:t>
            </w:r>
          </w:p>
          <w:p>
            <w:pPr>
              <w:pStyle w:val="7"/>
              <w:spacing w:line="187" w:lineRule="auto"/>
              <w:ind w:left="19"/>
            </w:pPr>
            <w:r>
              <w:rPr>
                <w:spacing w:val="-7"/>
              </w:rPr>
              <w:t>业执照；</w:t>
            </w:r>
          </w:p>
        </w:tc>
      </w:tr>
    </w:tbl>
    <w:p>
      <w:pPr>
        <w:spacing w:before="56" w:line="212" w:lineRule="auto"/>
        <w:ind w:left="8" w:right="43" w:hanging="1"/>
        <w:rPr>
          <w:rFonts w:ascii="黑体" w:hAnsi="黑体" w:eastAsia="黑体" w:cs="黑体"/>
          <w:sz w:val="15"/>
          <w:szCs w:val="15"/>
        </w:rPr>
      </w:pPr>
      <w:r>
        <w:rPr>
          <w:rFonts w:ascii="黑体" w:hAnsi="黑体" w:eastAsia="黑体" w:cs="黑体"/>
          <w:spacing w:val="2"/>
          <w:sz w:val="15"/>
          <w:szCs w:val="15"/>
        </w:rPr>
        <w:t>注：具体资质要求由招标人在满足国家相关法律法规前提下，根据招标项目具体特点和实际情况从上表</w:t>
      </w:r>
      <w:r>
        <w:rPr>
          <w:rFonts w:ascii="黑体" w:hAnsi="黑体" w:eastAsia="黑体" w:cs="黑体"/>
          <w:spacing w:val="1"/>
          <w:sz w:val="15"/>
          <w:szCs w:val="15"/>
        </w:rPr>
        <w:t>中选择一项或多项，横线上方有内容要求的，具体数据应从</w:t>
      </w:r>
      <w:r>
        <w:rPr>
          <w:rFonts w:ascii="黑体" w:hAnsi="黑体" w:eastAsia="黑体" w:cs="黑体"/>
          <w:sz w:val="15"/>
          <w:szCs w:val="15"/>
        </w:rPr>
        <w:t xml:space="preserve"> 交易系统中选择，但不得设置过高的资质要求。</w:t>
      </w:r>
    </w:p>
    <w:p>
      <w:pPr>
        <w:spacing w:line="249" w:lineRule="auto"/>
        <w:rPr>
          <w:rFonts w:ascii="Arial"/>
          <w:sz w:val="21"/>
        </w:rPr>
      </w:pPr>
    </w:p>
    <w:p>
      <w:pPr>
        <w:spacing w:line="249" w:lineRule="auto"/>
        <w:rPr>
          <w:rFonts w:ascii="Arial"/>
          <w:sz w:val="21"/>
        </w:rPr>
      </w:pPr>
    </w:p>
    <w:p>
      <w:pPr>
        <w:spacing w:before="111" w:line="210" w:lineRule="auto"/>
        <w:ind w:left="32"/>
        <w:rPr>
          <w:rFonts w:ascii="黑体" w:hAnsi="黑体" w:eastAsia="黑体" w:cs="黑体"/>
          <w:sz w:val="34"/>
          <w:szCs w:val="34"/>
        </w:rPr>
      </w:pPr>
      <w:r>
        <w:rPr>
          <w:rFonts w:ascii="黑体" w:hAnsi="黑体" w:eastAsia="黑体" w:cs="黑体"/>
          <w:spacing w:val="2"/>
          <w:sz w:val="34"/>
          <w:szCs w:val="34"/>
        </w:rPr>
        <w:t>附表三 财务要求</w:t>
      </w:r>
    </w:p>
    <w:p>
      <w:pPr>
        <w:spacing w:line="31" w:lineRule="exact"/>
      </w:pPr>
    </w:p>
    <w:tbl>
      <w:tblPr>
        <w:tblStyle w:val="6"/>
        <w:tblW w:w="10808" w:type="dxa"/>
        <w:tblInd w:w="5" w:type="dxa"/>
        <w:tblBorders>
          <w:top w:val="single" w:color="808080" w:sz="4" w:space="0"/>
          <w:left w:val="single" w:color="808080" w:sz="4" w:space="0"/>
          <w:bottom w:val="single" w:color="2C2C2C" w:sz="4" w:space="0"/>
          <w:right w:val="single" w:color="2C2C2C" w:sz="4" w:space="0"/>
          <w:insideH w:val="none" w:color="auto" w:sz="0" w:space="0"/>
          <w:insideV w:val="none" w:color="auto" w:sz="0" w:space="0"/>
        </w:tblBorders>
        <w:tblLayout w:type="fixed"/>
        <w:tblCellMar>
          <w:top w:w="0" w:type="dxa"/>
          <w:left w:w="0" w:type="dxa"/>
          <w:bottom w:w="0" w:type="dxa"/>
          <w:right w:w="0" w:type="dxa"/>
        </w:tblCellMar>
      </w:tblPr>
      <w:tblGrid>
        <w:gridCol w:w="10808"/>
      </w:tblGrid>
      <w:tr>
        <w:tblPrEx>
          <w:tblBorders>
            <w:top w:val="single" w:color="808080" w:sz="4" w:space="0"/>
            <w:left w:val="single" w:color="808080" w:sz="4" w:space="0"/>
            <w:bottom w:val="single" w:color="2C2C2C" w:sz="4" w:space="0"/>
            <w:right w:val="single" w:color="2C2C2C" w:sz="4" w:space="0"/>
            <w:insideH w:val="none" w:color="auto" w:sz="0" w:space="0"/>
            <w:insideV w:val="none" w:color="auto" w:sz="0" w:space="0"/>
          </w:tblBorders>
          <w:tblCellMar>
            <w:top w:w="0" w:type="dxa"/>
            <w:left w:w="0" w:type="dxa"/>
            <w:bottom w:w="0" w:type="dxa"/>
            <w:right w:w="0" w:type="dxa"/>
          </w:tblCellMar>
        </w:tblPrEx>
        <w:trPr>
          <w:trHeight w:val="261" w:hRule="atLeast"/>
        </w:trPr>
        <w:tc>
          <w:tcPr>
            <w:tcW w:w="10808" w:type="dxa"/>
            <w:vAlign w:val="top"/>
          </w:tcPr>
          <w:p>
            <w:pPr>
              <w:pStyle w:val="7"/>
              <w:spacing w:before="14" w:line="208" w:lineRule="auto"/>
              <w:ind w:left="4595"/>
            </w:pPr>
            <w:r>
              <w:rPr>
                <w:spacing w:val="-3"/>
              </w:rPr>
              <w:t>财</w:t>
            </w:r>
            <w:r>
              <w:rPr>
                <w:spacing w:val="9"/>
              </w:rPr>
              <w:t xml:space="preserve">  </w:t>
            </w:r>
            <w:r>
              <w:rPr>
                <w:spacing w:val="-3"/>
              </w:rPr>
              <w:t>务</w:t>
            </w:r>
            <w:r>
              <w:rPr>
                <w:spacing w:val="7"/>
              </w:rPr>
              <w:t xml:space="preserve">   </w:t>
            </w:r>
            <w:r>
              <w:rPr>
                <w:spacing w:val="-3"/>
              </w:rPr>
              <w:t>要</w:t>
            </w:r>
            <w:r>
              <w:rPr>
                <w:spacing w:val="8"/>
              </w:rPr>
              <w:t xml:space="preserve">  </w:t>
            </w:r>
            <w:r>
              <w:rPr>
                <w:spacing w:val="-3"/>
              </w:rPr>
              <w:t>求</w:t>
            </w:r>
          </w:p>
        </w:tc>
      </w:tr>
    </w:tbl>
    <w:p>
      <w:pPr>
        <w:spacing w:before="56" w:line="212" w:lineRule="auto"/>
        <w:ind w:left="8" w:right="43" w:hanging="1"/>
        <w:rPr>
          <w:rFonts w:ascii="黑体" w:hAnsi="黑体" w:eastAsia="黑体" w:cs="黑体"/>
          <w:sz w:val="15"/>
          <w:szCs w:val="15"/>
        </w:rPr>
      </w:pPr>
      <w:r>
        <w:rPr>
          <w:rFonts w:ascii="黑体" w:hAnsi="黑体" w:eastAsia="黑体" w:cs="黑体"/>
          <w:spacing w:val="2"/>
          <w:sz w:val="15"/>
          <w:szCs w:val="15"/>
        </w:rPr>
        <w:t>注：具体财务要求由招标人在满足国家相关法律法规前提下，根据招标项目具体特点和实际情况从上表</w:t>
      </w:r>
      <w:r>
        <w:rPr>
          <w:rFonts w:ascii="黑体" w:hAnsi="黑体" w:eastAsia="黑体" w:cs="黑体"/>
          <w:spacing w:val="1"/>
          <w:sz w:val="15"/>
          <w:szCs w:val="15"/>
        </w:rPr>
        <w:t>中选择一项或多项，横线上方有内容要求的，具体数据应从</w:t>
      </w:r>
      <w:r>
        <w:rPr>
          <w:rFonts w:ascii="黑体" w:hAnsi="黑体" w:eastAsia="黑体" w:cs="黑体"/>
          <w:sz w:val="15"/>
          <w:szCs w:val="15"/>
        </w:rPr>
        <w:t xml:space="preserve"> </w:t>
      </w:r>
      <w:r>
        <w:rPr>
          <w:rFonts w:ascii="黑体" w:hAnsi="黑体" w:eastAsia="黑体" w:cs="黑体"/>
          <w:spacing w:val="1"/>
          <w:sz w:val="15"/>
          <w:szCs w:val="15"/>
        </w:rPr>
        <w:t>交易系统中选择。例如招标人可对投标人近三年的营业额、流动比率、资产负债率、净资产等提出要求，但不得设置过高的要求。</w:t>
      </w:r>
    </w:p>
    <w:p>
      <w:pPr>
        <w:spacing w:line="249" w:lineRule="auto"/>
        <w:rPr>
          <w:rFonts w:ascii="Arial"/>
          <w:sz w:val="21"/>
        </w:rPr>
      </w:pPr>
    </w:p>
    <w:p>
      <w:pPr>
        <w:spacing w:line="249" w:lineRule="auto"/>
        <w:rPr>
          <w:rFonts w:ascii="Arial"/>
          <w:sz w:val="21"/>
        </w:rPr>
      </w:pPr>
    </w:p>
    <w:p>
      <w:pPr>
        <w:spacing w:before="111" w:line="210" w:lineRule="auto"/>
        <w:ind w:left="32"/>
        <w:rPr>
          <w:rFonts w:ascii="黑体" w:hAnsi="黑体" w:eastAsia="黑体" w:cs="黑体"/>
          <w:sz w:val="34"/>
          <w:szCs w:val="34"/>
        </w:rPr>
      </w:pPr>
      <w:r>
        <w:rPr>
          <w:rFonts w:ascii="黑体" w:hAnsi="黑体" w:eastAsia="黑体" w:cs="黑体"/>
          <w:spacing w:val="2"/>
          <w:sz w:val="34"/>
          <w:szCs w:val="34"/>
        </w:rPr>
        <w:t>附表四 业绩要求</w:t>
      </w:r>
    </w:p>
    <w:p>
      <w:pPr>
        <w:spacing w:line="31" w:lineRule="exact"/>
      </w:pPr>
    </w:p>
    <w:tbl>
      <w:tblPr>
        <w:tblStyle w:val="6"/>
        <w:tblW w:w="10808" w:type="dxa"/>
        <w:tblInd w:w="5" w:type="dxa"/>
        <w:tblBorders>
          <w:top w:val="single" w:color="808080" w:sz="4" w:space="0"/>
          <w:left w:val="single" w:color="808080" w:sz="4" w:space="0"/>
          <w:bottom w:val="single" w:color="2C2C2C" w:sz="4" w:space="0"/>
          <w:right w:val="single" w:color="2C2C2C" w:sz="4" w:space="0"/>
          <w:insideH w:val="none" w:color="auto" w:sz="0" w:space="0"/>
          <w:insideV w:val="none" w:color="auto" w:sz="0" w:space="0"/>
        </w:tblBorders>
        <w:tblLayout w:type="fixed"/>
        <w:tblCellMar>
          <w:top w:w="0" w:type="dxa"/>
          <w:left w:w="0" w:type="dxa"/>
          <w:bottom w:w="0" w:type="dxa"/>
          <w:right w:w="0" w:type="dxa"/>
        </w:tblCellMar>
      </w:tblPr>
      <w:tblGrid>
        <w:gridCol w:w="10808"/>
      </w:tblGrid>
      <w:tr>
        <w:tblPrEx>
          <w:tblBorders>
            <w:top w:val="single" w:color="808080" w:sz="4" w:space="0"/>
            <w:left w:val="single" w:color="808080" w:sz="4" w:space="0"/>
            <w:bottom w:val="single" w:color="2C2C2C" w:sz="4" w:space="0"/>
            <w:right w:val="single" w:color="2C2C2C" w:sz="4" w:space="0"/>
            <w:insideH w:val="none" w:color="auto" w:sz="0" w:space="0"/>
            <w:insideV w:val="none" w:color="auto" w:sz="0" w:space="0"/>
          </w:tblBorders>
          <w:tblCellMar>
            <w:top w:w="0" w:type="dxa"/>
            <w:left w:w="0" w:type="dxa"/>
            <w:bottom w:w="0" w:type="dxa"/>
            <w:right w:w="0" w:type="dxa"/>
          </w:tblCellMar>
        </w:tblPrEx>
        <w:trPr>
          <w:trHeight w:val="261" w:hRule="atLeast"/>
        </w:trPr>
        <w:tc>
          <w:tcPr>
            <w:tcW w:w="10808" w:type="dxa"/>
            <w:vAlign w:val="top"/>
          </w:tcPr>
          <w:p>
            <w:pPr>
              <w:pStyle w:val="7"/>
              <w:spacing w:before="15" w:line="207" w:lineRule="auto"/>
              <w:ind w:left="4810"/>
            </w:pPr>
            <w:r>
              <w:rPr>
                <w:spacing w:val="-3"/>
              </w:rPr>
              <w:t>业</w:t>
            </w:r>
            <w:r>
              <w:rPr>
                <w:spacing w:val="17"/>
              </w:rPr>
              <w:t xml:space="preserve"> </w:t>
            </w:r>
            <w:r>
              <w:rPr>
                <w:spacing w:val="-3"/>
              </w:rPr>
              <w:t>绩</w:t>
            </w:r>
            <w:r>
              <w:rPr>
                <w:spacing w:val="13"/>
              </w:rPr>
              <w:t xml:space="preserve"> </w:t>
            </w:r>
            <w:r>
              <w:rPr>
                <w:spacing w:val="-3"/>
              </w:rPr>
              <w:t>要</w:t>
            </w:r>
            <w:r>
              <w:rPr>
                <w:spacing w:val="14"/>
              </w:rPr>
              <w:t xml:space="preserve"> </w:t>
            </w:r>
            <w:r>
              <w:rPr>
                <w:spacing w:val="-3"/>
              </w:rPr>
              <w:t>求</w:t>
            </w:r>
          </w:p>
        </w:tc>
      </w:tr>
    </w:tbl>
    <w:p>
      <w:pPr>
        <w:spacing w:before="57" w:line="212" w:lineRule="auto"/>
        <w:ind w:left="8" w:right="43" w:hanging="1"/>
        <w:rPr>
          <w:rFonts w:ascii="黑体" w:hAnsi="黑体" w:eastAsia="黑体" w:cs="黑体"/>
          <w:sz w:val="15"/>
          <w:szCs w:val="15"/>
        </w:rPr>
      </w:pPr>
      <w:r>
        <w:rPr>
          <w:rFonts w:ascii="黑体" w:hAnsi="黑体" w:eastAsia="黑体" w:cs="黑体"/>
          <w:spacing w:val="2"/>
          <w:sz w:val="15"/>
          <w:szCs w:val="15"/>
        </w:rPr>
        <w:t>注：具体业绩要求由招标人在满足国家相关法律法规前提下，根据招标项目具体特点和实际情况从上表</w:t>
      </w:r>
      <w:r>
        <w:rPr>
          <w:rFonts w:ascii="黑体" w:hAnsi="黑体" w:eastAsia="黑体" w:cs="黑体"/>
          <w:spacing w:val="1"/>
          <w:sz w:val="15"/>
          <w:szCs w:val="15"/>
        </w:rPr>
        <w:t>中选择一项或多项，横线上方有内容要求的，具体数据应从</w:t>
      </w:r>
      <w:r>
        <w:rPr>
          <w:rFonts w:ascii="黑体" w:hAnsi="黑体" w:eastAsia="黑体" w:cs="黑体"/>
          <w:sz w:val="15"/>
          <w:szCs w:val="15"/>
        </w:rPr>
        <w:t xml:space="preserve"> 交易系统中选择，但不得设置过高的业绩资格条件。</w:t>
      </w:r>
    </w:p>
    <w:p>
      <w:pPr>
        <w:spacing w:line="249" w:lineRule="auto"/>
        <w:rPr>
          <w:rFonts w:ascii="Arial"/>
          <w:sz w:val="21"/>
        </w:rPr>
      </w:pPr>
    </w:p>
    <w:p>
      <w:pPr>
        <w:spacing w:line="249" w:lineRule="auto"/>
        <w:rPr>
          <w:rFonts w:ascii="Arial"/>
          <w:sz w:val="21"/>
        </w:rPr>
      </w:pPr>
    </w:p>
    <w:p>
      <w:pPr>
        <w:spacing w:before="111" w:line="210" w:lineRule="auto"/>
        <w:ind w:left="32"/>
        <w:rPr>
          <w:rFonts w:ascii="黑体" w:hAnsi="黑体" w:eastAsia="黑体" w:cs="黑体"/>
          <w:sz w:val="34"/>
          <w:szCs w:val="34"/>
        </w:rPr>
      </w:pPr>
      <w:r>
        <w:rPr>
          <w:rFonts w:ascii="黑体" w:hAnsi="黑体" w:eastAsia="黑体" w:cs="黑体"/>
          <w:spacing w:val="2"/>
          <w:sz w:val="34"/>
          <w:szCs w:val="34"/>
        </w:rPr>
        <w:t>附表五 信誉要求</w:t>
      </w:r>
    </w:p>
    <w:p>
      <w:pPr>
        <w:spacing w:line="31" w:lineRule="exact"/>
      </w:pPr>
    </w:p>
    <w:tbl>
      <w:tblPr>
        <w:tblStyle w:val="6"/>
        <w:tblW w:w="10808"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08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232" w:hRule="atLeast"/>
        </w:trPr>
        <w:tc>
          <w:tcPr>
            <w:tcW w:w="10808" w:type="dxa"/>
            <w:vAlign w:val="top"/>
          </w:tcPr>
          <w:p>
            <w:pPr>
              <w:pStyle w:val="7"/>
              <w:spacing w:before="16" w:line="181" w:lineRule="auto"/>
              <w:ind w:left="4811"/>
            </w:pPr>
            <w:r>
              <w:rPr>
                <w:spacing w:val="-2"/>
              </w:rPr>
              <w:t>信</w:t>
            </w:r>
            <w:r>
              <w:rPr>
                <w:spacing w:val="13"/>
              </w:rPr>
              <w:t xml:space="preserve"> </w:t>
            </w:r>
            <w:r>
              <w:rPr>
                <w:spacing w:val="-2"/>
              </w:rPr>
              <w:t>誉</w:t>
            </w:r>
            <w:r>
              <w:rPr>
                <w:spacing w:val="12"/>
              </w:rPr>
              <w:t xml:space="preserve"> </w:t>
            </w:r>
            <w:r>
              <w:rPr>
                <w:spacing w:val="-2"/>
              </w:rPr>
              <w:t>要</w:t>
            </w:r>
            <w:r>
              <w:rPr>
                <w:spacing w:val="14"/>
              </w:rPr>
              <w:t xml:space="preserve"> </w:t>
            </w:r>
            <w:r>
              <w:rPr>
                <w:spacing w:val="-2"/>
              </w:rPr>
              <w:t>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1320" w:hRule="atLeast"/>
        </w:trPr>
        <w:tc>
          <w:tcPr>
            <w:tcW w:w="10808" w:type="dxa"/>
            <w:tcBorders>
              <w:top w:val="single" w:color="2C2C2C" w:sz="4" w:space="0"/>
              <w:left w:val="single" w:color="2C2C2C" w:sz="4" w:space="0"/>
              <w:bottom w:val="single" w:color="2C2C2C" w:sz="4" w:space="0"/>
              <w:right w:val="single" w:color="2C2C2C" w:sz="4" w:space="0"/>
            </w:tcBorders>
            <w:vAlign w:val="top"/>
          </w:tcPr>
          <w:p>
            <w:pPr>
              <w:pStyle w:val="7"/>
              <w:spacing w:before="11" w:line="198" w:lineRule="auto"/>
              <w:ind w:left="19" w:right="54" w:firstLine="71"/>
            </w:pPr>
            <w:r>
              <w:rPr>
                <w:spacing w:val="5"/>
              </w:rPr>
              <w:t>Ⅰ类--公路工程1、未被江西省交通运输厅及其上级单位取消在江西省内的投标资格或禁止进入江西省公路建设市</w:t>
            </w:r>
            <w:r>
              <w:rPr>
                <w:spacing w:val="1"/>
              </w:rPr>
              <w:t xml:space="preserve"> 场且处于有效期内。  2、最近 3 年内工程施工中不存在重、特</w:t>
            </w:r>
            <w:r>
              <w:t>大工程质量事故或重、特大安全事故的情况。</w:t>
            </w:r>
            <w:r>
              <w:rPr>
                <w:spacing w:val="26"/>
              </w:rPr>
              <w:t xml:space="preserve">  </w:t>
            </w:r>
            <w:r>
              <w:t xml:space="preserve">3、 </w:t>
            </w:r>
            <w:r>
              <w:rPr>
                <w:spacing w:val="4"/>
              </w:rPr>
              <w:t xml:space="preserve">在江西省交通建设市场信用信息管理系统最新发布的信用评价结果中未被评为D级。 </w:t>
            </w:r>
          </w:p>
          <w:p>
            <w:pPr>
              <w:pStyle w:val="7"/>
              <w:spacing w:before="190" w:line="190" w:lineRule="auto"/>
              <w:ind w:left="24" w:right="163" w:firstLine="212"/>
            </w:pPr>
            <w:r>
              <w:rPr>
                <w:spacing w:val="6"/>
              </w:rPr>
              <w:t>注：投标人信誉应同时符合交通运输部《公路工程标准施工招标文件》（2018年版第一册）第二章“投标人须</w:t>
            </w:r>
            <w:r>
              <w:rPr>
                <w:spacing w:val="16"/>
              </w:rPr>
              <w:t xml:space="preserve"> </w:t>
            </w:r>
            <w:r>
              <w:rPr>
                <w:spacing w:val="1"/>
              </w:rPr>
              <w:t>知”第1.4.4项的规定。</w:t>
            </w:r>
          </w:p>
        </w:tc>
      </w:tr>
    </w:tbl>
    <w:p>
      <w:pPr>
        <w:spacing w:before="56" w:line="211" w:lineRule="auto"/>
        <w:ind w:left="7"/>
        <w:rPr>
          <w:rFonts w:ascii="黑体" w:hAnsi="黑体" w:eastAsia="黑体" w:cs="黑体"/>
          <w:sz w:val="15"/>
          <w:szCs w:val="15"/>
        </w:rPr>
      </w:pPr>
      <w:r>
        <w:rPr>
          <w:rFonts w:ascii="黑体" w:hAnsi="黑体" w:eastAsia="黑体" w:cs="黑体"/>
          <w:spacing w:val="2"/>
          <w:sz w:val="15"/>
          <w:szCs w:val="15"/>
        </w:rPr>
        <w:t>注：具体信誉要求由招标人在满足国家相关法</w:t>
      </w:r>
      <w:r>
        <w:rPr>
          <w:rFonts w:ascii="黑体" w:hAnsi="黑体" w:eastAsia="黑体" w:cs="黑体"/>
          <w:spacing w:val="1"/>
          <w:sz w:val="15"/>
          <w:szCs w:val="15"/>
        </w:rPr>
        <w:t>律法规前提下，根据招标项目具体特点和实际情况确定，但不得与“投标人须知”第1.4.4项规定的内容重复。</w:t>
      </w:r>
    </w:p>
    <w:p>
      <w:pPr>
        <w:spacing w:line="249" w:lineRule="auto"/>
        <w:rPr>
          <w:rFonts w:ascii="Arial"/>
          <w:sz w:val="21"/>
        </w:rPr>
      </w:pPr>
    </w:p>
    <w:p>
      <w:pPr>
        <w:spacing w:line="249" w:lineRule="auto"/>
        <w:rPr>
          <w:rFonts w:ascii="Arial"/>
          <w:sz w:val="21"/>
        </w:rPr>
      </w:pPr>
    </w:p>
    <w:p>
      <w:pPr>
        <w:spacing w:before="112" w:line="209" w:lineRule="auto"/>
        <w:ind w:left="32"/>
        <w:rPr>
          <w:rFonts w:ascii="黑体" w:hAnsi="黑体" w:eastAsia="黑体" w:cs="黑体"/>
          <w:spacing w:val="4"/>
          <w:sz w:val="34"/>
          <w:szCs w:val="34"/>
        </w:rPr>
      </w:pPr>
      <w:r>
        <w:rPr>
          <w:rFonts w:ascii="黑体" w:hAnsi="黑体" w:eastAsia="黑体" w:cs="黑体"/>
          <w:spacing w:val="4"/>
          <w:sz w:val="34"/>
          <w:szCs w:val="34"/>
        </w:rPr>
        <w:t>附表六 项目经理和项目总工资格要求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1830"/>
        <w:gridCol w:w="870"/>
        <w:gridCol w:w="4646"/>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1482" w:type="dxa"/>
            <w:vAlign w:val="top"/>
          </w:tcPr>
          <w:p>
            <w:pPr>
              <w:pStyle w:val="7"/>
              <w:widowControl w:val="0"/>
              <w:spacing w:before="18" w:line="180" w:lineRule="auto"/>
              <w:ind w:left="563" w:leftChars="0"/>
              <w:rPr>
                <w:rFonts w:ascii="宋体" w:hAnsi="宋体" w:eastAsia="宋体" w:cs="宋体"/>
                <w:snapToGrid w:val="0"/>
                <w:color w:val="000000"/>
                <w:spacing w:val="2"/>
                <w:kern w:val="0"/>
                <w:sz w:val="21"/>
                <w:szCs w:val="21"/>
                <w:lang w:val="en-US" w:eastAsia="en-US" w:bidi="ar-SA"/>
              </w:rPr>
            </w:pPr>
          </w:p>
          <w:p>
            <w:pPr>
              <w:pStyle w:val="7"/>
              <w:widowControl w:val="0"/>
              <w:spacing w:before="18" w:line="180" w:lineRule="auto"/>
              <w:ind w:left="563" w:leftChars="0"/>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人员</w:t>
            </w:r>
          </w:p>
        </w:tc>
        <w:tc>
          <w:tcPr>
            <w:tcW w:w="1830" w:type="dxa"/>
            <w:vAlign w:val="top"/>
          </w:tcPr>
          <w:p>
            <w:pPr>
              <w:pStyle w:val="7"/>
              <w:widowControl w:val="0"/>
              <w:spacing w:before="15" w:line="182" w:lineRule="auto"/>
              <w:ind w:left="554" w:leftChars="0"/>
              <w:rPr>
                <w:rFonts w:ascii="宋体" w:hAnsi="宋体" w:eastAsia="宋体" w:cs="宋体"/>
                <w:snapToGrid w:val="0"/>
                <w:color w:val="000000"/>
                <w:spacing w:val="2"/>
                <w:kern w:val="0"/>
                <w:sz w:val="21"/>
                <w:szCs w:val="21"/>
                <w:lang w:val="en-US" w:eastAsia="en-US" w:bidi="ar-SA"/>
              </w:rPr>
            </w:pPr>
          </w:p>
          <w:p>
            <w:pPr>
              <w:pStyle w:val="7"/>
              <w:widowControl w:val="0"/>
              <w:spacing w:before="15" w:line="182" w:lineRule="auto"/>
              <w:ind w:left="554" w:leftChars="0"/>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类别</w:t>
            </w:r>
          </w:p>
        </w:tc>
        <w:tc>
          <w:tcPr>
            <w:tcW w:w="870" w:type="dxa"/>
            <w:vAlign w:val="top"/>
          </w:tcPr>
          <w:p>
            <w:pPr>
              <w:pStyle w:val="7"/>
              <w:widowControl w:val="0"/>
              <w:spacing w:before="15" w:line="182" w:lineRule="auto"/>
              <w:ind w:left="564" w:leftChars="0"/>
              <w:rPr>
                <w:rFonts w:ascii="宋体" w:hAnsi="宋体" w:eastAsia="宋体" w:cs="宋体"/>
                <w:snapToGrid w:val="0"/>
                <w:color w:val="000000"/>
                <w:spacing w:val="2"/>
                <w:kern w:val="0"/>
                <w:sz w:val="21"/>
                <w:szCs w:val="21"/>
                <w:lang w:val="en-US" w:eastAsia="en-US" w:bidi="ar-SA"/>
              </w:rPr>
            </w:pPr>
          </w:p>
          <w:p>
            <w:pPr>
              <w:pStyle w:val="7"/>
              <w:widowControl w:val="0"/>
              <w:spacing w:before="15" w:line="182" w:lineRule="auto"/>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数量</w:t>
            </w:r>
          </w:p>
        </w:tc>
        <w:tc>
          <w:tcPr>
            <w:tcW w:w="4646" w:type="dxa"/>
            <w:vAlign w:val="top"/>
          </w:tcPr>
          <w:p>
            <w:pPr>
              <w:pStyle w:val="7"/>
              <w:widowControl w:val="0"/>
              <w:spacing w:before="14" w:line="183" w:lineRule="auto"/>
              <w:rPr>
                <w:rFonts w:ascii="宋体" w:hAnsi="宋体" w:eastAsia="宋体" w:cs="宋体"/>
                <w:snapToGrid w:val="0"/>
                <w:color w:val="000000"/>
                <w:spacing w:val="2"/>
                <w:kern w:val="0"/>
                <w:sz w:val="21"/>
                <w:szCs w:val="21"/>
                <w:lang w:val="en-US" w:eastAsia="en-US" w:bidi="ar-SA"/>
              </w:rPr>
            </w:pPr>
          </w:p>
          <w:p>
            <w:pPr>
              <w:pStyle w:val="7"/>
              <w:widowControl w:val="0"/>
              <w:spacing w:before="14" w:line="183" w:lineRule="auto"/>
              <w:ind w:firstLine="214" w:firstLineChars="100"/>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资格最低要求</w:t>
            </w:r>
          </w:p>
        </w:tc>
        <w:tc>
          <w:tcPr>
            <w:tcW w:w="2207" w:type="dxa"/>
            <w:vAlign w:val="top"/>
          </w:tcPr>
          <w:p>
            <w:pPr>
              <w:pStyle w:val="7"/>
              <w:widowControl w:val="0"/>
              <w:spacing w:before="15" w:line="182" w:lineRule="auto"/>
              <w:ind w:left="1123" w:leftChars="0"/>
              <w:rPr>
                <w:rFonts w:ascii="宋体" w:hAnsi="宋体" w:eastAsia="宋体" w:cs="宋体"/>
                <w:snapToGrid w:val="0"/>
                <w:color w:val="000000"/>
                <w:spacing w:val="2"/>
                <w:kern w:val="0"/>
                <w:sz w:val="21"/>
                <w:szCs w:val="21"/>
                <w:lang w:val="en-US" w:eastAsia="en-US" w:bidi="ar-SA"/>
              </w:rPr>
            </w:pPr>
          </w:p>
          <w:p>
            <w:pPr>
              <w:pStyle w:val="7"/>
              <w:widowControl w:val="0"/>
              <w:spacing w:before="15" w:line="182" w:lineRule="auto"/>
              <w:ind w:firstLine="428" w:firstLineChars="200"/>
              <w:rPr>
                <w:rFonts w:ascii="宋体" w:hAnsi="宋体" w:eastAsia="宋体" w:cs="宋体"/>
                <w:snapToGrid w:val="0"/>
                <w:color w:val="000000"/>
                <w:spacing w:val="2"/>
                <w:kern w:val="0"/>
                <w:sz w:val="21"/>
                <w:szCs w:val="21"/>
                <w:lang w:val="en-US" w:eastAsia="en-US" w:bidi="ar-SA"/>
              </w:rPr>
            </w:pPr>
            <w:r>
              <w:rPr>
                <w:rFonts w:ascii="宋体" w:hAnsi="宋体" w:eastAsia="宋体" w:cs="宋体"/>
                <w:snapToGrid w:val="0"/>
                <w:color w:val="000000"/>
                <w:spacing w:val="2"/>
                <w:kern w:val="0"/>
                <w:sz w:val="21"/>
                <w:szCs w:val="21"/>
                <w:lang w:val="en-US" w:eastAsia="en-US" w:bidi="ar-SA"/>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482" w:type="dxa"/>
            <w:vAlign w:val="center"/>
          </w:tcPr>
          <w:p>
            <w:pPr>
              <w:pStyle w:val="7"/>
              <w:widowControl w:val="0"/>
              <w:spacing w:before="18" w:line="180" w:lineRule="auto"/>
              <w:ind w:left="563" w:leftChars="0"/>
              <w:jc w:val="left"/>
              <w:rPr>
                <w:spacing w:val="3"/>
              </w:rPr>
            </w:pPr>
          </w:p>
          <w:p>
            <w:pPr>
              <w:pStyle w:val="7"/>
              <w:widowControl w:val="0"/>
              <w:spacing w:before="18" w:line="180" w:lineRule="auto"/>
              <w:jc w:val="left"/>
              <w:rPr>
                <w:spacing w:val="1"/>
              </w:rPr>
            </w:pPr>
            <w:r>
              <w:rPr>
                <w:spacing w:val="3"/>
              </w:rPr>
              <w:t>项目经理</w:t>
            </w:r>
          </w:p>
        </w:tc>
        <w:tc>
          <w:tcPr>
            <w:tcW w:w="1830" w:type="dxa"/>
            <w:vAlign w:val="center"/>
          </w:tcPr>
          <w:p>
            <w:pPr>
              <w:pStyle w:val="7"/>
              <w:widowControl w:val="0"/>
              <w:spacing w:before="19" w:line="212" w:lineRule="auto"/>
              <w:ind w:left="20"/>
              <w:jc w:val="left"/>
              <w:rPr>
                <w:spacing w:val="2"/>
              </w:rPr>
            </w:pPr>
            <w:r>
              <w:rPr>
                <w:spacing w:val="-4"/>
              </w:rPr>
              <w:t>Ⅰ类--公路工程</w:t>
            </w:r>
          </w:p>
        </w:tc>
        <w:tc>
          <w:tcPr>
            <w:tcW w:w="870" w:type="dxa"/>
            <w:vAlign w:val="center"/>
          </w:tcPr>
          <w:p>
            <w:pPr>
              <w:pStyle w:val="7"/>
              <w:widowControl w:val="0"/>
              <w:spacing w:before="15" w:line="182" w:lineRule="auto"/>
              <w:jc w:val="left"/>
              <w:rPr>
                <w:rFonts w:hint="eastAsia" w:eastAsia="宋体"/>
                <w:spacing w:val="1"/>
                <w:lang w:val="en-US" w:eastAsia="zh-CN"/>
              </w:rPr>
            </w:pPr>
            <w:r>
              <w:rPr>
                <w:rFonts w:hint="eastAsia"/>
                <w:spacing w:val="1"/>
                <w:lang w:val="en-US" w:eastAsia="zh-CN"/>
              </w:rPr>
              <w:t>1</w:t>
            </w:r>
          </w:p>
        </w:tc>
        <w:tc>
          <w:tcPr>
            <w:tcW w:w="4646" w:type="dxa"/>
            <w:vAlign w:val="center"/>
          </w:tcPr>
          <w:p>
            <w:pPr>
              <w:pStyle w:val="7"/>
              <w:widowControl w:val="0"/>
              <w:spacing w:before="19" w:line="212" w:lineRule="auto"/>
              <w:ind w:left="20"/>
              <w:jc w:val="left"/>
              <w:rPr>
                <w:spacing w:val="3"/>
              </w:rPr>
            </w:pPr>
            <w:r>
              <w:rPr>
                <w:spacing w:val="-4"/>
              </w:rPr>
              <w:t>具有公路工程二级及以上注册建造师证书(不含临时)和安全生产考核合格证书(交安B证)；并提  供本工程开标当月前连续 6 个月及以上且尚未到期的劳动合同、本人身份证、社会基本养老保险(并已正常缴费)的证明材料(因工作单位变更不足六个月的，以证书变更时间为准）。</w:t>
            </w:r>
          </w:p>
        </w:tc>
        <w:tc>
          <w:tcPr>
            <w:tcW w:w="2207" w:type="dxa"/>
            <w:vMerge w:val="restart"/>
            <w:vAlign w:val="center"/>
          </w:tcPr>
          <w:p>
            <w:pPr>
              <w:pStyle w:val="7"/>
              <w:widowControl w:val="0"/>
              <w:spacing w:before="15" w:line="182" w:lineRule="auto"/>
              <w:jc w:val="center"/>
              <w:rPr>
                <w:spacing w:val="-4"/>
              </w:rPr>
            </w:pPr>
            <w:r>
              <w:rPr>
                <w:spacing w:val="-4"/>
              </w:rPr>
              <w:t>无在岗项目（指目前</w:t>
            </w:r>
          </w:p>
          <w:p>
            <w:pPr>
              <w:pStyle w:val="7"/>
              <w:widowControl w:val="0"/>
              <w:spacing w:before="15" w:line="182" w:lineRule="auto"/>
              <w:jc w:val="center"/>
              <w:rPr>
                <w:spacing w:val="-4"/>
              </w:rPr>
            </w:pPr>
          </w:p>
          <w:p>
            <w:pPr>
              <w:pStyle w:val="7"/>
              <w:widowControl w:val="0"/>
              <w:spacing w:before="15" w:line="182" w:lineRule="auto"/>
              <w:jc w:val="center"/>
              <w:rPr>
                <w:spacing w:val="-4"/>
              </w:rPr>
            </w:pPr>
            <w:r>
              <w:rPr>
                <w:spacing w:val="-4"/>
              </w:rPr>
              <w:t>未在其他项目上任职</w:t>
            </w:r>
          </w:p>
          <w:p>
            <w:pPr>
              <w:pStyle w:val="7"/>
              <w:widowControl w:val="0"/>
              <w:spacing w:before="15" w:line="182" w:lineRule="auto"/>
              <w:jc w:val="center"/>
              <w:rPr>
                <w:spacing w:val="-4"/>
              </w:rPr>
            </w:pPr>
          </w:p>
          <w:p>
            <w:pPr>
              <w:pStyle w:val="7"/>
              <w:widowControl w:val="0"/>
              <w:spacing w:before="15" w:line="182" w:lineRule="auto"/>
              <w:jc w:val="center"/>
              <w:rPr>
                <w:spacing w:val="-4"/>
              </w:rPr>
            </w:pPr>
            <w:r>
              <w:rPr>
                <w:spacing w:val="-4"/>
              </w:rPr>
              <w:t>，或虽在其他项目上</w:t>
            </w:r>
          </w:p>
          <w:p>
            <w:pPr>
              <w:pStyle w:val="7"/>
              <w:widowControl w:val="0"/>
              <w:spacing w:before="15" w:line="182" w:lineRule="auto"/>
              <w:jc w:val="center"/>
              <w:rPr>
                <w:spacing w:val="-4"/>
              </w:rPr>
            </w:pPr>
          </w:p>
          <w:p>
            <w:pPr>
              <w:pStyle w:val="7"/>
              <w:widowControl w:val="0"/>
              <w:spacing w:before="15" w:line="182" w:lineRule="auto"/>
              <w:jc w:val="center"/>
              <w:rPr>
                <w:spacing w:val="-4"/>
              </w:rPr>
            </w:pPr>
            <w:r>
              <w:rPr>
                <w:spacing w:val="-4"/>
              </w:rPr>
              <w:t>任职但本项目中标后</w:t>
            </w:r>
          </w:p>
          <w:p>
            <w:pPr>
              <w:pStyle w:val="7"/>
              <w:widowControl w:val="0"/>
              <w:spacing w:before="15" w:line="182" w:lineRule="auto"/>
              <w:jc w:val="center"/>
              <w:rPr>
                <w:spacing w:val="-4"/>
              </w:rPr>
            </w:pPr>
          </w:p>
          <w:p>
            <w:pPr>
              <w:pStyle w:val="7"/>
              <w:widowControl w:val="0"/>
              <w:spacing w:before="15" w:line="182" w:lineRule="auto"/>
              <w:jc w:val="center"/>
              <w:rPr>
                <w:spacing w:val="4"/>
              </w:rPr>
            </w:pPr>
            <w:r>
              <w:rPr>
                <w:spacing w:val="-4"/>
              </w:rPr>
              <w:t>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1482" w:type="dxa"/>
            <w:vAlign w:val="center"/>
          </w:tcPr>
          <w:p>
            <w:pPr>
              <w:pStyle w:val="7"/>
              <w:widowControl w:val="0"/>
              <w:spacing w:before="18" w:line="180" w:lineRule="auto"/>
              <w:jc w:val="left"/>
              <w:rPr>
                <w:spacing w:val="3"/>
              </w:rPr>
            </w:pPr>
            <w:r>
              <w:rPr>
                <w:spacing w:val="3"/>
              </w:rPr>
              <w:t>项目总工</w:t>
            </w:r>
          </w:p>
        </w:tc>
        <w:tc>
          <w:tcPr>
            <w:tcW w:w="1830" w:type="dxa"/>
            <w:vAlign w:val="center"/>
          </w:tcPr>
          <w:p>
            <w:pPr>
              <w:pStyle w:val="7"/>
              <w:widowControl w:val="0"/>
              <w:spacing w:before="19" w:line="212" w:lineRule="auto"/>
              <w:ind w:left="20"/>
              <w:jc w:val="left"/>
              <w:rPr>
                <w:spacing w:val="-4"/>
              </w:rPr>
            </w:pPr>
            <w:r>
              <w:rPr>
                <w:spacing w:val="-4"/>
              </w:rPr>
              <w:t>Ⅰ类--公路工程</w:t>
            </w:r>
          </w:p>
        </w:tc>
        <w:tc>
          <w:tcPr>
            <w:tcW w:w="870" w:type="dxa"/>
            <w:vAlign w:val="center"/>
          </w:tcPr>
          <w:p>
            <w:pPr>
              <w:pStyle w:val="7"/>
              <w:widowControl w:val="0"/>
              <w:spacing w:before="15" w:line="182" w:lineRule="auto"/>
              <w:jc w:val="left"/>
              <w:rPr>
                <w:rFonts w:hint="default"/>
                <w:spacing w:val="1"/>
                <w:lang w:val="en-US" w:eastAsia="zh-CN"/>
              </w:rPr>
            </w:pPr>
            <w:r>
              <w:rPr>
                <w:rFonts w:hint="eastAsia"/>
                <w:spacing w:val="1"/>
                <w:lang w:val="en-US" w:eastAsia="zh-CN"/>
              </w:rPr>
              <w:t>1</w:t>
            </w:r>
          </w:p>
        </w:tc>
        <w:tc>
          <w:tcPr>
            <w:tcW w:w="4646" w:type="dxa"/>
            <w:vAlign w:val="center"/>
          </w:tcPr>
          <w:p>
            <w:pPr>
              <w:pStyle w:val="7"/>
              <w:widowControl w:val="0"/>
              <w:spacing w:before="19" w:line="212" w:lineRule="auto"/>
              <w:ind w:left="20"/>
              <w:jc w:val="left"/>
              <w:rPr>
                <w:spacing w:val="4"/>
              </w:rPr>
            </w:pPr>
            <w:r>
              <w:rPr>
                <w:spacing w:val="-4"/>
              </w:rPr>
              <w:t>具有公路工程相关专业中级及以上职称证书；并提供本工程开标当月前连续 6 个月及以上且尚  未到期的劳动合同、本人身份证、社会基本养老保险(并已正常缴费)的证明材料(因工作单位变更不足六个月的，以证书变更时间为准）。</w:t>
            </w:r>
          </w:p>
        </w:tc>
        <w:tc>
          <w:tcPr>
            <w:tcW w:w="2207" w:type="dxa"/>
            <w:vMerge w:val="continue"/>
            <w:vAlign w:val="center"/>
          </w:tcPr>
          <w:p>
            <w:pPr>
              <w:pStyle w:val="7"/>
              <w:widowControl w:val="0"/>
              <w:spacing w:before="15" w:line="182" w:lineRule="auto"/>
              <w:ind w:left="1123" w:leftChars="0"/>
              <w:jc w:val="center"/>
              <w:rPr>
                <w:spacing w:val="4"/>
              </w:rPr>
            </w:pPr>
          </w:p>
        </w:tc>
      </w:tr>
    </w:tbl>
    <w:p>
      <w:pPr>
        <w:spacing w:before="56" w:line="212" w:lineRule="auto"/>
        <w:ind w:right="43"/>
        <w:rPr>
          <w:rFonts w:ascii="黑体" w:hAnsi="黑体" w:eastAsia="黑体" w:cs="黑体"/>
          <w:sz w:val="15"/>
          <w:szCs w:val="15"/>
        </w:rPr>
      </w:pPr>
      <w:r>
        <w:rPr>
          <w:rFonts w:ascii="黑体" w:hAnsi="黑体" w:eastAsia="黑体" w:cs="黑体"/>
          <w:spacing w:val="2"/>
          <w:sz w:val="15"/>
          <w:szCs w:val="15"/>
        </w:rPr>
        <w:t>注：对项目经理和项目总工的具体资格要求由招标人在满足国家相关法律法规的前提下，根据招标项目</w:t>
      </w:r>
      <w:r>
        <w:rPr>
          <w:rFonts w:ascii="黑体" w:hAnsi="黑体" w:eastAsia="黑体" w:cs="黑体"/>
          <w:spacing w:val="1"/>
          <w:sz w:val="15"/>
          <w:szCs w:val="15"/>
        </w:rPr>
        <w:t>具体特点和实际情况确定，横线上方有内容要求的，具体数</w:t>
      </w:r>
      <w:r>
        <w:rPr>
          <w:rFonts w:ascii="黑体" w:hAnsi="黑体" w:eastAsia="黑体" w:cs="黑体"/>
          <w:sz w:val="15"/>
          <w:szCs w:val="15"/>
        </w:rPr>
        <w:t xml:space="preserve"> 据应从交易系统中选择，但不得设置过高的资格条件。</w:t>
      </w:r>
    </w:p>
    <w:p>
      <w:pPr>
        <w:spacing w:before="56" w:line="212" w:lineRule="auto"/>
        <w:ind w:right="43"/>
        <w:rPr>
          <w:rFonts w:ascii="黑体" w:hAnsi="黑体" w:eastAsia="黑体" w:cs="黑体"/>
          <w:sz w:val="15"/>
          <w:szCs w:val="15"/>
        </w:rPr>
      </w:pPr>
    </w:p>
    <w:p>
      <w:pPr>
        <w:spacing w:before="111" w:line="212" w:lineRule="auto"/>
        <w:ind w:left="32"/>
        <w:rPr>
          <w:rFonts w:ascii="黑体" w:hAnsi="黑体" w:eastAsia="黑体" w:cs="黑体"/>
          <w:spacing w:val="4"/>
          <w:sz w:val="34"/>
          <w:szCs w:val="34"/>
        </w:rPr>
      </w:pPr>
    </w:p>
    <w:p>
      <w:pPr>
        <w:spacing w:before="111" w:line="212" w:lineRule="auto"/>
        <w:ind w:left="32"/>
        <w:rPr>
          <w:rFonts w:ascii="黑体" w:hAnsi="黑体" w:eastAsia="黑体" w:cs="黑体"/>
          <w:sz w:val="34"/>
          <w:szCs w:val="34"/>
        </w:rPr>
      </w:pPr>
      <w:r>
        <w:rPr>
          <w:rFonts w:ascii="黑体" w:hAnsi="黑体" w:eastAsia="黑体" w:cs="黑体"/>
          <w:spacing w:val="4"/>
          <w:sz w:val="34"/>
          <w:szCs w:val="34"/>
        </w:rPr>
        <w:t>附表七 其他管理和技术人员资格要求</w:t>
      </w:r>
    </w:p>
    <w:p>
      <w:pPr>
        <w:spacing w:line="30" w:lineRule="exact"/>
      </w:pPr>
    </w:p>
    <w:tbl>
      <w:tblPr>
        <w:tblStyle w:val="6"/>
        <w:tblW w:w="10808" w:type="dxa"/>
        <w:tblInd w:w="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2167"/>
        <w:gridCol w:w="2151"/>
        <w:gridCol w:w="2151"/>
        <w:gridCol w:w="4339"/>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32" w:hRule="atLeast"/>
        </w:trPr>
        <w:tc>
          <w:tcPr>
            <w:tcW w:w="2167" w:type="dxa"/>
            <w:tcBorders>
              <w:top w:val="single" w:color="808080" w:sz="4" w:space="0"/>
              <w:left w:val="single" w:color="808080" w:sz="4" w:space="0"/>
              <w:bottom w:val="single" w:color="808080" w:sz="4" w:space="0"/>
              <w:right w:val="single" w:color="808080" w:sz="4" w:space="0"/>
            </w:tcBorders>
            <w:vAlign w:val="top"/>
          </w:tcPr>
          <w:p>
            <w:pPr>
              <w:pStyle w:val="7"/>
              <w:spacing w:before="16" w:line="181" w:lineRule="auto"/>
              <w:ind w:left="876"/>
            </w:pPr>
            <w:r>
              <w:rPr>
                <w:spacing w:val="2"/>
              </w:rPr>
              <w:t>类别</w:t>
            </w:r>
          </w:p>
        </w:tc>
        <w:tc>
          <w:tcPr>
            <w:tcW w:w="2151" w:type="dxa"/>
            <w:vAlign w:val="top"/>
          </w:tcPr>
          <w:p>
            <w:pPr>
              <w:pStyle w:val="7"/>
              <w:spacing w:before="18" w:line="179" w:lineRule="auto"/>
              <w:ind w:left="868"/>
            </w:pPr>
            <w:r>
              <w:rPr>
                <w:spacing w:val="1"/>
              </w:rPr>
              <w:t>人员</w:t>
            </w:r>
          </w:p>
        </w:tc>
        <w:tc>
          <w:tcPr>
            <w:tcW w:w="2151" w:type="dxa"/>
            <w:vAlign w:val="top"/>
          </w:tcPr>
          <w:p>
            <w:pPr>
              <w:pStyle w:val="7"/>
              <w:spacing w:before="16" w:line="181" w:lineRule="auto"/>
              <w:ind w:left="874"/>
            </w:pPr>
            <w:r>
              <w:rPr>
                <w:spacing w:val="1"/>
              </w:rPr>
              <w:t>数量</w:t>
            </w:r>
          </w:p>
        </w:tc>
        <w:tc>
          <w:tcPr>
            <w:tcW w:w="4339" w:type="dxa"/>
            <w:vAlign w:val="top"/>
          </w:tcPr>
          <w:p>
            <w:pPr>
              <w:pStyle w:val="7"/>
              <w:spacing w:before="14" w:line="182" w:lineRule="auto"/>
              <w:ind w:left="1538"/>
            </w:pPr>
            <w:r>
              <w:rPr>
                <w:spacing w:val="3"/>
              </w:rPr>
              <w:t>资格最低要求</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1320" w:hRule="atLeast"/>
        </w:trPr>
        <w:tc>
          <w:tcPr>
            <w:tcW w:w="2167" w:type="dxa"/>
            <w:vAlign w:val="top"/>
          </w:tcPr>
          <w:p>
            <w:pPr>
              <w:spacing w:line="241" w:lineRule="auto"/>
              <w:rPr>
                <w:rFonts w:ascii="Arial"/>
                <w:sz w:val="21"/>
              </w:rPr>
            </w:pPr>
          </w:p>
          <w:p>
            <w:pPr>
              <w:spacing w:line="242" w:lineRule="auto"/>
              <w:rPr>
                <w:rFonts w:ascii="Arial"/>
                <w:sz w:val="21"/>
              </w:rPr>
            </w:pPr>
          </w:p>
          <w:p>
            <w:pPr>
              <w:pStyle w:val="7"/>
              <w:spacing w:before="68" w:line="212" w:lineRule="auto"/>
              <w:ind w:left="90"/>
            </w:pPr>
            <w:r>
              <w:rPr>
                <w:spacing w:val="-4"/>
              </w:rPr>
              <w:t>Ⅰ类--公路工程</w:t>
            </w:r>
          </w:p>
        </w:tc>
        <w:tc>
          <w:tcPr>
            <w:tcW w:w="2151" w:type="dxa"/>
            <w:vAlign w:val="top"/>
          </w:tcPr>
          <w:p>
            <w:pPr>
              <w:spacing w:line="241" w:lineRule="auto"/>
              <w:rPr>
                <w:rFonts w:ascii="Arial"/>
                <w:sz w:val="21"/>
              </w:rPr>
            </w:pPr>
          </w:p>
          <w:p>
            <w:pPr>
              <w:spacing w:line="241" w:lineRule="auto"/>
              <w:rPr>
                <w:rFonts w:ascii="Arial"/>
                <w:sz w:val="21"/>
              </w:rPr>
            </w:pPr>
          </w:p>
          <w:p>
            <w:pPr>
              <w:pStyle w:val="7"/>
              <w:spacing w:before="68" w:line="213" w:lineRule="auto"/>
              <w:ind w:left="14"/>
            </w:pPr>
            <w:r>
              <w:rPr>
                <w:spacing w:val="2"/>
              </w:rPr>
              <w:t>安全员</w:t>
            </w:r>
          </w:p>
        </w:tc>
        <w:tc>
          <w:tcPr>
            <w:tcW w:w="2151" w:type="dxa"/>
            <w:vAlign w:val="top"/>
          </w:tcPr>
          <w:p>
            <w:pPr>
              <w:spacing w:line="255" w:lineRule="auto"/>
              <w:rPr>
                <w:rFonts w:ascii="Arial"/>
                <w:sz w:val="21"/>
              </w:rPr>
            </w:pPr>
          </w:p>
          <w:p>
            <w:pPr>
              <w:spacing w:line="255" w:lineRule="auto"/>
              <w:rPr>
                <w:rFonts w:ascii="Arial"/>
                <w:sz w:val="21"/>
              </w:rPr>
            </w:pPr>
          </w:p>
          <w:p>
            <w:pPr>
              <w:pStyle w:val="7"/>
              <w:spacing w:before="68" w:line="188" w:lineRule="auto"/>
              <w:ind w:left="32"/>
            </w:pPr>
            <w:r>
              <w:t>1</w:t>
            </w:r>
          </w:p>
        </w:tc>
        <w:tc>
          <w:tcPr>
            <w:tcW w:w="4339" w:type="dxa"/>
            <w:vAlign w:val="top"/>
          </w:tcPr>
          <w:p>
            <w:pPr>
              <w:pStyle w:val="7"/>
              <w:spacing w:before="13" w:line="190" w:lineRule="auto"/>
              <w:ind w:left="23" w:right="87" w:firstLine="1"/>
            </w:pPr>
            <w:r>
              <w:rPr>
                <w:spacing w:val="5"/>
              </w:rPr>
              <w:t>持有安全生产考核合格证书(交安 C证)，并</w:t>
            </w:r>
            <w:r>
              <w:rPr>
                <w:spacing w:val="6"/>
              </w:rPr>
              <w:t xml:space="preserve">  </w:t>
            </w:r>
            <w:r>
              <w:rPr>
                <w:spacing w:val="5"/>
              </w:rPr>
              <w:t>提供本工程开标当月前连续 6 个月及以上且</w:t>
            </w:r>
            <w:r>
              <w:rPr>
                <w:spacing w:val="17"/>
              </w:rPr>
              <w:t xml:space="preserve"> </w:t>
            </w:r>
            <w:r>
              <w:rPr>
                <w:spacing w:val="6"/>
              </w:rPr>
              <w:t>尚未到期的劳动合同、本人身份证、社会基</w:t>
            </w:r>
            <w:r>
              <w:rPr>
                <w:spacing w:val="2"/>
              </w:rPr>
              <w:t xml:space="preserve">  </w:t>
            </w:r>
            <w:r>
              <w:rPr>
                <w:spacing w:val="5"/>
              </w:rPr>
              <w:t>本养老保险(并已正常缴费)的证明材料(因工</w:t>
            </w:r>
            <w:r>
              <w:rPr>
                <w:spacing w:val="17"/>
              </w:rPr>
              <w:t xml:space="preserve"> </w:t>
            </w:r>
            <w:r>
              <w:rPr>
                <w:spacing w:val="6"/>
              </w:rPr>
              <w:t>作单位变更不足六个月的，以证书变更时间</w:t>
            </w:r>
            <w:r>
              <w:rPr>
                <w:spacing w:val="2"/>
              </w:rPr>
              <w:t xml:space="preserve">  </w:t>
            </w:r>
            <w:r>
              <w:rPr>
                <w:spacing w:val="-4"/>
              </w:rPr>
              <w:t>为准）。</w:t>
            </w:r>
          </w:p>
        </w:tc>
      </w:tr>
    </w:tbl>
    <w:p>
      <w:pPr>
        <w:spacing w:before="56" w:line="212" w:lineRule="auto"/>
        <w:ind w:left="7" w:right="43"/>
        <w:rPr>
          <w:rFonts w:ascii="黑体" w:hAnsi="黑体" w:eastAsia="黑体" w:cs="黑体"/>
          <w:sz w:val="15"/>
          <w:szCs w:val="15"/>
        </w:rPr>
      </w:pPr>
      <w:r>
        <w:rPr>
          <w:rFonts w:ascii="黑体" w:hAnsi="黑体" w:eastAsia="黑体" w:cs="黑体"/>
          <w:spacing w:val="2"/>
          <w:sz w:val="15"/>
          <w:szCs w:val="15"/>
        </w:rPr>
        <w:t>注：本表仅适用于特别复杂的特大桥梁和特长隧道项目主体工程以及其他有特殊要求的工程。对其他管</w:t>
      </w:r>
      <w:r>
        <w:rPr>
          <w:rFonts w:ascii="黑体" w:hAnsi="黑体" w:eastAsia="黑体" w:cs="黑体"/>
          <w:spacing w:val="1"/>
          <w:sz w:val="15"/>
          <w:szCs w:val="15"/>
        </w:rPr>
        <w:t>理和技术人员（例如项目副经理、专业工程师等）的资格要</w:t>
      </w:r>
      <w:r>
        <w:rPr>
          <w:rFonts w:ascii="黑体" w:hAnsi="黑体" w:eastAsia="黑体" w:cs="黑体"/>
          <w:sz w:val="15"/>
          <w:szCs w:val="15"/>
        </w:rPr>
        <w:t xml:space="preserve"> </w:t>
      </w:r>
      <w:r>
        <w:rPr>
          <w:rFonts w:ascii="黑体" w:hAnsi="黑体" w:eastAsia="黑体" w:cs="黑体"/>
          <w:spacing w:val="1"/>
          <w:sz w:val="15"/>
          <w:szCs w:val="15"/>
        </w:rPr>
        <w:t>求，由招标人在满足国家相关法律法规前提下，根据招标项目具体特点和实际情况确定，但不得设置过高的资格条件。</w:t>
      </w:r>
    </w:p>
    <w:p>
      <w:pPr>
        <w:spacing w:line="247" w:lineRule="auto"/>
        <w:rPr>
          <w:rFonts w:ascii="Arial"/>
          <w:sz w:val="21"/>
        </w:rPr>
      </w:pPr>
    </w:p>
    <w:p>
      <w:pPr>
        <w:spacing w:line="247" w:lineRule="auto"/>
        <w:rPr>
          <w:rFonts w:ascii="Arial"/>
          <w:sz w:val="21"/>
        </w:rPr>
      </w:pPr>
    </w:p>
    <w:p>
      <w:pPr>
        <w:spacing w:before="111" w:line="212" w:lineRule="auto"/>
        <w:ind w:left="32"/>
        <w:rPr>
          <w:rFonts w:ascii="黑体" w:hAnsi="黑体" w:eastAsia="黑体" w:cs="黑体"/>
          <w:sz w:val="34"/>
          <w:szCs w:val="34"/>
        </w:rPr>
      </w:pPr>
      <w:r>
        <w:rPr>
          <w:rFonts w:ascii="黑体" w:hAnsi="黑体" w:eastAsia="黑体" w:cs="黑体"/>
          <w:spacing w:val="4"/>
          <w:sz w:val="34"/>
          <w:szCs w:val="34"/>
        </w:rPr>
        <w:t>附表八 主要机械设备和试验检测设备要求</w:t>
      </w:r>
    </w:p>
    <w:p>
      <w:pPr>
        <w:spacing w:line="31" w:lineRule="exact"/>
      </w:pPr>
    </w:p>
    <w:tbl>
      <w:tblPr>
        <w:tblStyle w:val="6"/>
        <w:tblW w:w="10808" w:type="dxa"/>
        <w:tblInd w:w="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1550"/>
        <w:gridCol w:w="1533"/>
        <w:gridCol w:w="1533"/>
        <w:gridCol w:w="3088"/>
        <w:gridCol w:w="3104"/>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456" w:hRule="atLeast"/>
        </w:trPr>
        <w:tc>
          <w:tcPr>
            <w:tcW w:w="1550" w:type="dxa"/>
            <w:tcBorders>
              <w:top w:val="single" w:color="808080" w:sz="4" w:space="0"/>
              <w:left w:val="single" w:color="808080" w:sz="4" w:space="0"/>
            </w:tcBorders>
            <w:vAlign w:val="top"/>
          </w:tcPr>
          <w:p>
            <w:pPr>
              <w:pStyle w:val="7"/>
              <w:spacing w:before="124" w:line="212" w:lineRule="auto"/>
              <w:ind w:left="562"/>
            </w:pPr>
            <w:r>
              <w:rPr>
                <w:spacing w:val="2"/>
              </w:rPr>
              <w:t>类别</w:t>
            </w:r>
          </w:p>
        </w:tc>
        <w:tc>
          <w:tcPr>
            <w:tcW w:w="1533" w:type="dxa"/>
            <w:vAlign w:val="top"/>
          </w:tcPr>
          <w:p>
            <w:pPr>
              <w:pStyle w:val="7"/>
              <w:spacing w:before="123" w:line="213" w:lineRule="auto"/>
              <w:ind w:left="338"/>
            </w:pPr>
            <w:r>
              <w:rPr>
                <w:spacing w:val="3"/>
              </w:rPr>
              <w:t>设备名称</w:t>
            </w:r>
          </w:p>
        </w:tc>
        <w:tc>
          <w:tcPr>
            <w:tcW w:w="1533" w:type="dxa"/>
            <w:vAlign w:val="top"/>
          </w:tcPr>
          <w:p>
            <w:pPr>
              <w:pStyle w:val="7"/>
              <w:spacing w:before="13" w:line="190" w:lineRule="auto"/>
              <w:ind w:left="664" w:hanging="648"/>
            </w:pPr>
            <w:r>
              <w:rPr>
                <w:spacing w:val="5"/>
              </w:rPr>
              <w:t>规格、功率及容</w:t>
            </w:r>
            <w:r>
              <w:t xml:space="preserve"> 量</w:t>
            </w:r>
          </w:p>
        </w:tc>
        <w:tc>
          <w:tcPr>
            <w:tcW w:w="3088" w:type="dxa"/>
            <w:vAlign w:val="top"/>
          </w:tcPr>
          <w:p>
            <w:pPr>
              <w:pStyle w:val="7"/>
              <w:spacing w:before="123" w:line="213" w:lineRule="auto"/>
              <w:ind w:left="1346"/>
            </w:pPr>
            <w:r>
              <w:rPr>
                <w:spacing w:val="1"/>
              </w:rPr>
              <w:t>单位</w:t>
            </w:r>
          </w:p>
        </w:tc>
        <w:tc>
          <w:tcPr>
            <w:tcW w:w="3104" w:type="dxa"/>
            <w:vAlign w:val="top"/>
          </w:tcPr>
          <w:p>
            <w:pPr>
              <w:pStyle w:val="7"/>
              <w:spacing w:before="123" w:line="213" w:lineRule="auto"/>
              <w:ind w:left="914"/>
            </w:pPr>
            <w:r>
              <w:rPr>
                <w:spacing w:val="4"/>
              </w:rPr>
              <w:t>最低数量要求</w:t>
            </w:r>
          </w:p>
        </w:tc>
      </w:tr>
    </w:tbl>
    <w:p>
      <w:pPr>
        <w:spacing w:before="57" w:line="212" w:lineRule="auto"/>
        <w:ind w:left="5" w:right="43" w:firstLine="1"/>
        <w:rPr>
          <w:rFonts w:ascii="黑体" w:hAnsi="黑体" w:eastAsia="黑体" w:cs="黑体"/>
          <w:sz w:val="15"/>
          <w:szCs w:val="15"/>
        </w:rPr>
      </w:pPr>
      <w:r>
        <w:rPr>
          <w:rFonts w:ascii="黑体" w:hAnsi="黑体" w:eastAsia="黑体" w:cs="黑体"/>
          <w:spacing w:val="2"/>
          <w:sz w:val="15"/>
          <w:szCs w:val="15"/>
        </w:rPr>
        <w:t>注：本表仅适用于特别复杂的特大桥梁和特长隧道项目主体工程以及其他有特殊要求的工程。对主要机</w:t>
      </w:r>
      <w:r>
        <w:rPr>
          <w:rFonts w:ascii="黑体" w:hAnsi="黑体" w:eastAsia="黑体" w:cs="黑体"/>
          <w:spacing w:val="1"/>
          <w:sz w:val="15"/>
          <w:szCs w:val="15"/>
        </w:rPr>
        <w:t>械设备和试验检测设备的要求，由招标人在满足国家相关法</w:t>
      </w:r>
      <w:r>
        <w:rPr>
          <w:rFonts w:ascii="黑体" w:hAnsi="黑体" w:eastAsia="黑体" w:cs="黑体"/>
          <w:sz w:val="15"/>
          <w:szCs w:val="15"/>
        </w:rPr>
        <w:t xml:space="preserve"> 律法规前提下，根据招标项目具体特点和实际情况确定。</w:t>
      </w:r>
    </w:p>
    <w:p>
      <w:pPr>
        <w:spacing w:line="249" w:lineRule="auto"/>
        <w:rPr>
          <w:rFonts w:ascii="Arial"/>
          <w:sz w:val="21"/>
        </w:rPr>
      </w:pPr>
    </w:p>
    <w:p>
      <w:pPr>
        <w:spacing w:line="249" w:lineRule="auto"/>
        <w:rPr>
          <w:rFonts w:ascii="Arial"/>
          <w:sz w:val="21"/>
        </w:rPr>
      </w:pPr>
    </w:p>
    <w:p>
      <w:pPr>
        <w:spacing w:before="111" w:line="210" w:lineRule="auto"/>
        <w:ind w:left="32"/>
        <w:rPr>
          <w:rFonts w:ascii="黑体" w:hAnsi="黑体" w:eastAsia="黑体" w:cs="黑体"/>
          <w:sz w:val="34"/>
          <w:szCs w:val="34"/>
        </w:rPr>
      </w:pPr>
      <w:r>
        <w:rPr>
          <w:rFonts w:ascii="黑体" w:hAnsi="黑体" w:eastAsia="黑体" w:cs="黑体"/>
          <w:spacing w:val="2"/>
          <w:sz w:val="34"/>
          <w:szCs w:val="34"/>
        </w:rPr>
        <w:t>附表九 其他要求</w:t>
      </w:r>
    </w:p>
    <w:p>
      <w:pPr>
        <w:spacing w:before="31" w:line="43" w:lineRule="exact"/>
      </w:pPr>
      <w:r>
        <mc:AlternateContent>
          <mc:Choice Requires="wpg">
            <w:drawing>
              <wp:inline distT="0" distB="0" distL="114300" distR="114300">
                <wp:extent cx="6870065" cy="27940"/>
                <wp:effectExtent l="0" t="0" r="6985" b="635"/>
                <wp:docPr id="8" name="组合 8"/>
                <wp:cNvGraphicFramePr/>
                <a:graphic xmlns:a="http://schemas.openxmlformats.org/drawingml/2006/main">
                  <a:graphicData uri="http://schemas.microsoft.com/office/word/2010/wordprocessingGroup">
                    <wpg:wgp>
                      <wpg:cNvGrpSpPr/>
                      <wpg:grpSpPr>
                        <a:xfrm>
                          <a:off x="0" y="0"/>
                          <a:ext cx="6870065" cy="27940"/>
                          <a:chOff x="0" y="0"/>
                          <a:chExt cx="10819" cy="44"/>
                        </a:xfrm>
                      </wpg:grpSpPr>
                      <wps:wsp>
                        <wps:cNvPr id="1" name="任意多边形 1"/>
                        <wps:cNvSpPr/>
                        <wps:spPr>
                          <a:xfrm>
                            <a:off x="0" y="0"/>
                            <a:ext cx="10819" cy="11"/>
                          </a:xfrm>
                          <a:custGeom>
                            <a:avLst/>
                            <a:gdLst/>
                            <a:ahLst/>
                            <a:cxnLst/>
                            <a:pathLst>
                              <a:path w="10819" h="11">
                                <a:moveTo>
                                  <a:pt x="0" y="0"/>
                                </a:moveTo>
                                <a:lnTo>
                                  <a:pt x="10818" y="0"/>
                                </a:lnTo>
                                <a:lnTo>
                                  <a:pt x="10818" y="10"/>
                                </a:lnTo>
                                <a:lnTo>
                                  <a:pt x="0" y="10"/>
                                </a:lnTo>
                                <a:lnTo>
                                  <a:pt x="0" y="0"/>
                                </a:lnTo>
                              </a:path>
                            </a:pathLst>
                          </a:custGeom>
                          <a:solidFill>
                            <a:srgbClr val="808080"/>
                          </a:solidFill>
                          <a:ln>
                            <a:noFill/>
                          </a:ln>
                        </wps:spPr>
                        <wps:bodyPr upright="1"/>
                      </wps:wsp>
                      <wps:wsp>
                        <wps:cNvPr id="2" name="任意多边形 2"/>
                        <wps:cNvSpPr/>
                        <wps:spPr>
                          <a:xfrm>
                            <a:off x="0" y="32"/>
                            <a:ext cx="10819" cy="11"/>
                          </a:xfrm>
                          <a:custGeom>
                            <a:avLst/>
                            <a:gdLst/>
                            <a:ahLst/>
                            <a:cxnLst/>
                            <a:pathLst>
                              <a:path w="10819" h="11">
                                <a:moveTo>
                                  <a:pt x="0" y="0"/>
                                </a:moveTo>
                                <a:lnTo>
                                  <a:pt x="10818" y="0"/>
                                </a:lnTo>
                                <a:lnTo>
                                  <a:pt x="10818" y="10"/>
                                </a:lnTo>
                                <a:lnTo>
                                  <a:pt x="0" y="10"/>
                                </a:lnTo>
                                <a:lnTo>
                                  <a:pt x="0" y="0"/>
                                </a:lnTo>
                              </a:path>
                            </a:pathLst>
                          </a:custGeom>
                          <a:solidFill>
                            <a:srgbClr val="2C2C2C"/>
                          </a:solidFill>
                          <a:ln>
                            <a:noFill/>
                          </a:ln>
                        </wps:spPr>
                        <wps:bodyPr upright="1"/>
                      </wps:wsp>
                      <wps:wsp>
                        <wps:cNvPr id="3" name="任意多边形 3"/>
                        <wps:cNvSpPr/>
                        <wps:spPr>
                          <a:xfrm>
                            <a:off x="0" y="0"/>
                            <a:ext cx="11" cy="44"/>
                          </a:xfrm>
                          <a:custGeom>
                            <a:avLst/>
                            <a:gdLst/>
                            <a:ahLst/>
                            <a:cxnLst/>
                            <a:pathLst>
                              <a:path w="11" h="44">
                                <a:moveTo>
                                  <a:pt x="0" y="0"/>
                                </a:moveTo>
                                <a:lnTo>
                                  <a:pt x="0" y="43"/>
                                </a:lnTo>
                                <a:lnTo>
                                  <a:pt x="10" y="32"/>
                                </a:lnTo>
                                <a:lnTo>
                                  <a:pt x="10" y="0"/>
                                </a:lnTo>
                                <a:lnTo>
                                  <a:pt x="0" y="0"/>
                                </a:lnTo>
                                <a:close/>
                              </a:path>
                            </a:pathLst>
                          </a:custGeom>
                          <a:solidFill>
                            <a:srgbClr val="808080"/>
                          </a:solidFill>
                          <a:ln>
                            <a:noFill/>
                          </a:ln>
                        </wps:spPr>
                        <wps:bodyPr upright="1"/>
                      </wps:wsp>
                      <wps:wsp>
                        <wps:cNvPr id="4" name="任意多边形 4"/>
                        <wps:cNvSpPr/>
                        <wps:spPr>
                          <a:xfrm>
                            <a:off x="10" y="0"/>
                            <a:ext cx="10808" cy="44"/>
                          </a:xfrm>
                          <a:custGeom>
                            <a:avLst/>
                            <a:gdLst/>
                            <a:ahLst/>
                            <a:cxnLst/>
                            <a:pathLst>
                              <a:path w="10808" h="44">
                                <a:moveTo>
                                  <a:pt x="10796" y="10"/>
                                </a:moveTo>
                                <a:lnTo>
                                  <a:pt x="10796" y="43"/>
                                </a:lnTo>
                                <a:lnTo>
                                  <a:pt x="10807" y="43"/>
                                </a:lnTo>
                                <a:lnTo>
                                  <a:pt x="10807" y="0"/>
                                </a:lnTo>
                                <a:lnTo>
                                  <a:pt x="10796" y="10"/>
                                </a:lnTo>
                                <a:close/>
                              </a:path>
                              <a:path w="10808" h="44">
                                <a:moveTo>
                                  <a:pt x="0" y="10"/>
                                </a:moveTo>
                                <a:lnTo>
                                  <a:pt x="10796" y="10"/>
                                </a:lnTo>
                                <a:lnTo>
                                  <a:pt x="10796" y="21"/>
                                </a:lnTo>
                                <a:lnTo>
                                  <a:pt x="0" y="21"/>
                                </a:lnTo>
                                <a:lnTo>
                                  <a:pt x="0" y="10"/>
                                </a:lnTo>
                              </a:path>
                            </a:pathLst>
                          </a:custGeom>
                          <a:solidFill>
                            <a:srgbClr val="2C2C2C"/>
                          </a:solidFill>
                          <a:ln>
                            <a:noFill/>
                          </a:ln>
                        </wps:spPr>
                        <wps:bodyPr upright="1"/>
                      </wps:wsp>
                      <wps:wsp>
                        <wps:cNvPr id="5" name="任意多边形 5"/>
                        <wps:cNvSpPr/>
                        <wps:spPr>
                          <a:xfrm>
                            <a:off x="10" y="21"/>
                            <a:ext cx="10796" cy="11"/>
                          </a:xfrm>
                          <a:custGeom>
                            <a:avLst/>
                            <a:gdLst/>
                            <a:ahLst/>
                            <a:cxnLst/>
                            <a:pathLst>
                              <a:path w="10796" h="11">
                                <a:moveTo>
                                  <a:pt x="0" y="0"/>
                                </a:moveTo>
                                <a:lnTo>
                                  <a:pt x="10796" y="0"/>
                                </a:lnTo>
                                <a:lnTo>
                                  <a:pt x="10796" y="10"/>
                                </a:lnTo>
                                <a:lnTo>
                                  <a:pt x="0" y="10"/>
                                </a:lnTo>
                                <a:lnTo>
                                  <a:pt x="0" y="0"/>
                                </a:lnTo>
                              </a:path>
                            </a:pathLst>
                          </a:custGeom>
                          <a:solidFill>
                            <a:srgbClr val="808080"/>
                          </a:solidFill>
                          <a:ln>
                            <a:noFill/>
                          </a:ln>
                        </wps:spPr>
                        <wps:bodyPr upright="1"/>
                      </wps:wsp>
                      <wps:wsp>
                        <wps:cNvPr id="6" name="任意多边形 6"/>
                        <wps:cNvSpPr/>
                        <wps:spPr>
                          <a:xfrm>
                            <a:off x="10" y="10"/>
                            <a:ext cx="11" cy="22"/>
                          </a:xfrm>
                          <a:custGeom>
                            <a:avLst/>
                            <a:gdLst/>
                            <a:ahLst/>
                            <a:cxnLst/>
                            <a:pathLst>
                              <a:path w="11" h="22">
                                <a:moveTo>
                                  <a:pt x="0" y="0"/>
                                </a:moveTo>
                                <a:lnTo>
                                  <a:pt x="0" y="21"/>
                                </a:lnTo>
                                <a:lnTo>
                                  <a:pt x="10" y="10"/>
                                </a:lnTo>
                                <a:lnTo>
                                  <a:pt x="10" y="0"/>
                                </a:lnTo>
                                <a:lnTo>
                                  <a:pt x="0" y="0"/>
                                </a:lnTo>
                                <a:close/>
                              </a:path>
                            </a:pathLst>
                          </a:custGeom>
                          <a:solidFill>
                            <a:srgbClr val="2C2C2C"/>
                          </a:solidFill>
                          <a:ln>
                            <a:noFill/>
                          </a:ln>
                        </wps:spPr>
                        <wps:bodyPr upright="1"/>
                      </wps:wsp>
                      <wps:wsp>
                        <wps:cNvPr id="7" name="任意多边形 7"/>
                        <wps:cNvSpPr/>
                        <wps:spPr>
                          <a:xfrm>
                            <a:off x="10796" y="10"/>
                            <a:ext cx="11" cy="22"/>
                          </a:xfrm>
                          <a:custGeom>
                            <a:avLst/>
                            <a:gdLst/>
                            <a:ahLst/>
                            <a:cxnLst/>
                            <a:pathLst>
                              <a:path w="11" h="22">
                                <a:moveTo>
                                  <a:pt x="0" y="10"/>
                                </a:moveTo>
                                <a:lnTo>
                                  <a:pt x="0" y="21"/>
                                </a:lnTo>
                                <a:lnTo>
                                  <a:pt x="10" y="21"/>
                                </a:lnTo>
                                <a:lnTo>
                                  <a:pt x="10" y="0"/>
                                </a:lnTo>
                                <a:lnTo>
                                  <a:pt x="0" y="10"/>
                                </a:lnTo>
                                <a:close/>
                              </a:path>
                            </a:pathLst>
                          </a:custGeom>
                          <a:solidFill>
                            <a:srgbClr val="808080"/>
                          </a:solidFill>
                          <a:ln>
                            <a:noFill/>
                          </a:ln>
                        </wps:spPr>
                        <wps:bodyPr upright="1"/>
                      </wps:wsp>
                    </wpg:wgp>
                  </a:graphicData>
                </a:graphic>
              </wp:inline>
            </w:drawing>
          </mc:Choice>
          <mc:Fallback>
            <w:pict>
              <v:group id="_x0000_s1026" o:spid="_x0000_s1026" o:spt="203" style="height:2.2pt;width:540.95pt;" coordsize="10819,44" o:gfxdata="UEsDBAoAAAAAAIdO4kAAAAAAAAAAAAAAAAAEAAAAZHJzL1BLAwQUAAAACACHTuJALlj3ldUAAAAE&#10;AQAADwAAAGRycy9kb3ducmV2LnhtbE2PQUvDQBCF74L/YRnBm91drdKm2RQp6qkItoJ4m2anSWh2&#10;NmS3Sfvv3XrRy8DjPd77Jl+eXCsG6kPj2YCeKBDEpbcNVwY+t693MxAhIltsPZOBMwVYFtdXOWbW&#10;j/xBwyZWIpVwyNBAHWOXSRnKmhyGie+Ik7f3vcOYZF9J2+OYyl0r75V6kg4bTgs1drSqqTxsjs7A&#10;24jj84N+GdaH/er8vX18/1prMub2RqsFiEin+BeGC35ChyIx7fyRbRCtgfRI/L0XT830HMTOwHQK&#10;ssjlf/jiB1BLAwQUAAAACACHTuJATbaditwDAAAKFgAADgAAAGRycy9lMm9Eb2MueG1s7VjNbtQw&#10;EL4j8Q5R7jSb7ba7jbrl0EIvCJAKD+A6zo+UxJad/em9B25w5oh4CVTB01DgMRjbcZLNbth0t0VQ&#10;0EobJ57MeL75PDPx4eN5mlhTwkVMs7Ht7vRsi2SY+nEWju3Xr54+GtmWyFHmo4RmZGxfEGE/Pnr4&#10;4HDGPNKnEU18wi1QkglvxsZ2lOfMcxyBI5IisUMZyWAyoDxFOdzy0PE5moH2NHH6vd6+M6PcZ5xi&#10;IgQ8PdGTdqGRd1FIgyDG5ITiSUqyXGvlJEE5uCSimAn7SK02CAjOXwSBILmVjG3wNFf/YATG5/Lf&#10;OTpEXsgRi2JcLAF1WULDpxTFGRgtVZ2gHFkTHi+pSmPMqaBBvoNp6mhHFCLghdtrYHPK6YQpX0Jv&#10;FrISdAhUA/WN1eLn05fciv2xDWHPUAoB/351ef3ujTWS2MxY6IHIKWdn7CUvHoT6Tro7D3gqr+CI&#10;NVeoXpSoknluYXi4PxpC2PdsC8Ncf3gwKFDHEYRm6S0cPSnec3sj90C/NRjIxTjGniOXVa5ixoCI&#10;okJHbIfOWYQYUaAL6XqBjmvQ+Xp19e3y7fXH9z++fLr+/MFyNUxKtsRIeALg6gpQzVFXqSsdRR6e&#10;iPyUUAUymj4TuSasb0YoMiM8z8yQoVw+lvbl0JrBPtdgRjByFVFTOiWvqBLJG0EA89VsktWlpBog&#10;igkySJp5c2VKWyXnqmi3CsI+BGWdhBYVgUbpm2JF6S88rAMmaBL7T+MkkW4KHp4fJ9yaIkgFo578&#10;FaRaEEsyKZxR+ZrmnHwCjDMxlaNz6l8AMSaMx2EEOUVHrSCi3DW/gZH9Nkb2N2DkrnoJeWbP/qfk&#10;b6dk/1j+/mpK7rZRcncDShZVomQkZGBZQBqlYHHDb5UhwQCkR9AvE0CVAHVC03nKZIxqdjHtaamB&#10;crc15QGzZM7TW26dlLFo7JjrqlWZOZxQQXTu+rdT5KCNj6qdkFkaCvz6ol0ErElIWULumpPaRjst&#10;3d7wYH+xhLZxsxJdy89Rb6h0dhb8NUsry0tJdYmqCx2LxLfd90brsN7vJetmw5iexWDZN12YETDX&#10;+q7rJNQwuV3Tcg8qBHwF6I+MZhu9d6MKUexIHYJ616IiKMvEHTbSysb2jbQh28Z7ZxUpG3yr2vM6&#10;cxctbsfJe9BIQ/5czcn9TTipI1DjZNG39FWHDWCbT+b6h8ot9C2gf9u+ZU1GKzbdGooVUosc68JD&#10;6ORupW+5B1kSqu9qRg5vyEiTY/5IUpZEaqvcusB3Y2U3qS6sLJdl8uvt0PJuE6U6EYMjQnUcUhxn&#10;yjPI+r06xaiOcI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C5Y95XVAAAABAEAAA8AAAAAAAAA&#10;AQAgAAAAIgAAAGRycy9kb3ducmV2LnhtbFBLAQIUABQAAAAIAIdO4kBNtp2K3AMAAAoWAAAOAAAA&#10;AAAAAAEAIAAAACQBAABkcnMvZTJvRG9jLnhtbFBLBQYAAAAABgAGAFkBAAByBwAAAAA=&#10;">
                <o:lock v:ext="edit" aspectratio="f"/>
                <v:shape id="_x0000_s1026" o:spid="_x0000_s1026" o:spt="100" style="position:absolute;left:0;top:0;height:11;width:10819;" fillcolor="#808080" filled="t" stroked="f" coordsize="10819,11" o:gfxdata="UEsDBAoAAAAAAIdO4kAAAAAAAAAAAAAAAAAEAAAAZHJzL1BLAwQUAAAACACHTuJAUKJcF7wAAADa&#10;AAAADwAAAGRycy9kb3ducmV2LnhtbEVPzWrCQBC+F/oOywje6kbRElJXDxbBNIfStA8w3Z0mqdnZ&#10;kF0T69O7QsHT8PH9znp7tq0YqPeNYwXzWQKCWDvTcKXg63P/lILwAdlg65gU/JGH7ebxYY2ZcSN/&#10;0FCGSsQQ9hkqqEPoMim9rsmin7mOOHI/rrcYIuwraXocY7ht5SJJnqXFhmNDjR3tatLH8mQVvBWX&#10;4jfPV2XxesyX7/pbF/klVWo6mScvIAKdw1387z6YOB9ur9yu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iXBe8AAAA&#10;2gAAAA8AAAAAAAAAAQAgAAAAIgAAAGRycy9kb3ducmV2LnhtbFBLAQIUABQAAAAIAIdO4kAzLwWe&#10;OwAAADkAAAAQAAAAAAAAAAEAIAAAAAsBAABkcnMvc2hhcGV4bWwueG1sUEsFBgAAAAAGAAYAWwEA&#10;ALUDAAAAAA==&#10;" path="m0,0l10818,0,10818,10,0,10,0,0e">
                  <v:fill on="t" focussize="0,0"/>
                  <v:stroke on="f"/>
                  <v:imagedata o:title=""/>
                  <o:lock v:ext="edit" aspectratio="f"/>
                </v:shape>
                <v:shape id="_x0000_s1026" o:spid="_x0000_s1026" o:spt="100" style="position:absolute;left:0;top:32;height:11;width:10819;" fillcolor="#2C2C2C" filled="t" stroked="f" coordsize="10819,11" o:gfxdata="UEsDBAoAAAAAAIdO4kAAAAAAAAAAAAAAAAAEAAAAZHJzL1BLAwQUAAAACACHTuJASAI63r0AAADa&#10;AAAADwAAAGRycy9kb3ducmV2LnhtbEWPQWvCQBSE70L/w/IKvekmilJSVxFBkXpKUgq9PbKv2bTZ&#10;tyG7Jum/7xYKHoeZ+YbZ7ifbioF63zhWkC4SEMSV0w3XCt7K0/wZhA/IGlvHpOCHPOx3D7MtZtqN&#10;nNNQhFpECPsMFZgQukxKXxmy6BeuI47ep+sthij7Wuoexwi3rVwmyUZabDguGOzoaKj6Lm5WwbpN&#10;y/z1/P5Rn801DYev8VatDko9PabJC4hAU7iH/9sXrWAJf1fiDZC7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AjrevQAA&#10;ANoAAAAPAAAAAAAAAAEAIAAAACIAAABkcnMvZG93bnJldi54bWxQSwECFAAUAAAACACHTuJAMy8F&#10;njsAAAA5AAAAEAAAAAAAAAABACAAAAAMAQAAZHJzL3NoYXBleG1sLnhtbFBLBQYAAAAABgAGAFsB&#10;AAC2AwAAAAA=&#10;" path="m0,0l10818,0,10818,10,0,10,0,0e">
                  <v:fill on="t" focussize="0,0"/>
                  <v:stroke on="f"/>
                  <v:imagedata o:title=""/>
                  <o:lock v:ext="edit" aspectratio="f"/>
                </v:shape>
                <v:shape id="_x0000_s1026" o:spid="_x0000_s1026" o:spt="100" style="position:absolute;left:0;top:0;height:44;width:11;" fillcolor="#808080" filled="t" stroked="f" coordsize="11,44" o:gfxdata="UEsDBAoAAAAAAIdO4kAAAAAAAAAAAAAAAAAEAAAAZHJzL1BLAwQUAAAACACHTuJAD9OUur4AAADa&#10;AAAADwAAAGRycy9kb3ducmV2LnhtbEWPwWrDMBBE74H+g9hCb7HsGpLWsZJDi3GhENKkH7BYG1vU&#10;WhlLcZJ+fVUI5DjMzBum3FxsLyYavXGsIEtSEMSN04ZbBd+Hav4Cwgdkjb1jUnAlD5v1w6zEQrsz&#10;f9G0D62IEPYFKuhCGAopfdORRZ+4gTh6RzdaDFGOrdQjniPc9vI5TRfSouG40OFAbx01P/uTVVBv&#10;F6817k7y3VTVrzlsl9c8+1Tq6TFLVyACXcI9fGt/aAU5/F+JN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9OUur4A&#10;AADaAAAADwAAAAAAAAABACAAAAAiAAAAZHJzL2Rvd25yZXYueG1sUEsBAhQAFAAAAAgAh07iQDMv&#10;BZ47AAAAOQAAABAAAAAAAAAAAQAgAAAADQEAAGRycy9zaGFwZXhtbC54bWxQSwUGAAAAAAYABgBb&#10;AQAAtwMAAAAA&#10;" path="m0,0l0,43,10,32,10,0,0,0xe">
                  <v:fill on="t" focussize="0,0"/>
                  <v:stroke on="f"/>
                  <v:imagedata o:title=""/>
                  <o:lock v:ext="edit" aspectratio="f"/>
                </v:shape>
                <v:shape id="_x0000_s1026" o:spid="_x0000_s1026" o:spt="100" style="position:absolute;left:10;top:0;height:44;width:10808;" fillcolor="#2C2C2C" filled="t" stroked="f" coordsize="10808,44" o:gfxdata="UEsDBAoAAAAAAIdO4kAAAAAAAAAAAAAAAAAEAAAAZHJzL1BLAwQUAAAACACHTuJAgwHtzb0AAADa&#10;AAAADwAAAGRycy9kb3ducmV2LnhtbEWPS2vDMBCE74X8B7GF3Bo5D5riWA5pIBDIKUnT82JtbFNr&#10;pUqK8/j1VaHQ4zAz3zDF8mY60ZMPrWUF41EGgriyuuVawcdx8/IGIkRkjZ1lUnCnAMty8FRgru2V&#10;99QfYi0ShEOOCpoYXS5lqBoyGEbWESfvbL3BmKSvpfZ4TXDTyUmWvUqDLaeFBh2tG6q+DhejwE4f&#10;Mu7dzm3xfjp+v/f+c72aKzV8HmcLEJFu8T/8195qBTP4vZJu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Ae3NvQAA&#10;ANoAAAAPAAAAAAAAAAEAIAAAACIAAABkcnMvZG93bnJldi54bWxQSwECFAAUAAAACACHTuJAMy8F&#10;njsAAAA5AAAAEAAAAAAAAAABACAAAAAMAQAAZHJzL3NoYXBleG1sLnhtbFBLBQYAAAAABgAGAFsB&#10;AAC2AwAAAAA=&#10;" path="m10796,10l10796,43,10807,43,10807,0,10796,10xem0,10l10796,10,10796,21,0,21,0,10e">
                  <v:fill on="t" focussize="0,0"/>
                  <v:stroke on="f"/>
                  <v:imagedata o:title=""/>
                  <o:lock v:ext="edit" aspectratio="f"/>
                </v:shape>
                <v:shape id="_x0000_s1026" o:spid="_x0000_s1026" o:spt="100" style="position:absolute;left:10;top:21;height:11;width:10796;" fillcolor="#808080" filled="t" stroked="f" coordsize="10796,11" o:gfxdata="UEsDBAoAAAAAAIdO4kAAAAAAAAAAAAAAAAAEAAAAZHJzL1BLAwQUAAAACACHTuJAjt72Kr8AAADa&#10;AAAADwAAAGRycy9kb3ducmV2LnhtbEWP3WrCQBSE7wu+w3IKvZG6sRDR6CrYIoRCqT9F9O6QPU2C&#10;2bNhdxvTt+8KQi+HmfmGWax604iOnK8tKxiPEhDEhdU1lwq+DpvnKQgfkDU2lknBL3lYLQcPC8y0&#10;vfKOun0oRYSwz1BBFUKbSemLigz6kW2Jo/dtncEQpSuldniNcNPIlySZSIM1x4UKW3qtqLjsf4yC&#10;GQ3Xnf7sju+ny/b84Tb5LH3LlXp6HCdzEIH68B++t3OtIIXblXgD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7e9iq/&#10;AAAA2gAAAA8AAAAAAAAAAQAgAAAAIgAAAGRycy9kb3ducmV2LnhtbFBLAQIUABQAAAAIAIdO4kAz&#10;LwWeOwAAADkAAAAQAAAAAAAAAAEAIAAAAA4BAABkcnMvc2hhcGV4bWwueG1sUEsFBgAAAAAGAAYA&#10;WwEAALgDAAAAAA==&#10;" path="m0,0l10796,0,10796,10,0,10,0,0e">
                  <v:fill on="t" focussize="0,0"/>
                  <v:stroke on="f"/>
                  <v:imagedata o:title=""/>
                  <o:lock v:ext="edit" aspectratio="f"/>
                </v:shape>
                <v:shape id="_x0000_s1026" o:spid="_x0000_s1026" o:spt="100" style="position:absolute;left:10;top:10;height:22;width:11;" fillcolor="#2C2C2C" filled="t" stroked="f" coordsize="11,22" o:gfxdata="UEsDBAoAAAAAAIdO4kAAAAAAAAAAAAAAAAAEAAAAZHJzL1BLAwQUAAAACACHTuJATHVP9rgAAADa&#10;AAAADwAAAGRycy9kb3ducmV2LnhtbEWPzQrCMBCE74LvEFbwpqk9qFSjYEHwoODfwePSrG2x2dQm&#10;Vn17Iwgeh5n5hpkvX6YSLTWutKxgNIxAEGdWl5wrOJ/WgykI55E1VpZJwZscLBfdzhwTbZ98oPbo&#10;cxEg7BJUUHhfJ1K6rCCDbmhr4uBdbWPQB9nkUjf4DHBTyTiKxtJgyWGhwJrSgrLb8WEUoF3f9y5P&#10;J2+67va7xypOt5dYqX5vFM1AeHr5f/jX3mgFY/heCTd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HVP9rgAAADaAAAA&#10;DwAAAAAAAAABACAAAAAiAAAAZHJzL2Rvd25yZXYueG1sUEsBAhQAFAAAAAgAh07iQDMvBZ47AAAA&#10;OQAAABAAAAAAAAAAAQAgAAAABwEAAGRycy9zaGFwZXhtbC54bWxQSwUGAAAAAAYABgBbAQAAsQMA&#10;AAAA&#10;" path="m0,0l0,21,10,10,10,0,0,0xe">
                  <v:fill on="t" focussize="0,0"/>
                  <v:stroke on="f"/>
                  <v:imagedata o:title=""/>
                  <o:lock v:ext="edit" aspectratio="f"/>
                </v:shape>
                <v:shape id="_x0000_s1026" o:spid="_x0000_s1026" o:spt="100" style="position:absolute;left:10796;top:10;height:22;width:11;" fillcolor="#808080" filled="t" stroked="f" coordsize="11,22" o:gfxdata="UEsDBAoAAAAAAIdO4kAAAAAAAAAAAAAAAAAEAAAAZHJzL1BLAwQUAAAACACHTuJA90G3M7oAAADa&#10;AAAADwAAAGRycy9kb3ducmV2LnhtbEVPu27CMBTdkfgH61Zia+yA1EeKYUBKBFNV6NDxNr5NIuLr&#10;EJsE+Pq6UiXGo/Neri+2FQP1vnGsIU0UCOLSmYYrDZ+H/PEFhA/IBlvHpOFKHtar6WSJmXEjf9Cw&#10;D5WIIewz1FCH0GVS+rImiz5xHXHkflxvMUTYV9L0OMZw28q5Uk/SYsOxocaONjWVx/3Zxhnue16c&#10;zK3Yvb9evzp5Oqb5Qmk9e0jVG4hAl3AX/7u3RsMz/F2JfpC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QbczugAAANoA&#10;AAAPAAAAAAAAAAEAIAAAACIAAABkcnMvZG93bnJldi54bWxQSwECFAAUAAAACACHTuJAMy8FnjsA&#10;AAA5AAAAEAAAAAAAAAABACAAAAAJAQAAZHJzL3NoYXBleG1sLnhtbFBLBQYAAAAABgAGAFsBAACz&#10;AwAAAAA=&#10;" path="m0,10l0,21,10,21,10,0,0,10xe">
                  <v:fill on="t" focussize="0,0"/>
                  <v:stroke on="f"/>
                  <v:imagedata o:title=""/>
                  <o:lock v:ext="edit" aspectratio="f"/>
                </v:shape>
                <w10:wrap type="none"/>
                <w10:anchorlock/>
              </v:group>
            </w:pict>
          </mc:Fallback>
        </mc:AlternateContent>
      </w:r>
    </w:p>
    <w:p>
      <w:pPr>
        <w:spacing w:before="57" w:line="210" w:lineRule="auto"/>
        <w:ind w:left="7"/>
        <w:rPr>
          <w:rFonts w:ascii="黑体" w:hAnsi="黑体" w:eastAsia="黑体" w:cs="黑体"/>
          <w:sz w:val="15"/>
          <w:szCs w:val="15"/>
        </w:rPr>
      </w:pPr>
      <w:r>
        <w:rPr>
          <w:rFonts w:ascii="黑体" w:hAnsi="黑体" w:eastAsia="黑体" w:cs="黑体"/>
          <w:sz w:val="15"/>
          <w:szCs w:val="15"/>
        </w:rPr>
        <w:t>注：本表适用于其他有特殊要求的工程。</w:t>
      </w:r>
      <w:bookmarkStart w:id="0" w:name="_GoBack"/>
      <w:bookmarkEnd w:id="0"/>
    </w:p>
    <w:sectPr>
      <w:headerReference r:id="rId6" w:type="default"/>
      <w:footerReference r:id="rId7" w:type="default"/>
      <w:pgSz w:w="11900" w:h="16840"/>
      <w:pgMar w:top="1" w:right="562" w:bottom="400" w:left="51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MwYTY0ZjAwNDg5YzRmZjk0ZDcxYWRjYzQxZTYwNmEifQ=="/>
  </w:docVars>
  <w:rsids>
    <w:rsidRoot w:val="00000000"/>
    <w:rsid w:val="04CA7224"/>
    <w:rsid w:val="0E7E0566"/>
    <w:rsid w:val="14333BA0"/>
    <w:rsid w:val="1F422275"/>
    <w:rsid w:val="40E44881"/>
    <w:rsid w:val="68B812E7"/>
    <w:rsid w:val="695670AB"/>
    <w:rsid w:val="70CA02B5"/>
    <w:rsid w:val="73440153"/>
    <w:rsid w:val="7EE73E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1"/>
      <w:szCs w:val="21"/>
      <w:lang w:val="en-US" w:eastAsia="en-US" w:bidi="ar-SA"/>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2024-02-28T09:18:00Z</dcterms:created>
  <dc:creator>ColorFul</dc:creator>
  <cp:lastModifiedBy>_</cp:lastModifiedBy>
  <dcterms:modified xsi:type="dcterms:W3CDTF">2024-02-29T02:22:13Z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2024-02-28T17:18:27Z</vt:filetime>
  </property>
  <property fmtid="{D5CDD505-2E9C-101B-9397-08002B2CF9AE}" pid="4" name="KSOProductBuildVer">
    <vt:lpwstr>2052-12.1.0.16250</vt:lpwstr>
  </property>
  <property fmtid="{D5CDD505-2E9C-101B-9397-08002B2CF9AE}" pid="5" name="ICV">
    <vt:lpwstr>CF435F059D7E4BC49692A1128B9187C0_12</vt:lpwstr>
  </property>
</Properties>
</file>