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20" w:lineRule="atLeast"/>
        <w:jc w:val="center"/>
        <w:rPr>
          <w:rFonts w:ascii="Times New Roman" w:hAnsi="Times New Roman"/>
          <w:color w:val="333333"/>
          <w:sz w:val="21"/>
          <w:szCs w:val="21"/>
        </w:rPr>
      </w:pPr>
      <w:r>
        <w:rPr>
          <w:rFonts w:hint="eastAsia" w:ascii="黑体" w:hAnsi="宋体" w:eastAsia="黑体" w:cs="黑体"/>
          <w:b/>
          <w:bCs/>
          <w:color w:val="000000"/>
          <w:sz w:val="44"/>
          <w:szCs w:val="44"/>
          <w:shd w:val="clear" w:color="auto" w:fill="FFFFFF"/>
          <w:lang w:eastAsia="zh-CN"/>
        </w:rPr>
        <w:t>余干县市场监督管理局2024</w:t>
      </w:r>
      <w:r>
        <w:rPr>
          <w:rFonts w:hint="eastAsia" w:ascii="黑体" w:hAnsi="宋体" w:eastAsia="黑体" w:cs="黑体"/>
          <w:b/>
          <w:bCs/>
          <w:color w:val="000000"/>
          <w:sz w:val="44"/>
          <w:szCs w:val="44"/>
          <w:shd w:val="clear" w:color="auto" w:fill="FFFFFF"/>
        </w:rPr>
        <w:t>年部门预算</w:t>
      </w:r>
    </w:p>
    <w:p>
      <w:pPr>
        <w:pStyle w:val="5"/>
        <w:widowControl/>
        <w:shd w:val="clear" w:color="auto" w:fill="FFFFFF"/>
        <w:spacing w:before="0" w:beforeAutospacing="0" w:after="0" w:afterAutospacing="0" w:line="600" w:lineRule="atLeast"/>
        <w:jc w:val="center"/>
        <w:rPr>
          <w:rFonts w:ascii="Times New Roman" w:hAnsi="Times New Roman"/>
          <w:color w:val="333333"/>
          <w:sz w:val="21"/>
          <w:szCs w:val="21"/>
        </w:rPr>
      </w:pPr>
      <w:r>
        <w:rPr>
          <w:rFonts w:hint="eastAsia" w:ascii="黑体" w:hAnsi="宋体" w:eastAsia="黑体" w:cs="黑体"/>
          <w:color w:val="000000"/>
          <w:sz w:val="32"/>
          <w:szCs w:val="32"/>
          <w:shd w:val="clear" w:color="auto" w:fill="FFFFFF"/>
        </w:rPr>
        <w:t>目    录</w:t>
      </w:r>
    </w:p>
    <w:p>
      <w:pPr>
        <w:pStyle w:val="5"/>
        <w:widowControl/>
        <w:shd w:val="clear" w:color="auto" w:fill="FFFFFF"/>
        <w:spacing w:before="0" w:beforeAutospacing="0" w:after="0" w:afterAutospacing="0" w:line="600" w:lineRule="atLeast"/>
        <w:ind w:firstLine="640"/>
        <w:rPr>
          <w:rFonts w:ascii="Times New Roman" w:hAnsi="Times New Roman"/>
          <w:color w:val="333333"/>
          <w:sz w:val="21"/>
          <w:szCs w:val="21"/>
        </w:rPr>
      </w:pPr>
      <w:r>
        <w:rPr>
          <w:rFonts w:ascii="仿宋" w:hAnsi="仿宋" w:eastAsia="仿宋" w:cs="仿宋"/>
          <w:b/>
          <w:bCs/>
          <w:color w:val="000000"/>
          <w:sz w:val="32"/>
          <w:szCs w:val="32"/>
          <w:shd w:val="clear" w:color="auto" w:fill="FFFFFF"/>
        </w:rPr>
        <w:t>第一部分</w:t>
      </w:r>
      <w:r>
        <w:rPr>
          <w:rFonts w:hint="eastAsia" w:ascii="仿宋" w:hAnsi="仿宋" w:eastAsia="仿宋" w:cs="仿宋"/>
          <w:b/>
          <w:bCs/>
          <w:color w:val="000000"/>
          <w:sz w:val="32"/>
          <w:szCs w:val="32"/>
          <w:shd w:val="clear" w:color="auto" w:fill="FFFFFF"/>
        </w:rPr>
        <w:t>  </w:t>
      </w:r>
      <w:r>
        <w:rPr>
          <w:rFonts w:hint="eastAsia" w:ascii="仿宋" w:hAnsi="仿宋" w:eastAsia="仿宋" w:cs="仿宋"/>
          <w:b/>
          <w:bCs/>
          <w:color w:val="000000"/>
          <w:sz w:val="32"/>
          <w:szCs w:val="32"/>
          <w:shd w:val="clear" w:color="auto" w:fill="FFFFFF"/>
          <w:lang w:eastAsia="zh-CN"/>
        </w:rPr>
        <w:t>余干县市场监督管理局</w:t>
      </w:r>
      <w:r>
        <w:rPr>
          <w:rFonts w:hint="eastAsia" w:ascii="仿宋" w:hAnsi="仿宋" w:eastAsia="仿宋" w:cs="仿宋"/>
          <w:b/>
          <w:bCs/>
          <w:color w:val="000000"/>
          <w:sz w:val="32"/>
          <w:szCs w:val="32"/>
          <w:shd w:val="clear" w:color="auto" w:fill="FFFFFF"/>
        </w:rPr>
        <w:t>概况            </w:t>
      </w:r>
    </w:p>
    <w:p>
      <w:pPr>
        <w:pStyle w:val="5"/>
        <w:widowControl/>
        <w:shd w:val="clear" w:color="auto" w:fill="FFFFFF"/>
        <w:spacing w:before="0" w:beforeAutospacing="0" w:after="0" w:afterAutospacing="0" w:line="600" w:lineRule="atLeast"/>
        <w:ind w:firstLine="112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 一、部门主要职责</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二、机构设置及人员情况</w:t>
      </w:r>
    </w:p>
    <w:p>
      <w:pPr>
        <w:pStyle w:val="5"/>
        <w:widowControl/>
        <w:shd w:val="clear" w:color="auto" w:fill="FFFFFF"/>
        <w:spacing w:before="0" w:beforeAutospacing="0" w:after="0" w:afterAutospacing="0" w:line="600" w:lineRule="atLeast"/>
        <w:ind w:firstLine="640"/>
        <w:rPr>
          <w:rFonts w:ascii="Times New Roman" w:hAnsi="Times New Roman"/>
          <w:color w:val="333333"/>
          <w:sz w:val="21"/>
          <w:szCs w:val="21"/>
        </w:rPr>
      </w:pPr>
      <w:r>
        <w:rPr>
          <w:rFonts w:hint="eastAsia" w:ascii="仿宋" w:hAnsi="仿宋" w:eastAsia="仿宋" w:cs="仿宋"/>
          <w:b/>
          <w:bCs/>
          <w:color w:val="000000"/>
          <w:sz w:val="32"/>
          <w:szCs w:val="32"/>
          <w:shd w:val="clear" w:color="auto" w:fill="FFFFFF"/>
        </w:rPr>
        <w:t>第二部分  </w:t>
      </w:r>
      <w:r>
        <w:rPr>
          <w:rFonts w:hint="eastAsia" w:ascii="仿宋" w:hAnsi="仿宋" w:eastAsia="仿宋" w:cs="仿宋"/>
          <w:b/>
          <w:bCs/>
          <w:color w:val="000000"/>
          <w:sz w:val="32"/>
          <w:szCs w:val="32"/>
          <w:shd w:val="clear" w:color="auto" w:fill="FFFFFF"/>
          <w:lang w:eastAsia="zh-CN"/>
        </w:rPr>
        <w:t>余干县市场监督管理局2024</w:t>
      </w:r>
      <w:r>
        <w:rPr>
          <w:rFonts w:hint="eastAsia" w:ascii="仿宋" w:hAnsi="仿宋" w:eastAsia="仿宋" w:cs="仿宋"/>
          <w:b/>
          <w:bCs/>
          <w:color w:val="000000"/>
          <w:sz w:val="32"/>
          <w:szCs w:val="32"/>
          <w:shd w:val="clear" w:color="auto" w:fill="FFFFFF"/>
        </w:rPr>
        <w:t>年部门预算表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一、《收支预算总表》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二、《部门收入总表》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三、《部门支出总表》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四、《财政拨款收支总表》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五、《一般公共预算支出表》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六、《一般公共预算基本支出表》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七、《</w:t>
      </w:r>
      <w:r>
        <w:rPr>
          <w:rFonts w:hint="eastAsia" w:ascii="Adobe 仿宋 Std R" w:hAnsi="Adobe 仿宋 Std R" w:eastAsia="Adobe 仿宋 Std R" w:cs="Adobe 仿宋 Std R"/>
          <w:color w:val="333333"/>
          <w:sz w:val="32"/>
          <w:szCs w:val="32"/>
          <w:shd w:val="clear" w:color="auto" w:fill="FFFFFF"/>
        </w:rPr>
        <w:t>财政拨款“三公”经费支出表</w:t>
      </w:r>
      <w:r>
        <w:rPr>
          <w:rFonts w:ascii="Adobe 仿宋 Std R" w:hAnsi="Adobe 仿宋 Std R" w:eastAsia="Adobe 仿宋 Std R" w:cs="Adobe 仿宋 Std R"/>
          <w:color w:val="333333"/>
          <w:sz w:val="32"/>
          <w:szCs w:val="32"/>
          <w:shd w:val="clear" w:color="auto" w:fill="FFFFFF"/>
        </w:rPr>
        <w:t>》</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八、《政府性基金预算支出表》</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九、《国有资本经营预算支出表》  </w:t>
      </w:r>
    </w:p>
    <w:p>
      <w:pPr>
        <w:pStyle w:val="5"/>
        <w:widowControl/>
        <w:shd w:val="clear" w:color="auto" w:fill="FFFFFF"/>
        <w:spacing w:before="0" w:beforeAutospacing="0" w:after="0" w:afterAutospacing="0" w:line="600" w:lineRule="atLeast"/>
        <w:ind w:firstLine="1292" w:firstLineChars="404"/>
        <w:rPr>
          <w:rFonts w:hint="eastAsia" w:ascii="Adobe 仿宋 Std R" w:hAnsi="Adobe 仿宋 Std R" w:eastAsia="Adobe 仿宋 Std R" w:cs="Adobe 仿宋 Std R"/>
          <w:color w:val="333333"/>
          <w:sz w:val="32"/>
          <w:szCs w:val="32"/>
          <w:shd w:val="clear" w:color="auto" w:fill="FFFFFF"/>
        </w:rPr>
      </w:pPr>
      <w:r>
        <w:rPr>
          <w:rFonts w:hint="eastAsia" w:ascii="Adobe 仿宋 Std R" w:hAnsi="Adobe 仿宋 Std R" w:eastAsia="Adobe 仿宋 Std R" w:cs="Adobe 仿宋 Std R"/>
          <w:color w:val="333333"/>
          <w:sz w:val="32"/>
          <w:szCs w:val="32"/>
          <w:shd w:val="clear" w:color="auto" w:fill="FFFFFF"/>
        </w:rPr>
        <w:t>十、《部门整体支出绩效目标表》</w:t>
      </w:r>
    </w:p>
    <w:p>
      <w:pPr>
        <w:pStyle w:val="5"/>
        <w:widowControl/>
        <w:shd w:val="clear" w:color="auto" w:fill="FFFFFF"/>
        <w:spacing w:before="0" w:beforeAutospacing="0" w:after="0" w:afterAutospacing="0" w:line="600" w:lineRule="atLeast"/>
        <w:ind w:firstLine="1292" w:firstLineChars="404"/>
        <w:rPr>
          <w:rFonts w:hint="eastAsia" w:ascii="Adobe 仿宋 Std R" w:hAnsi="Adobe 仿宋 Std R" w:eastAsia="Adobe 仿宋 Std R" w:cs="Adobe 仿宋 Std R"/>
          <w:color w:val="333333"/>
          <w:sz w:val="32"/>
          <w:szCs w:val="32"/>
          <w:shd w:val="clear" w:color="auto" w:fill="FFFFFF"/>
        </w:rPr>
      </w:pPr>
      <w:r>
        <w:rPr>
          <w:rFonts w:hint="eastAsia" w:ascii="Adobe 仿宋 Std R" w:hAnsi="Adobe 仿宋 Std R" w:eastAsia="Adobe 仿宋 Std R" w:cs="Adobe 仿宋 Std R"/>
          <w:color w:val="333333"/>
          <w:sz w:val="32"/>
          <w:szCs w:val="32"/>
          <w:shd w:val="clear" w:color="auto" w:fill="FFFFFF"/>
        </w:rPr>
        <w:t>十一、《项目绩效目标表》</w:t>
      </w:r>
    </w:p>
    <w:p>
      <w:pPr>
        <w:pStyle w:val="5"/>
        <w:widowControl/>
        <w:shd w:val="clear" w:color="auto" w:fill="FFFFFF"/>
        <w:spacing w:before="0" w:beforeAutospacing="0" w:after="0" w:afterAutospacing="0" w:line="600" w:lineRule="atLeast"/>
        <w:ind w:firstLine="643" w:firstLineChars="200"/>
        <w:rPr>
          <w:rFonts w:ascii="Times New Roman" w:hAnsi="Times New Roman"/>
          <w:color w:val="333333"/>
          <w:sz w:val="21"/>
          <w:szCs w:val="21"/>
        </w:rPr>
      </w:pPr>
      <w:r>
        <w:rPr>
          <w:rFonts w:hint="eastAsia" w:ascii="仿宋" w:hAnsi="仿宋" w:eastAsia="仿宋" w:cs="仿宋"/>
          <w:b/>
          <w:bCs/>
          <w:color w:val="000000"/>
          <w:sz w:val="32"/>
          <w:szCs w:val="32"/>
          <w:shd w:val="clear" w:color="auto" w:fill="FFFFFF"/>
        </w:rPr>
        <w:t>第三部分  </w:t>
      </w:r>
      <w:r>
        <w:rPr>
          <w:rFonts w:hint="eastAsia" w:ascii="仿宋" w:hAnsi="仿宋" w:eastAsia="仿宋" w:cs="仿宋"/>
          <w:b/>
          <w:bCs/>
          <w:color w:val="000000"/>
          <w:sz w:val="32"/>
          <w:szCs w:val="32"/>
          <w:shd w:val="clear" w:color="auto" w:fill="FFFFFF"/>
          <w:lang w:eastAsia="zh-CN"/>
        </w:rPr>
        <w:t>余干县市场监督管理局2024</w:t>
      </w:r>
      <w:r>
        <w:rPr>
          <w:rFonts w:hint="eastAsia" w:ascii="仿宋" w:hAnsi="仿宋" w:eastAsia="仿宋" w:cs="仿宋"/>
          <w:b/>
          <w:bCs/>
          <w:color w:val="000000"/>
          <w:sz w:val="32"/>
          <w:szCs w:val="32"/>
          <w:shd w:val="clear" w:color="auto" w:fill="FFFFFF"/>
        </w:rPr>
        <w:t>年部门预算情况说明</w:t>
      </w:r>
    </w:p>
    <w:p>
      <w:pPr>
        <w:pStyle w:val="5"/>
        <w:widowControl/>
        <w:shd w:val="clear" w:color="auto" w:fill="FFFFFF"/>
        <w:spacing w:before="0" w:beforeAutospacing="0" w:after="0" w:afterAutospacing="0" w:line="600" w:lineRule="atLeast"/>
        <w:ind w:firstLine="1280"/>
        <w:rPr>
          <w:rFonts w:ascii="Times New Roman" w:hAnsi="Times New Roman"/>
          <w:color w:val="333333"/>
          <w:sz w:val="21"/>
          <w:szCs w:val="21"/>
        </w:rPr>
      </w:pPr>
      <w:r>
        <w:rPr>
          <w:rFonts w:ascii="Adobe 仿宋 Std R" w:hAnsi="Adobe 仿宋 Std R" w:eastAsia="Adobe 仿宋 Std R" w:cs="Adobe 仿宋 Std R"/>
          <w:color w:val="333333"/>
          <w:sz w:val="32"/>
          <w:szCs w:val="32"/>
          <w:shd w:val="clear" w:color="auto" w:fill="FFFFFF"/>
        </w:rPr>
        <w:t>一、</w:t>
      </w:r>
      <w:r>
        <w:rPr>
          <w:rFonts w:hint="eastAsia" w:ascii="Adobe 仿宋 Std R" w:hAnsi="Adobe 仿宋 Std R" w:eastAsia="Adobe 仿宋 Std R" w:cs="Adobe 仿宋 Std R"/>
          <w:color w:val="333333"/>
          <w:sz w:val="32"/>
          <w:szCs w:val="32"/>
          <w:shd w:val="clear" w:color="auto" w:fill="FFFFFF"/>
          <w:lang w:eastAsia="zh-CN"/>
        </w:rPr>
        <w:t>2024</w:t>
      </w:r>
      <w:r>
        <w:rPr>
          <w:rFonts w:ascii="Adobe 仿宋 Std R" w:hAnsi="Adobe 仿宋 Std R" w:eastAsia="Adobe 仿宋 Std R" w:cs="Adobe 仿宋 Std R"/>
          <w:color w:val="333333"/>
          <w:sz w:val="32"/>
          <w:szCs w:val="32"/>
          <w:shd w:val="clear" w:color="auto" w:fill="FFFFFF"/>
        </w:rPr>
        <w:t>年部门预算收支情况说明</w:t>
      </w:r>
    </w:p>
    <w:p>
      <w:pPr>
        <w:pStyle w:val="5"/>
        <w:widowControl/>
        <w:shd w:val="clear" w:color="auto" w:fill="FFFFFF"/>
        <w:spacing w:before="0" w:beforeAutospacing="0" w:after="0" w:afterAutospacing="0" w:line="600" w:lineRule="atLeast"/>
        <w:ind w:firstLine="1120"/>
        <w:rPr>
          <w:rFonts w:ascii="Adobe 仿宋 Std R" w:hAnsi="Adobe 仿宋 Std R" w:eastAsia="Adobe 仿宋 Std R" w:cs="Adobe 仿宋 Std R"/>
          <w:color w:val="333333"/>
          <w:sz w:val="32"/>
          <w:szCs w:val="32"/>
          <w:shd w:val="clear" w:color="auto" w:fill="FFFFFF"/>
        </w:rPr>
      </w:pPr>
      <w:r>
        <w:rPr>
          <w:rFonts w:ascii="Adobe 仿宋 Std R" w:hAnsi="Adobe 仿宋 Std R" w:eastAsia="Adobe 仿宋 Std R" w:cs="Adobe 仿宋 Std R"/>
          <w:color w:val="333333"/>
          <w:sz w:val="32"/>
          <w:szCs w:val="32"/>
          <w:shd w:val="clear" w:color="auto" w:fill="FFFFFF"/>
        </w:rPr>
        <w:t> 二、</w:t>
      </w:r>
      <w:r>
        <w:rPr>
          <w:rFonts w:hint="eastAsia" w:ascii="Adobe 仿宋 Std R" w:hAnsi="Adobe 仿宋 Std R" w:eastAsia="Adobe 仿宋 Std R" w:cs="Adobe 仿宋 Std R"/>
          <w:color w:val="333333"/>
          <w:sz w:val="32"/>
          <w:szCs w:val="32"/>
          <w:shd w:val="clear" w:color="auto" w:fill="FFFFFF"/>
          <w:lang w:eastAsia="zh-CN"/>
        </w:rPr>
        <w:t>2024</w:t>
      </w:r>
      <w:r>
        <w:rPr>
          <w:rFonts w:ascii="Adobe 仿宋 Std R" w:hAnsi="Adobe 仿宋 Std R" w:eastAsia="Adobe 仿宋 Std R" w:cs="Adobe 仿宋 Std R"/>
          <w:color w:val="333333"/>
          <w:sz w:val="32"/>
          <w:szCs w:val="32"/>
          <w:shd w:val="clear" w:color="auto" w:fill="FFFFFF"/>
        </w:rPr>
        <w:t>年“三公”经费预算情况说明</w:t>
      </w:r>
    </w:p>
    <w:p>
      <w:pPr>
        <w:pStyle w:val="5"/>
        <w:widowControl/>
        <w:shd w:val="clear" w:color="auto" w:fill="FFFFFF"/>
        <w:spacing w:before="0" w:beforeAutospacing="0" w:after="0" w:afterAutospacing="0" w:line="600" w:lineRule="atLeast"/>
        <w:ind w:firstLine="11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000000"/>
          <w:sz w:val="32"/>
          <w:szCs w:val="32"/>
          <w:shd w:val="clear" w:color="auto" w:fill="FFFFFF"/>
        </w:rPr>
        <w:t>第四部分  名词解释</w:t>
      </w:r>
      <w:r>
        <w:rPr>
          <w:rFonts w:hint="eastAsia" w:ascii="仿宋" w:hAnsi="仿宋" w:eastAsia="仿宋" w:cs="仿宋"/>
          <w:b/>
          <w:bCs/>
          <w:color w:val="333333"/>
          <w:sz w:val="32"/>
          <w:szCs w:val="32"/>
          <w:shd w:val="clear" w:color="auto" w:fill="FFFFFF"/>
        </w:rPr>
        <w:t> </w:t>
      </w:r>
    </w:p>
    <w:p>
      <w:pPr>
        <w:pStyle w:val="5"/>
        <w:widowControl/>
        <w:shd w:val="clear" w:color="auto" w:fill="FFFFFF"/>
        <w:spacing w:before="0" w:beforeAutospacing="0" w:after="0" w:afterAutospacing="0" w:line="580" w:lineRule="atLeast"/>
        <w:jc w:val="center"/>
        <w:rPr>
          <w:rFonts w:cs="Calibri"/>
          <w:color w:val="333333"/>
          <w:sz w:val="21"/>
          <w:szCs w:val="21"/>
        </w:rPr>
      </w:pPr>
      <w:r>
        <w:rPr>
          <w:rFonts w:hint="eastAsia" w:ascii="仿宋" w:hAnsi="仿宋" w:eastAsia="仿宋" w:cs="仿宋"/>
          <w:b/>
          <w:bCs/>
          <w:color w:val="333333"/>
          <w:sz w:val="32"/>
          <w:szCs w:val="32"/>
          <w:shd w:val="clear" w:color="auto" w:fill="FFFFFF"/>
        </w:rPr>
        <w:t>第一部分  </w:t>
      </w:r>
      <w:r>
        <w:rPr>
          <w:rFonts w:hint="eastAsia" w:ascii="仿宋" w:hAnsi="仿宋" w:eastAsia="仿宋" w:cs="仿宋"/>
          <w:b/>
          <w:bCs/>
          <w:color w:val="000000"/>
          <w:sz w:val="32"/>
          <w:szCs w:val="32"/>
          <w:shd w:val="clear" w:color="auto" w:fill="FFFFFF"/>
          <w:lang w:eastAsia="zh-CN"/>
        </w:rPr>
        <w:t>余干县市场监督管理局</w:t>
      </w:r>
      <w:r>
        <w:rPr>
          <w:rFonts w:hint="eastAsia" w:ascii="仿宋" w:hAnsi="仿宋" w:eastAsia="仿宋" w:cs="仿宋"/>
          <w:b/>
          <w:bCs/>
          <w:color w:val="333333"/>
          <w:sz w:val="32"/>
          <w:szCs w:val="32"/>
          <w:shd w:val="clear" w:color="auto" w:fill="FFFFFF"/>
        </w:rPr>
        <w:t>概况</w:t>
      </w:r>
    </w:p>
    <w:p>
      <w:pPr>
        <w:pStyle w:val="5"/>
        <w:widowControl/>
        <w:shd w:val="clear" w:color="auto" w:fill="FFFFFF"/>
        <w:spacing w:before="0" w:beforeAutospacing="0" w:after="0" w:afterAutospacing="0" w:line="580" w:lineRule="atLeast"/>
        <w:rPr>
          <w:rFonts w:cs="Calibri"/>
          <w:color w:val="333333"/>
          <w:sz w:val="30"/>
          <w:szCs w:val="30"/>
        </w:rPr>
      </w:pPr>
      <w:r>
        <w:rPr>
          <w:rFonts w:hint="eastAsia" w:ascii="宋体" w:hAnsi="宋体" w:cs="宋体"/>
          <w:b/>
          <w:bCs/>
          <w:color w:val="333333"/>
          <w:sz w:val="30"/>
          <w:szCs w:val="30"/>
          <w:shd w:val="clear" w:color="auto" w:fill="FFFFFF"/>
        </w:rPr>
        <w:t>一、部门主要职责</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一)贯彻执行国家、省、市、县有关工商行政管理、质量技术监督、食品药品（含食品添加剂、保健食品、化妆品、中药、民族药、医疗器械等，下同）监督管理等方面的法律、法规和政策；拟订相关规范性文件和政策措施，经批准后监督实施。</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二)拟订并组织实施市场监督管理事业发展规划和技术机构建设规划；积极推进检验检测机构、市场监管体制、基层执法力量及社会化监管体系的整合；完善技术支撑保障体系，提高市场监督管理科学化水平，构建市场监管长效机制。</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(三)负责涉及县级工商行政管理、质量技术监督、食品药品监督管理的各类行政审批和行政许可并监督管理。</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四)依法规范和维护市场经营秩序，负责市场交易和网络交易及有关服务行为的监管职责；负责个体工商户、农民专业合作社、私营企业经营行为的服务和监督管理；组织指导个体工商户、农民专业合作社、企业、商品交易市场信用分类管理，研究分析并依法发布市场主体登记注册基础信息；依法监督管理经纪人、经纪机构及经纪活动；负责直销企业和直销员及其直销活动的监督管理，依法查处打击传销行为；依法开展不正当竞争、商业贿赂行为的查处与监督管理。</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(五)依法实施合同行政监督管理，规范合同行为；管理动产抵押物登记；组织实施合同格式条款备案；监督管理拍卖行为。</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六)负责商标监督管理工作，依法保护商标专用权；组织实施商标战略和名牌战略，推荐中国驰名商标和省、市著名商标及中国、省、市名牌产品；依法保护特殊标志、认证标志；负责地理标志产品日常监督管理工作；指导广告业发展，负责各类广告活动的监督管理。</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七）管理和指导全县质量工作，组织实施国家、省、市有关质量振兴的政策措施，推进“质量兴县”工作的开展；研究制订提高本县质量发展水平的战略和计划；根据分级管理分工，综合管理锅炉、压力容器、压力管道、电梯、起重机械等特种设备的安全监察和质量监督工作，组织协调产品质量重大事故和特种设备事故的调查处理，并提出整改处理意见。协助上级主管部门做好工业产品生产许可证、产品质量认证和质量体系认证的管理工作；依法负责产品防伪的监督管理工作。</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八）负责管理标准化工作；组织实施国家标准、行业标准和地方标准；监督标准的贯彻执行；推行国际标准和国外先进标准；组织制订农业标准规范；负责企业执行标准的备案管理；组织做好有关组织机构代码、物品编码工作。</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九）统一管理计量工作；推行国家法定计量单位，组织执行国家计量法律法规；建立县级计量标准和社会公用计量标准，执行计量检定规程和计量技术规范，组织全县量值传递；对计量器具的制造、修理、销售、进口、使用、检定进行监督管理；对计量检定机构、产品质量监督检验机构和为社会提供公正数据的实验室进行计量认证和监督管理；规范和监督商品的计量行为；调解计量纠纷，组织仲裁检定。</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（十）依法承担消费者权益保护牵头协调职责，建立消费者权益保护体系，组织指导消费维权工作；负责涉及工商行政管理、质量技术监督、食品药品监督管理的申诉和举报工作。</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（十一）依法查处违反工商行政管理、质量技术监督、食品药品监督管理的法律、法规、规章的行为。</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(十二) 加强基层监管力量，完善基层监管体制，构建基层食品药品的网格化监管体系；加强对基层的业务指导，领导和管理所属、直属和派出机构的工作；指导与工商行政管理、质量技术监督、食品药品监督管理业务有关的社会团体的工作。</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(十三) 承办县政府和上级主管部门交办的其他事项。</w:t>
      </w:r>
    </w:p>
    <w:p>
      <w:pPr>
        <w:pStyle w:val="5"/>
        <w:widowControl/>
        <w:shd w:val="clear" w:color="auto" w:fill="FFFFFF"/>
        <w:spacing w:before="0" w:beforeAutospacing="0" w:after="0" w:afterAutospacing="0" w:line="580" w:lineRule="atLeast"/>
        <w:rPr>
          <w:rFonts w:hint="eastAsia" w:ascii="宋体" w:hAnsi="宋体" w:cs="宋体"/>
          <w:b/>
          <w:bCs/>
          <w:color w:val="333333"/>
          <w:sz w:val="30"/>
          <w:szCs w:val="30"/>
          <w:shd w:val="clear" w:color="auto" w:fill="FFFFFF"/>
        </w:rPr>
      </w:pPr>
      <w:r>
        <w:rPr>
          <w:rFonts w:hint="eastAsia" w:ascii="宋体" w:hAnsi="宋体" w:cs="宋体"/>
          <w:b/>
          <w:bCs/>
          <w:color w:val="333333"/>
          <w:sz w:val="30"/>
          <w:szCs w:val="30"/>
          <w:shd w:val="clear" w:color="auto" w:fill="FFFFFF"/>
        </w:rPr>
        <w:t>二、机构设置及人员情况</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纳入本套部门决算汇编范围的单位共1个，包括：余干县市场监督管理局本级。</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编制人数小计200人,其中：行政编制人数124人,全部补助事业编制人数76人。实有人数小计246人,其中：在职人数小计181人,行政在职人数95人,全部补助事业在职人数86人，离休人数0人，退休人数2人,遗属人数10人。</w:t>
      </w:r>
    </w:p>
    <w:p>
      <w:pPr>
        <w:pStyle w:val="5"/>
        <w:widowControl/>
        <w:shd w:val="clear" w:color="auto" w:fill="FFFFFF"/>
        <w:spacing w:before="0" w:beforeAutospacing="0" w:after="0" w:afterAutospacing="0" w:line="580" w:lineRule="atLeast"/>
        <w:jc w:val="center"/>
        <w:rPr>
          <w:rFonts w:hint="eastAsia" w:ascii="仿宋" w:hAnsi="仿宋" w:eastAsia="仿宋" w:cs="仿宋"/>
          <w:b/>
          <w:bCs/>
          <w:color w:val="333333"/>
          <w:sz w:val="32"/>
          <w:szCs w:val="32"/>
          <w:shd w:val="clear" w:color="auto" w:fill="FFFFFF"/>
        </w:rPr>
      </w:pPr>
    </w:p>
    <w:p>
      <w:pPr>
        <w:pStyle w:val="5"/>
        <w:widowControl/>
        <w:shd w:val="clear" w:color="auto" w:fill="FFFFFF"/>
        <w:spacing w:before="0" w:beforeAutospacing="0" w:after="0" w:afterAutospacing="0" w:line="580" w:lineRule="atLeast"/>
        <w:jc w:val="center"/>
        <w:rPr>
          <w:rFonts w:hint="eastAsia" w:ascii="仿宋" w:hAnsi="仿宋" w:eastAsia="仿宋" w:cs="仿宋"/>
          <w:b/>
          <w:bCs/>
          <w:color w:val="333333"/>
          <w:sz w:val="32"/>
          <w:szCs w:val="32"/>
          <w:shd w:val="clear" w:color="auto" w:fill="FFFFFF"/>
        </w:rPr>
      </w:pPr>
    </w:p>
    <w:p>
      <w:pPr>
        <w:pStyle w:val="5"/>
        <w:widowControl/>
        <w:shd w:val="clear" w:color="auto" w:fill="FFFFFF"/>
        <w:spacing w:before="0" w:beforeAutospacing="0" w:after="0" w:afterAutospacing="0" w:line="580" w:lineRule="atLeast"/>
        <w:jc w:val="center"/>
        <w:rPr>
          <w:rFonts w:cs="Calibri"/>
          <w:color w:val="333333"/>
          <w:sz w:val="21"/>
          <w:szCs w:val="21"/>
        </w:rPr>
      </w:pPr>
      <w:r>
        <w:rPr>
          <w:rFonts w:hint="eastAsia" w:ascii="仿宋" w:hAnsi="仿宋" w:eastAsia="仿宋" w:cs="仿宋"/>
          <w:b/>
          <w:bCs/>
          <w:color w:val="333333"/>
          <w:sz w:val="32"/>
          <w:szCs w:val="32"/>
          <w:shd w:val="clear" w:color="auto" w:fill="FFFFFF"/>
        </w:rPr>
        <w:t>第二部分  </w:t>
      </w:r>
      <w:r>
        <w:rPr>
          <w:rFonts w:hint="eastAsia" w:ascii="仿宋" w:hAnsi="仿宋" w:eastAsia="仿宋" w:cs="仿宋"/>
          <w:b/>
          <w:bCs/>
          <w:color w:val="333333"/>
          <w:sz w:val="32"/>
          <w:szCs w:val="32"/>
          <w:shd w:val="clear" w:color="auto" w:fill="FFFFFF"/>
          <w:lang w:eastAsia="zh-CN"/>
        </w:rPr>
        <w:t>余干县市场监督管理局2024</w:t>
      </w:r>
      <w:r>
        <w:rPr>
          <w:rFonts w:hint="eastAsia" w:ascii="仿宋" w:hAnsi="仿宋" w:eastAsia="仿宋" w:cs="仿宋"/>
          <w:b/>
          <w:bCs/>
          <w:color w:val="333333"/>
          <w:sz w:val="32"/>
          <w:szCs w:val="32"/>
          <w:shd w:val="clear" w:color="auto" w:fill="FFFFFF"/>
        </w:rPr>
        <w:t>年部门预算表</w:t>
      </w:r>
    </w:p>
    <w:p>
      <w:pPr>
        <w:pStyle w:val="5"/>
        <w:widowControl/>
        <w:shd w:val="clear" w:color="auto" w:fill="FFFFFF"/>
        <w:spacing w:before="0" w:beforeAutospacing="0" w:after="0" w:afterAutospacing="0"/>
        <w:ind w:firstLine="640"/>
        <w:rPr>
          <w:rFonts w:cs="Calibri"/>
          <w:color w:val="333333"/>
          <w:sz w:val="21"/>
          <w:szCs w:val="21"/>
        </w:rPr>
      </w:pPr>
      <w:r>
        <w:rPr>
          <w:rFonts w:hint="eastAsia" w:ascii="仿宋" w:hAnsi="仿宋" w:eastAsia="仿宋" w:cs="仿宋"/>
          <w:color w:val="333333"/>
          <w:sz w:val="32"/>
          <w:szCs w:val="32"/>
          <w:shd w:val="clear" w:color="auto" w:fill="FFFFFF"/>
        </w:rPr>
        <w:t>（详见附表）</w:t>
      </w:r>
    </w:p>
    <w:p>
      <w:pPr>
        <w:pStyle w:val="5"/>
        <w:widowControl/>
        <w:shd w:val="clear" w:color="auto" w:fill="FFFFFF"/>
        <w:spacing w:before="0" w:beforeAutospacing="0" w:after="0" w:afterAutospacing="0"/>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w:t>
      </w:r>
    </w:p>
    <w:p>
      <w:pPr>
        <w:pStyle w:val="5"/>
        <w:widowControl/>
        <w:shd w:val="clear" w:color="auto" w:fill="FFFFFF"/>
        <w:spacing w:before="0" w:beforeAutospacing="0" w:after="0" w:afterAutospacing="0"/>
        <w:ind w:firstLine="640"/>
        <w:rPr>
          <w:rFonts w:hint="eastAsia" w:ascii="仿宋" w:hAnsi="仿宋" w:eastAsia="仿宋" w:cs="仿宋"/>
          <w:color w:val="333333"/>
          <w:sz w:val="32"/>
          <w:szCs w:val="32"/>
          <w:shd w:val="clear" w:color="auto" w:fill="FFFFFF"/>
        </w:rPr>
      </w:pPr>
    </w:p>
    <w:p>
      <w:pPr>
        <w:pStyle w:val="5"/>
        <w:widowControl/>
        <w:shd w:val="clear" w:color="auto" w:fill="FFFFFF"/>
        <w:spacing w:before="0" w:beforeAutospacing="0" w:after="0" w:afterAutospacing="0"/>
        <w:ind w:firstLine="640"/>
        <w:rPr>
          <w:rFonts w:cs="Calibri"/>
          <w:color w:val="333333"/>
          <w:sz w:val="21"/>
          <w:szCs w:val="21"/>
        </w:rPr>
      </w:pPr>
    </w:p>
    <w:p>
      <w:pPr>
        <w:pStyle w:val="5"/>
        <w:widowControl/>
        <w:shd w:val="clear" w:color="auto" w:fill="FFFFFF"/>
        <w:spacing w:before="0" w:beforeAutospacing="0" w:after="0" w:afterAutospacing="0" w:line="580" w:lineRule="atLeast"/>
        <w:jc w:val="center"/>
        <w:rPr>
          <w:rFonts w:cs="Calibri"/>
          <w:color w:val="333333"/>
          <w:sz w:val="21"/>
          <w:szCs w:val="21"/>
        </w:rPr>
      </w:pPr>
      <w:r>
        <w:rPr>
          <w:rFonts w:hint="eastAsia" w:ascii="仿宋" w:hAnsi="仿宋" w:eastAsia="仿宋" w:cs="仿宋"/>
          <w:b/>
          <w:bCs/>
          <w:color w:val="333333"/>
          <w:sz w:val="32"/>
          <w:szCs w:val="32"/>
          <w:shd w:val="clear" w:color="auto" w:fill="FFFFFF"/>
        </w:rPr>
        <w:t>第三部分  </w:t>
      </w:r>
      <w:r>
        <w:rPr>
          <w:rFonts w:hint="eastAsia" w:ascii="仿宋" w:hAnsi="仿宋" w:eastAsia="仿宋" w:cs="仿宋"/>
          <w:b/>
          <w:bCs/>
          <w:color w:val="333333"/>
          <w:sz w:val="32"/>
          <w:szCs w:val="32"/>
          <w:shd w:val="clear" w:color="auto" w:fill="FFFFFF"/>
          <w:lang w:eastAsia="zh-CN"/>
        </w:rPr>
        <w:t>余干县市场监督管理局2024</w:t>
      </w:r>
      <w:r>
        <w:rPr>
          <w:rFonts w:hint="eastAsia" w:ascii="仿宋" w:hAnsi="仿宋" w:eastAsia="仿宋" w:cs="仿宋"/>
          <w:b/>
          <w:bCs/>
          <w:color w:val="333333"/>
          <w:sz w:val="32"/>
          <w:szCs w:val="32"/>
          <w:shd w:val="clear" w:color="auto" w:fill="FFFFFF"/>
        </w:rPr>
        <w:t>年部门预算情况说明 </w:t>
      </w:r>
    </w:p>
    <w:p>
      <w:pPr>
        <w:pStyle w:val="5"/>
        <w:widowControl/>
        <w:shd w:val="clear" w:color="auto" w:fill="FFFFFF"/>
        <w:spacing w:before="0" w:beforeAutospacing="0" w:after="0" w:afterAutospacing="0" w:line="580" w:lineRule="atLeast"/>
        <w:rPr>
          <w:rFonts w:cs="Calibri"/>
          <w:color w:val="333333"/>
          <w:sz w:val="21"/>
          <w:szCs w:val="21"/>
        </w:rPr>
      </w:pPr>
      <w:r>
        <w:rPr>
          <w:rFonts w:ascii="楷体" w:hAnsi="楷体" w:eastAsia="楷体" w:cs="楷体"/>
          <w:b/>
          <w:bCs/>
          <w:color w:val="333333"/>
          <w:sz w:val="32"/>
          <w:szCs w:val="32"/>
          <w:shd w:val="clear" w:color="auto" w:fill="FFFFFF"/>
        </w:rPr>
        <w:t>一、</w:t>
      </w:r>
      <w:r>
        <w:rPr>
          <w:rFonts w:hint="eastAsia" w:ascii="楷体" w:hAnsi="楷体" w:eastAsia="楷体" w:cs="楷体"/>
          <w:b/>
          <w:bCs/>
          <w:color w:val="333333"/>
          <w:sz w:val="32"/>
          <w:szCs w:val="32"/>
          <w:shd w:val="clear" w:color="auto" w:fill="FFFFFF"/>
          <w:lang w:eastAsia="zh-CN"/>
        </w:rPr>
        <w:t>2024</w:t>
      </w:r>
      <w:r>
        <w:rPr>
          <w:rFonts w:hint="eastAsia" w:ascii="楷体" w:hAnsi="楷体" w:eastAsia="楷体" w:cs="楷体"/>
          <w:b/>
          <w:bCs/>
          <w:color w:val="333333"/>
          <w:sz w:val="32"/>
          <w:szCs w:val="32"/>
          <w:shd w:val="clear" w:color="auto" w:fill="FFFFFF"/>
        </w:rPr>
        <w:t>年部门预算收支情况说明</w:t>
      </w:r>
    </w:p>
    <w:p>
      <w:pPr>
        <w:pStyle w:val="5"/>
        <w:widowControl/>
        <w:shd w:val="clear" w:color="auto" w:fill="FFFFFF"/>
        <w:spacing w:before="0" w:beforeAutospacing="0" w:after="0" w:afterAutospacing="0"/>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 (一)收入预算情况</w:t>
      </w:r>
    </w:p>
    <w:p>
      <w:pPr>
        <w:pStyle w:val="5"/>
        <w:widowControl/>
        <w:shd w:val="clear" w:color="auto" w:fill="FFFFFF"/>
        <w:spacing w:before="0" w:beforeAutospacing="0" w:after="0" w:afterAutospacing="0"/>
        <w:ind w:firstLine="640"/>
        <w:jc w:val="both"/>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收入预算总额为3238.05万元,较上年预算安排减少347.06万元，其中：财政拨款收入3069.54万元,较上年预算安排减少316.06万元；其他收入1000万元，较上年预算安排增加100万元；上年结余68.51万元，较上年减少131.01万元。</w:t>
      </w:r>
    </w:p>
    <w:p>
      <w:pPr>
        <w:pStyle w:val="5"/>
        <w:widowControl/>
        <w:shd w:val="clear" w:color="auto" w:fill="FFFFFF"/>
        <w:spacing w:before="0" w:beforeAutospacing="0" w:after="0" w:afterAutospacing="0"/>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 (二)支出预算情况</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2024年余干县市场监督管理局支出预算总额为3238.05万元,较上年预算安排减少347.06万元。其中：</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按支出项目类别划分：基本支出2740.08万元,较上年预算安排减少242.52万元，其中：工资福利支出2428.42万元,商品和服务支出239.18万元,对个人和家庭的补助7.48万元,资本性支出65万元。项目支出447.97万元,较上年预算安排减少154.55万元，其中：商品和服务支出333.23万元，资本性支出64.28万元；对企业补助支出50.46万元。</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按支出功能科目划分：一般公共服务支出3187.59万元,较上年预算安排减少394.52万元；科学技术支出3万元,较上年预算安排无变化；商业服务业等支出47.46万元，较上年预算安排增加47.46万元。</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按支出经济分类划分：工资福利支出2428.42万元,较上年预算安排减少198.77万元;商品和服务支出572.41万元,较上年预算安排减少191.72万元;对个人和家庭的补助7.48万元,较上年预算安排减少3.86万元;资本性支出229.74万元,较上年预算安排增加52.74万元。</w:t>
      </w:r>
    </w:p>
    <w:p>
      <w:pPr>
        <w:pStyle w:val="5"/>
        <w:widowControl/>
        <w:shd w:val="clear" w:color="auto" w:fill="FFFFFF"/>
        <w:spacing w:before="0" w:beforeAutospacing="0" w:after="0" w:afterAutospacing="0"/>
        <w:ind w:firstLine="321"/>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 (三)财政拨款支出情况</w:t>
      </w:r>
    </w:p>
    <w:p>
      <w:pPr>
        <w:pStyle w:val="5"/>
        <w:widowControl/>
        <w:shd w:val="clear" w:color="auto" w:fill="FFFFFF"/>
        <w:spacing w:before="0" w:beforeAutospacing="0" w:after="0" w:afterAutospacing="0"/>
        <w:ind w:firstLine="640"/>
        <w:jc w:val="both"/>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2024年余干县市场监督管理局财政拨款支出预算总额为3069.54万元,较上年预算安排减少316.06万元。其中：</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按支出功能科目划分：一般公共服务支出3022.08 万元,较上年预算安排减少362.52万元；商业服务业等支出47.46万元，较上年预算安排增加47.46万元。</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按支出项目类别划分：基本支出2740.08万元,较上年预算安排减少242.52万元，其中：工资福利支出2428.42万元,商品和服务支出239.18万元,对个人和家庭的补助7.48万元,资本性支出65万元。项目支出329.46万元，较上年预算安排减少73.54万元，其中：商品和服务支出219万元，资本性支出63万元，对企业补助47.46万元。</w:t>
      </w:r>
    </w:p>
    <w:p>
      <w:pPr>
        <w:pStyle w:val="5"/>
        <w:widowControl/>
        <w:shd w:val="clear" w:color="auto" w:fill="FFFFFF"/>
        <w:spacing w:before="0" w:beforeAutospacing="0" w:after="0" w:afterAutospacing="0"/>
        <w:ind w:firstLine="321"/>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(四)政府性基金情况</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2024年余干县市场监督管理局没有使用政府性基金预算拨款安排的支出。</w:t>
      </w:r>
    </w:p>
    <w:p>
      <w:pPr>
        <w:pStyle w:val="5"/>
        <w:widowControl/>
        <w:shd w:val="clear" w:color="auto" w:fill="FFFFFF"/>
        <w:spacing w:before="0" w:beforeAutospacing="0" w:after="0" w:afterAutospacing="0"/>
        <w:ind w:firstLine="643"/>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（五）国有资本经营情况</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2024年余干县市场监督管理局没有使用国有资本经营预算拨款安排的支出。</w:t>
      </w:r>
    </w:p>
    <w:p>
      <w:pPr>
        <w:pStyle w:val="5"/>
        <w:widowControl/>
        <w:shd w:val="clear" w:color="auto" w:fill="FFFFFF"/>
        <w:spacing w:before="0" w:beforeAutospacing="0" w:after="0" w:afterAutospacing="0"/>
        <w:ind w:firstLine="643"/>
        <w:jc w:val="both"/>
        <w:rPr>
          <w:rFonts w:ascii="Adobe 仿宋 Std R" w:hAnsi="Adobe 仿宋 Std R" w:eastAsia="Adobe 仿宋 Std R" w:cs="Adobe 仿宋 Std R"/>
          <w:b/>
          <w:bCs/>
          <w:color w:val="333333"/>
          <w:sz w:val="32"/>
          <w:szCs w:val="32"/>
          <w:shd w:val="clear" w:color="auto" w:fill="FFFFFF"/>
        </w:rPr>
      </w:pPr>
      <w:r>
        <w:rPr>
          <w:rFonts w:hint="eastAsia" w:ascii="宋体" w:hAnsi="宋体" w:cs="宋体"/>
          <w:b/>
          <w:bCs/>
          <w:color w:val="333333"/>
          <w:sz w:val="32"/>
          <w:szCs w:val="32"/>
          <w:shd w:val="clear" w:color="auto" w:fill="FFFFFF"/>
        </w:rPr>
        <w:t> </w:t>
      </w:r>
      <w:r>
        <w:rPr>
          <w:rFonts w:ascii="Adobe 仿宋 Std R" w:hAnsi="Adobe 仿宋 Std R" w:eastAsia="Adobe 仿宋 Std R" w:cs="Adobe 仿宋 Std R"/>
          <w:b/>
          <w:bCs/>
          <w:color w:val="333333"/>
          <w:sz w:val="32"/>
          <w:szCs w:val="32"/>
          <w:shd w:val="clear" w:color="auto" w:fill="FFFFFF"/>
        </w:rPr>
        <w:t>(六)机关运行经费等重要事项的说明</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2024年部门机关运行费预算239.18万元，比2023年预算安排增加32.11万元，增长15.51%。</w:t>
      </w:r>
    </w:p>
    <w:p>
      <w:pPr>
        <w:pStyle w:val="5"/>
        <w:widowControl/>
        <w:shd w:val="clear" w:color="auto" w:fill="FFFFFF"/>
        <w:spacing w:before="0" w:beforeAutospacing="0" w:after="0" w:afterAutospacing="0"/>
        <w:ind w:firstLine="640"/>
        <w:jc w:val="both"/>
        <w:rPr>
          <w:rFonts w:hint="eastAsia" w:ascii="仿宋_GB2312" w:hAnsi="微软雅黑" w:eastAsia="仿宋_GB2312" w:cs="仿宋_GB2312"/>
          <w:color w:val="000000"/>
          <w:kern w:val="0"/>
          <w:sz w:val="31"/>
          <w:szCs w:val="31"/>
          <w:shd w:val="clear" w:color="auto" w:fill="FFFFFF"/>
          <w:lang w:val="en-US" w:eastAsia="zh-CN" w:bidi="ar-SA"/>
        </w:rPr>
      </w:pPr>
      <w:r>
        <w:drawing>
          <wp:inline distT="0" distB="0" distL="114300" distR="114300">
            <wp:extent cx="4438650" cy="5191125"/>
            <wp:effectExtent l="0" t="0" r="0" b="952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5"/>
                    <a:stretch>
                      <a:fillRect/>
                    </a:stretch>
                  </pic:blipFill>
                  <pic:spPr>
                    <a:xfrm>
                      <a:off x="0" y="0"/>
                      <a:ext cx="4438650" cy="5191125"/>
                    </a:xfrm>
                    <a:prstGeom prst="rect">
                      <a:avLst/>
                    </a:prstGeom>
                    <a:noFill/>
                    <a:ln>
                      <a:noFill/>
                    </a:ln>
                  </pic:spPr>
                </pic:pic>
              </a:graphicData>
            </a:graphic>
          </wp:inline>
        </w:drawing>
      </w:r>
    </w:p>
    <w:p>
      <w:pPr>
        <w:pStyle w:val="5"/>
        <w:widowControl/>
        <w:shd w:val="clear" w:color="auto" w:fill="FFFFFF"/>
        <w:spacing w:before="0" w:beforeAutospacing="0" w:after="0" w:afterAutospacing="0"/>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(七)政府采购情况</w:t>
      </w:r>
    </w:p>
    <w:p>
      <w:pPr>
        <w:pStyle w:val="5"/>
        <w:widowControl/>
        <w:shd w:val="clear" w:color="auto" w:fill="FFFFFF"/>
        <w:spacing w:before="0" w:beforeAutospacing="0" w:after="0" w:afterAutospacing="0"/>
        <w:jc w:val="both"/>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宋体" w:hAnsi="宋体" w:cs="宋体"/>
          <w:b/>
          <w:bCs/>
          <w:color w:val="333333"/>
          <w:sz w:val="32"/>
          <w:szCs w:val="32"/>
          <w:shd w:val="clear" w:color="auto" w:fill="FFFFFF"/>
        </w:rPr>
        <w:t>  </w:t>
      </w:r>
      <w:r>
        <w:rPr>
          <w:rFonts w:ascii="Adobe 仿宋 Std R" w:hAnsi="Adobe 仿宋 Std R" w:eastAsia="Adobe 仿宋 Std R" w:cs="Adobe 仿宋 Std R"/>
          <w:color w:val="333333"/>
          <w:sz w:val="21"/>
          <w:szCs w:val="21"/>
          <w:shd w:val="clear" w:color="auto" w:fill="FFFFFF"/>
        </w:rPr>
        <w:t> </w:t>
      </w:r>
      <w:r>
        <w:rPr>
          <w:rFonts w:hint="eastAsia" w:ascii="仿宋_GB2312" w:hAnsi="微软雅黑" w:eastAsia="仿宋_GB2312" w:cs="仿宋_GB2312"/>
          <w:color w:val="000000"/>
          <w:kern w:val="0"/>
          <w:sz w:val="31"/>
          <w:szCs w:val="31"/>
          <w:shd w:val="clear" w:color="auto" w:fill="FFFFFF"/>
          <w:lang w:val="en-US" w:eastAsia="zh-CN" w:bidi="ar-SA"/>
        </w:rPr>
        <w:t> 2024年部门所属各单位政府采购总额252.50万元,其中: 政府采购货物预算78万元, 政府采购工程预算0万元, 政府采购服务预算174.50万元。</w:t>
      </w:r>
    </w:p>
    <w:p>
      <w:pPr>
        <w:pStyle w:val="5"/>
        <w:widowControl/>
        <w:shd w:val="clear" w:color="auto" w:fill="FFFFFF"/>
        <w:spacing w:before="0" w:beforeAutospacing="0" w:after="0" w:afterAutospacing="0"/>
        <w:ind w:firstLine="810" w:firstLineChars="252"/>
        <w:jc w:val="both"/>
        <w:rPr>
          <w:rFonts w:cs="Calibri"/>
          <w:color w:val="333333"/>
          <w:sz w:val="21"/>
          <w:szCs w:val="21"/>
        </w:rPr>
      </w:pPr>
      <w:r>
        <w:rPr>
          <w:rFonts w:ascii="Adobe 仿宋 Std R" w:hAnsi="Adobe 仿宋 Std R" w:eastAsia="Adobe 仿宋 Std R" w:cs="Adobe 仿宋 Std R"/>
          <w:b/>
          <w:bCs/>
          <w:color w:val="333333"/>
          <w:sz w:val="32"/>
          <w:szCs w:val="32"/>
          <w:shd w:val="clear" w:color="auto" w:fill="FFFFFF"/>
        </w:rPr>
        <w:t>(八)国有资产占有使用情况</w:t>
      </w:r>
    </w:p>
    <w:p>
      <w:pPr>
        <w:widowControl/>
        <w:spacing w:line="580" w:lineRule="exact"/>
        <w:ind w:firstLine="775" w:firstLineChars="250"/>
        <w:jc w:val="left"/>
        <w:rPr>
          <w:rFonts w:hint="eastAsia" w:ascii="仿宋_GB2312" w:eastAsia="仿宋_GB2312"/>
          <w:sz w:val="32"/>
          <w:szCs w:val="30"/>
          <w:u w:val="none"/>
        </w:rPr>
      </w:pPr>
      <w:r>
        <w:rPr>
          <w:rFonts w:hint="eastAsia" w:ascii="仿宋_GB2312" w:hAnsi="微软雅黑" w:eastAsia="仿宋_GB2312" w:cs="仿宋_GB2312"/>
          <w:color w:val="000000"/>
          <w:kern w:val="0"/>
          <w:sz w:val="31"/>
          <w:szCs w:val="31"/>
          <w:u w:val="none"/>
          <w:shd w:val="clear" w:color="auto" w:fill="FFFFFF"/>
          <w:lang w:val="en-US" w:eastAsia="zh-CN" w:bidi="ar-SA"/>
        </w:rPr>
        <w:t>截至2023年9月30日，部门共有车辆</w:t>
      </w:r>
      <w:r>
        <w:rPr>
          <w:rFonts w:hint="eastAsia" w:ascii="仿宋_GB2312" w:eastAsia="仿宋_GB2312"/>
          <w:sz w:val="32"/>
          <w:szCs w:val="30"/>
          <w:u w:val="none"/>
          <w:lang w:val="en-US" w:eastAsia="zh-CN"/>
        </w:rPr>
        <w:t>12</w:t>
      </w:r>
      <w:r>
        <w:rPr>
          <w:rFonts w:hint="eastAsia" w:ascii="仿宋_GB2312" w:hAnsi="微软雅黑" w:eastAsia="仿宋_GB2312" w:cs="仿宋_GB2312"/>
          <w:color w:val="000000"/>
          <w:kern w:val="0"/>
          <w:sz w:val="31"/>
          <w:szCs w:val="31"/>
          <w:u w:val="none"/>
          <w:shd w:val="clear" w:color="auto" w:fill="FFFFFF"/>
          <w:lang w:val="en-US" w:eastAsia="zh-CN" w:bidi="ar-SA"/>
        </w:rPr>
        <w:t>辆，其中：一般公务用车</w:t>
      </w:r>
      <w:r>
        <w:rPr>
          <w:rFonts w:hint="eastAsia" w:ascii="仿宋_GB2312" w:eastAsia="仿宋_GB2312"/>
          <w:sz w:val="32"/>
          <w:szCs w:val="30"/>
          <w:u w:val="none"/>
          <w:lang w:val="en-US" w:eastAsia="zh-CN"/>
        </w:rPr>
        <w:t>0</w:t>
      </w:r>
      <w:r>
        <w:rPr>
          <w:rFonts w:hint="eastAsia" w:ascii="仿宋_GB2312" w:hAnsi="微软雅黑" w:eastAsia="仿宋_GB2312" w:cs="仿宋_GB2312"/>
          <w:color w:val="000000"/>
          <w:kern w:val="0"/>
          <w:sz w:val="31"/>
          <w:szCs w:val="31"/>
          <w:u w:val="none"/>
          <w:shd w:val="clear" w:color="auto" w:fill="FFFFFF"/>
          <w:lang w:val="en-US" w:eastAsia="zh-CN" w:bidi="ar-SA"/>
        </w:rPr>
        <w:t>辆，执法执勤用车</w:t>
      </w:r>
      <w:r>
        <w:rPr>
          <w:rFonts w:hint="eastAsia" w:ascii="仿宋_GB2312" w:eastAsia="仿宋_GB2312"/>
          <w:sz w:val="32"/>
          <w:szCs w:val="30"/>
          <w:u w:val="none"/>
          <w:lang w:val="en-US" w:eastAsia="zh-CN"/>
        </w:rPr>
        <w:t>11</w:t>
      </w:r>
      <w:r>
        <w:rPr>
          <w:rFonts w:hint="eastAsia" w:ascii="仿宋_GB2312" w:hAnsi="微软雅黑" w:eastAsia="仿宋_GB2312" w:cs="仿宋_GB2312"/>
          <w:color w:val="000000"/>
          <w:kern w:val="0"/>
          <w:sz w:val="31"/>
          <w:szCs w:val="31"/>
          <w:u w:val="none"/>
          <w:shd w:val="clear" w:color="auto" w:fill="FFFFFF"/>
          <w:lang w:val="en-US" w:eastAsia="zh-CN" w:bidi="ar-SA"/>
        </w:rPr>
        <w:t>辆，特种专业技术用车1辆</w:t>
      </w:r>
      <w:r>
        <w:rPr>
          <w:rFonts w:hint="eastAsia" w:ascii="仿宋_GB2312" w:eastAsia="仿宋_GB2312"/>
          <w:sz w:val="32"/>
          <w:szCs w:val="30"/>
          <w:u w:val="none"/>
        </w:rPr>
        <w:t>。</w:t>
      </w:r>
    </w:p>
    <w:p>
      <w:pPr>
        <w:widowControl/>
        <w:spacing w:line="580" w:lineRule="exact"/>
        <w:ind w:firstLine="775" w:firstLineChars="250"/>
        <w:jc w:val="left"/>
        <w:rPr>
          <w:rFonts w:hint="eastAsia" w:ascii="仿宋_GB2312" w:eastAsia="仿宋_GB2312"/>
          <w:sz w:val="32"/>
          <w:szCs w:val="30"/>
        </w:rPr>
      </w:pPr>
      <w:r>
        <w:rPr>
          <w:rFonts w:hint="eastAsia" w:ascii="仿宋_GB2312" w:hAnsi="微软雅黑" w:eastAsia="仿宋_GB2312" w:cs="仿宋_GB2312"/>
          <w:color w:val="000000"/>
          <w:kern w:val="0"/>
          <w:sz w:val="31"/>
          <w:szCs w:val="31"/>
          <w:u w:val="none"/>
          <w:shd w:val="clear" w:color="auto" w:fill="FFFFFF"/>
          <w:lang w:val="en-US" w:eastAsia="zh-CN" w:bidi="ar-SA"/>
        </w:rPr>
        <w:t>2024年部门预算安排购置车辆</w:t>
      </w:r>
      <w:r>
        <w:rPr>
          <w:rFonts w:hint="eastAsia" w:ascii="仿宋_GB2312" w:eastAsia="仿宋_GB2312"/>
          <w:sz w:val="32"/>
          <w:szCs w:val="30"/>
          <w:u w:val="none"/>
          <w:lang w:val="en-US" w:eastAsia="zh-CN"/>
        </w:rPr>
        <w:t>3</w:t>
      </w:r>
      <w:r>
        <w:rPr>
          <w:rFonts w:hint="eastAsia" w:ascii="仿宋_GB2312" w:hAnsi="微软雅黑" w:eastAsia="仿宋_GB2312" w:cs="仿宋_GB2312"/>
          <w:color w:val="000000"/>
          <w:kern w:val="0"/>
          <w:sz w:val="31"/>
          <w:szCs w:val="31"/>
          <w:u w:val="none"/>
          <w:shd w:val="clear" w:color="auto" w:fill="FFFFFF"/>
          <w:lang w:val="en-US" w:eastAsia="zh-CN" w:bidi="ar-SA"/>
        </w:rPr>
        <w:t>辆，未安排</w:t>
      </w:r>
      <w:r>
        <w:rPr>
          <w:rFonts w:hint="eastAsia" w:ascii="仿宋_GB2312" w:hAnsi="微软雅黑" w:eastAsia="仿宋_GB2312" w:cs="仿宋_GB2312"/>
          <w:color w:val="000000"/>
          <w:kern w:val="0"/>
          <w:sz w:val="31"/>
          <w:szCs w:val="31"/>
          <w:shd w:val="clear" w:color="auto" w:fill="FFFFFF"/>
          <w:lang w:val="en-US" w:eastAsia="zh-CN" w:bidi="ar-SA"/>
        </w:rPr>
        <w:t>购置单位价值200万元以上大型设备</w:t>
      </w:r>
      <w:r>
        <w:rPr>
          <w:rFonts w:hint="eastAsia" w:ascii="仿宋_GB2312" w:eastAsia="仿宋_GB2312"/>
          <w:sz w:val="32"/>
          <w:szCs w:val="30"/>
        </w:rPr>
        <w:t>。</w:t>
      </w:r>
    </w:p>
    <w:p>
      <w:pPr>
        <w:pStyle w:val="5"/>
        <w:widowControl/>
        <w:shd w:val="clear" w:color="auto" w:fill="FFFFFF"/>
        <w:spacing w:before="0" w:beforeAutospacing="0" w:after="0" w:afterAutospacing="0"/>
        <w:ind w:firstLine="321"/>
        <w:jc w:val="both"/>
        <w:rPr>
          <w:rFonts w:ascii="Adobe 仿宋 Std R" w:hAnsi="Adobe 仿宋 Std R" w:eastAsia="Adobe 仿宋 Std R" w:cs="Adobe 仿宋 Std R"/>
          <w:b/>
          <w:bCs/>
          <w:color w:val="333333"/>
          <w:sz w:val="32"/>
          <w:szCs w:val="32"/>
          <w:shd w:val="clear" w:color="auto" w:fill="FFFFFF"/>
        </w:rPr>
      </w:pPr>
      <w:r>
        <w:rPr>
          <w:rFonts w:hint="eastAsia" w:ascii="Adobe 仿宋 Std R" w:hAnsi="Adobe 仿宋 Std R" w:eastAsia="Adobe 仿宋 Std R" w:cs="Adobe 仿宋 Std R"/>
          <w:b/>
          <w:bCs/>
          <w:color w:val="333333"/>
          <w:sz w:val="32"/>
          <w:szCs w:val="32"/>
          <w:shd w:val="clear" w:color="auto" w:fill="FFFFFF"/>
        </w:rPr>
        <w:t>（九）项目情况说明</w:t>
      </w:r>
    </w:p>
    <w:p>
      <w:pPr>
        <w:widowControl/>
        <w:spacing w:line="580" w:lineRule="exact"/>
        <w:ind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食品药品食品药品日常监管项目</w:t>
      </w:r>
    </w:p>
    <w:p>
      <w:pPr>
        <w:widowControl/>
        <w:numPr>
          <w:ilvl w:val="0"/>
          <w:numId w:val="1"/>
        </w:numPr>
        <w:spacing w:line="580" w:lineRule="exact"/>
        <w:ind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项目概述</w:t>
      </w:r>
    </w:p>
    <w:p>
      <w:pPr>
        <w:widowControl/>
        <w:spacing w:line="580" w:lineRule="exact"/>
        <w:ind w:firstLine="800" w:firstLineChars="250"/>
        <w:jc w:val="left"/>
        <w:rPr>
          <w:rFonts w:hint="default" w:ascii="仿宋_GB2312" w:hAnsi="微软雅黑" w:eastAsia="仿宋_GB2312" w:cs="仿宋_GB2312"/>
          <w:color w:val="000000"/>
          <w:kern w:val="0"/>
          <w:sz w:val="31"/>
          <w:szCs w:val="31"/>
          <w:shd w:val="clear" w:color="auto" w:fill="FFFFFF"/>
          <w:lang w:val="en-US" w:eastAsia="zh-CN" w:bidi="ar-SA"/>
        </w:rPr>
      </w:pPr>
      <w:r>
        <w:rPr>
          <w:rFonts w:ascii="仿宋" w:hAnsi="仿宋" w:eastAsia="仿宋" w:cs="仿宋"/>
          <w:sz w:val="32"/>
          <w:szCs w:val="32"/>
        </w:rPr>
        <w:t>坚决落实</w:t>
      </w:r>
      <w:r>
        <w:rPr>
          <w:rFonts w:hint="eastAsia" w:ascii="仿宋" w:hAnsi="仿宋" w:eastAsia="仿宋" w:cs="仿宋"/>
          <w:sz w:val="32"/>
          <w:szCs w:val="32"/>
        </w:rPr>
        <w:t>“四个最严”，紧抓防控食品</w:t>
      </w:r>
      <w:r>
        <w:rPr>
          <w:rFonts w:hint="eastAsia" w:ascii="仿宋" w:hAnsi="仿宋" w:eastAsia="仿宋" w:cs="仿宋"/>
          <w:sz w:val="32"/>
          <w:szCs w:val="32"/>
          <w:lang w:val="en-US" w:eastAsia="zh-CN"/>
        </w:rPr>
        <w:t>药品</w:t>
      </w:r>
      <w:r>
        <w:rPr>
          <w:rFonts w:hint="eastAsia" w:ascii="仿宋" w:hAnsi="仿宋" w:eastAsia="仿宋" w:cs="仿宋"/>
          <w:sz w:val="32"/>
          <w:szCs w:val="32"/>
        </w:rPr>
        <w:t>安全风险主线，夯实企业主体责任和属地监管责任，加大重点区域、重点产品、重点问题、重点对象的整治力度，着力构建严密高效的食品</w:t>
      </w:r>
      <w:r>
        <w:rPr>
          <w:rFonts w:hint="eastAsia" w:ascii="仿宋" w:hAnsi="仿宋" w:eastAsia="仿宋" w:cs="仿宋"/>
          <w:sz w:val="32"/>
          <w:szCs w:val="32"/>
          <w:lang w:val="en-US" w:eastAsia="zh-CN"/>
        </w:rPr>
        <w:t>药品</w:t>
      </w:r>
      <w:r>
        <w:rPr>
          <w:rFonts w:hint="eastAsia" w:ascii="仿宋" w:hAnsi="仿宋" w:eastAsia="仿宋" w:cs="仿宋"/>
          <w:sz w:val="32"/>
          <w:szCs w:val="32"/>
        </w:rPr>
        <w:t>监管体系，筑牢食品安全防线，全力保障人民群众“舌尖上的安全”。</w:t>
      </w:r>
      <w:r>
        <w:rPr>
          <w:rFonts w:hint="default" w:ascii="仿宋_GB2312" w:hAnsi="微软雅黑" w:eastAsia="仿宋_GB2312" w:cs="仿宋_GB2312"/>
          <w:color w:val="000000"/>
          <w:kern w:val="0"/>
          <w:sz w:val="31"/>
          <w:szCs w:val="31"/>
          <w:shd w:val="clear" w:color="auto" w:fill="FFFFFF"/>
          <w:lang w:val="en-US" w:eastAsia="zh-CN" w:bidi="ar-SA"/>
        </w:rPr>
        <w:t>将监督检验与日常监管紧密结合，精心组织实施，通过抽验工作发现问题产品和安全隐患，并对监督抽检中不合格产品依法进行查处。</w:t>
      </w:r>
    </w:p>
    <w:p>
      <w:pPr>
        <w:widowControl/>
        <w:numPr>
          <w:ilvl w:val="0"/>
          <w:numId w:val="2"/>
        </w:numPr>
        <w:spacing w:line="580" w:lineRule="exact"/>
        <w:ind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立项依据</w:t>
      </w:r>
    </w:p>
    <w:p>
      <w:pPr>
        <w:widowControl/>
        <w:numPr>
          <w:numId w:val="0"/>
        </w:numPr>
        <w:spacing w:line="580" w:lineRule="exact"/>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 xml:space="preserve">     《食品安全法》、《食品安全抽样检测管理办法》（国家食品药品监督管理总局令第11号）、《江西省食品安全监督抽检和风险检测工作规范（试行）》、《药品管理法》</w:t>
      </w:r>
    </w:p>
    <w:p>
      <w:pPr>
        <w:widowControl/>
        <w:numPr>
          <w:ilvl w:val="0"/>
          <w:numId w:val="2"/>
        </w:numPr>
        <w:spacing w:line="580" w:lineRule="exact"/>
        <w:ind w:left="0" w:leftChars="0"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实施主体：余干县市场监督管理局</w:t>
      </w:r>
    </w:p>
    <w:p>
      <w:pPr>
        <w:widowControl/>
        <w:numPr>
          <w:ilvl w:val="0"/>
          <w:numId w:val="2"/>
        </w:numPr>
        <w:spacing w:line="580" w:lineRule="exact"/>
        <w:ind w:left="0" w:leftChars="0" w:firstLine="775" w:firstLineChars="250"/>
        <w:jc w:val="left"/>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实施方案：按照省市局统一部署对不同种类食品药品开展安全抽检，</w:t>
      </w:r>
      <w:r>
        <w:rPr>
          <w:rFonts w:hint="default" w:ascii="仿宋_GB2312" w:hAnsi="微软雅黑" w:eastAsia="仿宋_GB2312" w:cs="仿宋_GB2312"/>
          <w:color w:val="000000"/>
          <w:kern w:val="0"/>
          <w:sz w:val="31"/>
          <w:szCs w:val="31"/>
          <w:shd w:val="clear" w:color="auto" w:fill="FFFFFF"/>
          <w:lang w:val="en-US" w:eastAsia="zh-CN" w:bidi="ar-SA"/>
        </w:rPr>
        <w:t>通过抽验工作发现问题产品和安全隐患</w:t>
      </w:r>
      <w:r>
        <w:rPr>
          <w:rFonts w:hint="eastAsia" w:ascii="仿宋_GB2312" w:hAnsi="微软雅黑" w:eastAsia="仿宋_GB2312" w:cs="仿宋_GB2312"/>
          <w:color w:val="000000"/>
          <w:kern w:val="0"/>
          <w:sz w:val="31"/>
          <w:szCs w:val="31"/>
          <w:shd w:val="clear" w:color="auto" w:fill="FFFFFF"/>
          <w:lang w:val="en-US" w:eastAsia="zh-CN" w:bidi="ar-SA"/>
        </w:rPr>
        <w:t>；</w:t>
      </w:r>
    </w:p>
    <w:p>
      <w:pPr>
        <w:widowControl/>
        <w:numPr>
          <w:numId w:val="0"/>
        </w:numPr>
        <w:spacing w:line="580" w:lineRule="exact"/>
        <w:ind w:firstLine="620" w:firstLineChars="200"/>
        <w:jc w:val="left"/>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召开全县食安委全体会议，深化党政责任落实。构建权责清晰、分层分级的属地管理责任体系，推动地方各级党政领导干部按照食品安全工作责任清单照单履责；</w:t>
      </w:r>
    </w:p>
    <w:p>
      <w:pPr>
        <w:widowControl/>
        <w:numPr>
          <w:numId w:val="0"/>
        </w:numPr>
        <w:spacing w:line="580" w:lineRule="exact"/>
        <w:ind w:firstLine="620" w:firstLineChars="200"/>
        <w:jc w:val="left"/>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开展日常监督检查，对辖区内食品生产企业开展监督检查，对风险等级为A级、B级的企业可以采取“双随机、一公开”的方式实施检查，对风险等级为C级、D级的企业实施重点监督检查。督促企业制定食品安全风险管控清单，建立食品安全风险防控机制，从严加强卫生管理、持续保持生产条件、严格落实检验制度，确实提高风险防控能力，依法履行食品安全各项责任；</w:t>
      </w:r>
    </w:p>
    <w:p>
      <w:pPr>
        <w:widowControl/>
        <w:spacing w:line="580" w:lineRule="exact"/>
        <w:ind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开展专项检查，按照省市局专项整治工作部署，结合风险排查和日常检查，县局相关科室和各分局结合实际对专项治理工作事项开展专项检查。</w:t>
      </w:r>
    </w:p>
    <w:p>
      <w:pPr>
        <w:widowControl/>
        <w:numPr>
          <w:ilvl w:val="0"/>
          <w:numId w:val="2"/>
        </w:numPr>
        <w:spacing w:line="580" w:lineRule="exact"/>
        <w:ind w:left="0" w:leftChars="0" w:firstLine="775" w:firstLineChars="250"/>
        <w:jc w:val="left"/>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实施周期：2024年度</w:t>
      </w:r>
    </w:p>
    <w:p>
      <w:pPr>
        <w:widowControl/>
        <w:numPr>
          <w:ilvl w:val="0"/>
          <w:numId w:val="2"/>
        </w:numPr>
        <w:spacing w:line="580" w:lineRule="exact"/>
        <w:ind w:left="0" w:leftChars="0" w:firstLine="775" w:firstLineChars="250"/>
        <w:jc w:val="left"/>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年度预算安排：120.5万元</w:t>
      </w:r>
    </w:p>
    <w:p>
      <w:pPr>
        <w:pStyle w:val="5"/>
        <w:widowControl/>
        <w:shd w:val="clear" w:color="auto" w:fill="FFFFFF"/>
        <w:spacing w:before="0" w:beforeAutospacing="0" w:after="0" w:afterAutospacing="0"/>
        <w:ind w:firstLine="930" w:firstLineChars="300"/>
        <w:rPr>
          <w:rFonts w:hint="default"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7、项目绩效目标：</w:t>
      </w:r>
      <w:r>
        <w:rPr>
          <w:rFonts w:hint="eastAsia" w:ascii="仿宋_GB2312" w:hAnsi="微软雅黑" w:eastAsia="仿宋_GB2312" w:cs="仿宋_GB2312"/>
          <w:color w:val="000000"/>
          <w:kern w:val="0"/>
          <w:sz w:val="31"/>
          <w:szCs w:val="31"/>
          <w:shd w:val="clear" w:color="auto" w:fill="FFFFFF"/>
          <w:lang w:val="en-US" w:eastAsia="zh-CN" w:bidi="ar-SA"/>
        </w:rPr>
        <w:t>（详见附表）</w:t>
      </w:r>
    </w:p>
    <w:p>
      <w:pPr>
        <w:pStyle w:val="5"/>
        <w:widowControl/>
        <w:shd w:val="clear" w:color="auto" w:fill="FFFFFF"/>
        <w:spacing w:before="0" w:beforeAutospacing="0" w:after="0" w:afterAutospacing="0" w:line="580" w:lineRule="atLeast"/>
        <w:ind w:firstLine="361" w:firstLineChars="100"/>
        <w:rPr>
          <w:rFonts w:cs="Calibri"/>
          <w:color w:val="333333"/>
          <w:sz w:val="36"/>
          <w:szCs w:val="36"/>
        </w:rPr>
      </w:pPr>
      <w:r>
        <w:rPr>
          <w:rFonts w:hint="eastAsia" w:ascii="楷体" w:hAnsi="楷体" w:eastAsia="楷体" w:cs="楷体"/>
          <w:b/>
          <w:bCs/>
          <w:color w:val="333333"/>
          <w:sz w:val="36"/>
          <w:szCs w:val="36"/>
          <w:shd w:val="clear" w:color="auto" w:fill="FFFFFF"/>
        </w:rPr>
        <w:t>二、</w:t>
      </w:r>
      <w:r>
        <w:rPr>
          <w:rFonts w:hint="eastAsia" w:ascii="楷体" w:hAnsi="楷体" w:eastAsia="楷体" w:cs="楷体"/>
          <w:b/>
          <w:bCs/>
          <w:color w:val="333333"/>
          <w:sz w:val="36"/>
          <w:szCs w:val="36"/>
          <w:shd w:val="clear" w:color="auto" w:fill="FFFFFF"/>
          <w:lang w:eastAsia="zh-CN"/>
        </w:rPr>
        <w:t>2024</w:t>
      </w:r>
      <w:r>
        <w:rPr>
          <w:rFonts w:hint="eastAsia" w:ascii="楷体" w:hAnsi="楷体" w:eastAsia="楷体" w:cs="楷体"/>
          <w:b/>
          <w:bCs/>
          <w:color w:val="333333"/>
          <w:sz w:val="36"/>
          <w:szCs w:val="36"/>
          <w:shd w:val="clear" w:color="auto" w:fill="FFFFFF"/>
        </w:rPr>
        <w:t>年“三公</w:t>
      </w:r>
      <w:r>
        <w:rPr>
          <w:rFonts w:cs="Calibri"/>
          <w:b/>
          <w:bCs/>
          <w:color w:val="333333"/>
          <w:sz w:val="36"/>
          <w:szCs w:val="36"/>
          <w:shd w:val="clear" w:color="auto" w:fill="FFFFFF"/>
        </w:rPr>
        <w:t>”</w:t>
      </w:r>
      <w:r>
        <w:rPr>
          <w:rFonts w:hint="eastAsia" w:ascii="楷体" w:hAnsi="楷体" w:eastAsia="楷体" w:cs="楷体"/>
          <w:b/>
          <w:bCs/>
          <w:color w:val="333333"/>
          <w:sz w:val="36"/>
          <w:szCs w:val="36"/>
          <w:shd w:val="clear" w:color="auto" w:fill="FFFFFF"/>
        </w:rPr>
        <w:t>经费预算情况说明</w:t>
      </w:r>
    </w:p>
    <w:p>
      <w:pPr>
        <w:pStyle w:val="5"/>
        <w:widowControl/>
        <w:shd w:val="clear" w:color="auto" w:fill="FFFFFF"/>
        <w:spacing w:before="0" w:beforeAutospacing="0" w:after="0" w:afterAutospacing="0"/>
        <w:ind w:firstLine="640"/>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2024年余干县市场监督管理局"三公"经费一般公共预算安排83.80万元，其中：</w:t>
      </w:r>
    </w:p>
    <w:p>
      <w:pPr>
        <w:pStyle w:val="5"/>
        <w:widowControl/>
        <w:shd w:val="clear" w:color="auto" w:fill="FFFFFF"/>
        <w:spacing w:before="0" w:beforeAutospacing="0" w:after="0" w:afterAutospacing="0"/>
        <w:ind w:firstLine="640"/>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因公出国0万元,比上年增0万元，主要原因是：无因公出国支出安排。</w:t>
      </w:r>
    </w:p>
    <w:p>
      <w:pPr>
        <w:pStyle w:val="5"/>
        <w:widowControl/>
        <w:shd w:val="clear" w:color="auto" w:fill="FFFFFF"/>
        <w:spacing w:before="0" w:beforeAutospacing="0" w:after="0" w:afterAutospacing="0"/>
        <w:ind w:firstLine="640"/>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公务接待18.50万元,较上年无变化。</w:t>
      </w:r>
    </w:p>
    <w:p>
      <w:pPr>
        <w:pStyle w:val="5"/>
        <w:widowControl/>
        <w:shd w:val="clear" w:color="auto" w:fill="FFFFFF"/>
        <w:spacing w:before="0" w:beforeAutospacing="0" w:after="0" w:afterAutospacing="0"/>
        <w:ind w:firstLine="640"/>
        <w:rPr>
          <w:rFonts w:hint="eastAsia" w:ascii="仿宋_GB2312" w:hAnsi="微软雅黑" w:eastAsia="仿宋_GB2312" w:cs="仿宋_GB2312"/>
          <w:color w:val="000000"/>
          <w:kern w:val="0"/>
          <w:sz w:val="31"/>
          <w:szCs w:val="31"/>
          <w:shd w:val="clear" w:color="auto" w:fill="FFFFFF"/>
          <w:lang w:val="en-US" w:eastAsia="zh-CN" w:bidi="ar-SA"/>
        </w:rPr>
      </w:pPr>
      <w:r>
        <w:rPr>
          <w:rFonts w:hint="eastAsia" w:ascii="仿宋_GB2312" w:hAnsi="微软雅黑" w:eastAsia="仿宋_GB2312" w:cs="仿宋_GB2312"/>
          <w:color w:val="000000"/>
          <w:kern w:val="0"/>
          <w:sz w:val="31"/>
          <w:szCs w:val="31"/>
          <w:shd w:val="clear" w:color="auto" w:fill="FFFFFF"/>
          <w:lang w:val="en-US" w:eastAsia="zh-CN" w:bidi="ar-SA"/>
        </w:rPr>
        <w:t>公务用车运行30.30万元,比上年减少0.10万元，主要原因是：节约开支。</w:t>
      </w:r>
    </w:p>
    <w:p>
      <w:pPr>
        <w:pStyle w:val="5"/>
        <w:widowControl/>
        <w:shd w:val="clear" w:color="auto" w:fill="FFFFFF"/>
        <w:spacing w:before="0" w:beforeAutospacing="0" w:after="0" w:afterAutospacing="0"/>
        <w:ind w:firstLine="640"/>
        <w:rPr>
          <w:rFonts w:cs="Calibri"/>
          <w:color w:val="333333"/>
          <w:sz w:val="21"/>
          <w:szCs w:val="21"/>
        </w:rPr>
      </w:pPr>
      <w:r>
        <w:rPr>
          <w:rFonts w:hint="eastAsia" w:ascii="仿宋_GB2312" w:hAnsi="微软雅黑" w:eastAsia="仿宋_GB2312" w:cs="仿宋_GB2312"/>
          <w:color w:val="000000"/>
          <w:kern w:val="0"/>
          <w:sz w:val="31"/>
          <w:szCs w:val="31"/>
          <w:shd w:val="clear" w:color="auto" w:fill="FFFFFF"/>
          <w:lang w:val="en-US" w:eastAsia="zh-CN" w:bidi="ar-SA"/>
        </w:rPr>
        <w:t>公务用车购置35万元,比上年减少7万元，主要原因是：节约开支。</w:t>
      </w:r>
      <w:r>
        <w:rPr>
          <w:rFonts w:hint="eastAsia" w:ascii="仿宋" w:hAnsi="仿宋" w:eastAsia="仿宋" w:cs="仿宋"/>
          <w:b/>
          <w:bCs/>
          <w:color w:val="333333"/>
          <w:sz w:val="32"/>
          <w:szCs w:val="32"/>
          <w:shd w:val="clear" w:color="auto" w:fill="FFFFFF"/>
        </w:rPr>
        <w:t> </w:t>
      </w:r>
    </w:p>
    <w:p>
      <w:pPr>
        <w:pStyle w:val="5"/>
        <w:widowControl/>
        <w:shd w:val="clear" w:color="auto" w:fill="FFFFFF"/>
        <w:spacing w:before="0" w:beforeAutospacing="0" w:after="0" w:afterAutospacing="0" w:line="640" w:lineRule="atLeast"/>
        <w:ind w:firstLine="640"/>
        <w:jc w:val="center"/>
        <w:rPr>
          <w:rFonts w:cs="Calibri"/>
          <w:color w:val="333333"/>
          <w:sz w:val="21"/>
          <w:szCs w:val="21"/>
        </w:rPr>
      </w:pPr>
      <w:r>
        <w:rPr>
          <w:rFonts w:hint="eastAsia" w:ascii="仿宋" w:hAnsi="仿宋" w:eastAsia="仿宋" w:cs="仿宋"/>
          <w:b/>
          <w:bCs/>
          <w:color w:val="333333"/>
          <w:sz w:val="32"/>
          <w:szCs w:val="32"/>
          <w:shd w:val="clear" w:color="auto" w:fill="FFFFFF"/>
        </w:rPr>
        <w:t>第四部分   名词解释</w:t>
      </w:r>
    </w:p>
    <w:p>
      <w:pPr>
        <w:widowControl/>
        <w:shd w:val="clear" w:color="auto" w:fill="FFFFFF"/>
        <w:spacing w:before="225" w:after="225"/>
        <w:jc w:val="left"/>
        <w:rPr>
          <w:rFonts w:hint="eastAsia" w:ascii="仿宋_GB2312" w:hAnsi="微软雅黑" w:eastAsia="仿宋_GB2312" w:cs="仿宋_GB2312"/>
          <w:b/>
          <w:bCs/>
          <w:color w:val="000000"/>
          <w:sz w:val="31"/>
          <w:szCs w:val="31"/>
          <w:shd w:val="clear" w:color="auto" w:fill="FFFFFF"/>
        </w:rPr>
      </w:pPr>
      <w:r>
        <w:rPr>
          <w:rFonts w:hint="eastAsia" w:ascii="仿宋_GB2312" w:hAnsi="微软雅黑" w:eastAsia="仿宋_GB2312" w:cs="仿宋_GB2312"/>
          <w:b/>
          <w:bCs/>
          <w:color w:val="000000"/>
          <w:sz w:val="31"/>
          <w:szCs w:val="31"/>
          <w:shd w:val="clear" w:color="auto" w:fill="FFFFFF"/>
        </w:rPr>
        <w:t>一、收入科目</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各部门结合实际进行解释。</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（一）财政拨款：指</w:t>
      </w:r>
      <w:r>
        <w:rPr>
          <w:rFonts w:hint="eastAsia" w:ascii="仿宋_GB2312" w:hAnsi="微软雅黑" w:eastAsia="仿宋_GB2312" w:cs="仿宋_GB2312"/>
          <w:color w:val="000000"/>
          <w:sz w:val="31"/>
          <w:szCs w:val="31"/>
          <w:shd w:val="clear" w:color="auto" w:fill="FFFFFF"/>
          <w:lang w:val="en-US" w:eastAsia="zh-CN"/>
        </w:rPr>
        <w:t>县级</w:t>
      </w:r>
      <w:r>
        <w:rPr>
          <w:rFonts w:hint="eastAsia" w:ascii="仿宋_GB2312" w:hAnsi="微软雅黑" w:eastAsia="仿宋_GB2312" w:cs="仿宋_GB2312"/>
          <w:color w:val="000000"/>
          <w:sz w:val="31"/>
          <w:szCs w:val="31"/>
          <w:shd w:val="clear" w:color="auto" w:fill="FFFFFF"/>
        </w:rPr>
        <w:t>财政当年拨付的资金。</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（二）教育收费资金收入：反映实行专项管理的高中以上学费、住宿费，高校委托培养费，函大、电大、夜大及短训班培训费等教育收费取得的收入。</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（三）事业收入：指事业单位开展专业业务活动及辅助活动取得的收入。</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（四）事业单位经营收入：指事业单位在专业业务活动及辅助活动之外开展非独立核算经营活动取得的收入。</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（五）附属单位上缴收入：反映事业单位附属的独立核算单位按规定标准或比例缴纳的各项收入。包括附属的事业单位上缴的收入和附属的企业上缴的利润等。</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（六）上级补助收入：反映事业单位从主管部门和上级单位取得的非财政补助收入。</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（七）其他收入：指除财政拨款、事业收入、事业单位经营收入等以外的各项收入。</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（八）使用非财政拨款结余：填列历年滚存的非限定用途的非统计财政拨款结余弥补</w:t>
      </w:r>
      <w:r>
        <w:rPr>
          <w:rFonts w:hint="eastAsia" w:ascii="仿宋_GB2312" w:hAnsi="微软雅黑" w:eastAsia="仿宋_GB2312" w:cs="仿宋_GB2312"/>
          <w:color w:val="000000"/>
          <w:sz w:val="31"/>
          <w:szCs w:val="31"/>
          <w:shd w:val="clear" w:color="auto" w:fill="FFFFFF"/>
          <w:lang w:eastAsia="zh-CN"/>
        </w:rPr>
        <w:t>2024</w:t>
      </w:r>
      <w:r>
        <w:rPr>
          <w:rFonts w:hint="eastAsia" w:ascii="仿宋_GB2312" w:hAnsi="微软雅黑" w:eastAsia="仿宋_GB2312" w:cs="仿宋_GB2312"/>
          <w:color w:val="000000"/>
          <w:sz w:val="31"/>
          <w:szCs w:val="31"/>
          <w:shd w:val="clear" w:color="auto" w:fill="FFFFFF"/>
        </w:rPr>
        <w:t>年收支差额的数额。</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（九）上年结转和结余：填列202</w:t>
      </w:r>
      <w:r>
        <w:rPr>
          <w:rFonts w:hint="eastAsia" w:ascii="仿宋_GB2312" w:hAnsi="微软雅黑" w:eastAsia="仿宋_GB2312" w:cs="仿宋_GB2312"/>
          <w:color w:val="000000"/>
          <w:sz w:val="31"/>
          <w:szCs w:val="31"/>
          <w:shd w:val="clear" w:color="auto" w:fill="FFFFFF"/>
          <w:lang w:val="en-US" w:eastAsia="zh-CN"/>
        </w:rPr>
        <w:t>3</w:t>
      </w:r>
      <w:r>
        <w:rPr>
          <w:rFonts w:hint="eastAsia" w:ascii="仿宋_GB2312" w:hAnsi="微软雅黑" w:eastAsia="仿宋_GB2312" w:cs="仿宋_GB2312"/>
          <w:color w:val="000000"/>
          <w:sz w:val="31"/>
          <w:szCs w:val="31"/>
          <w:shd w:val="clear" w:color="auto" w:fill="FFFFFF"/>
        </w:rPr>
        <w:t>年全部结转和结余的资金数，包括当年结转结余资金和历年滚存结转结余资金。</w:t>
      </w:r>
    </w:p>
    <w:p>
      <w:pPr>
        <w:widowControl/>
        <w:shd w:val="clear" w:color="auto" w:fill="FFFFFF"/>
        <w:spacing w:before="225" w:after="225"/>
        <w:jc w:val="left"/>
        <w:rPr>
          <w:rFonts w:hint="eastAsia" w:ascii="仿宋_GB2312" w:hAnsi="微软雅黑" w:eastAsia="仿宋_GB2312" w:cs="仿宋_GB2312"/>
          <w:b/>
          <w:bCs/>
          <w:color w:val="000000"/>
          <w:sz w:val="31"/>
          <w:szCs w:val="31"/>
          <w:shd w:val="clear" w:color="auto" w:fill="FFFFFF"/>
        </w:rPr>
      </w:pPr>
      <w:r>
        <w:rPr>
          <w:rFonts w:hint="eastAsia" w:ascii="仿宋_GB2312" w:hAnsi="微软雅黑" w:eastAsia="仿宋_GB2312" w:cs="仿宋_GB2312"/>
          <w:b/>
          <w:bCs/>
          <w:color w:val="000000"/>
          <w:sz w:val="31"/>
          <w:szCs w:val="31"/>
          <w:shd w:val="clear" w:color="auto" w:fill="FFFFFF"/>
        </w:rPr>
        <w:t>二、支出科目</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对部门预算中涉及的支出功能分类科目（明细到项级），结合部门实际，参照《</w:t>
      </w:r>
      <w:r>
        <w:rPr>
          <w:rFonts w:hint="eastAsia" w:ascii="仿宋_GB2312" w:hAnsi="微软雅黑" w:eastAsia="仿宋_GB2312" w:cs="仿宋_GB2312"/>
          <w:color w:val="000000"/>
          <w:sz w:val="31"/>
          <w:szCs w:val="31"/>
          <w:shd w:val="clear" w:color="auto" w:fill="FFFFFF"/>
          <w:lang w:eastAsia="zh-CN"/>
        </w:rPr>
        <w:t>2024</w:t>
      </w:r>
      <w:r>
        <w:rPr>
          <w:rFonts w:hint="eastAsia" w:ascii="仿宋_GB2312" w:hAnsi="微软雅黑" w:eastAsia="仿宋_GB2312" w:cs="仿宋_GB2312"/>
          <w:color w:val="000000"/>
          <w:sz w:val="31"/>
          <w:szCs w:val="31"/>
          <w:shd w:val="clear" w:color="auto" w:fill="FFFFFF"/>
        </w:rPr>
        <w:t>年政府收支分类科目》的规范说明进行解释。</w:t>
      </w:r>
    </w:p>
    <w:p>
      <w:pPr>
        <w:widowControl/>
        <w:shd w:val="clear" w:color="auto" w:fill="FFFFFF"/>
        <w:spacing w:before="225" w:after="225"/>
        <w:jc w:val="left"/>
        <w:rPr>
          <w:rFonts w:hint="eastAsia" w:ascii="仿宋_GB2312" w:hAnsi="微软雅黑" w:eastAsia="仿宋_GB2312" w:cs="仿宋_GB2312"/>
          <w:b/>
          <w:bCs/>
          <w:color w:val="000000"/>
          <w:sz w:val="31"/>
          <w:szCs w:val="31"/>
          <w:shd w:val="clear" w:color="auto" w:fill="FFFFFF"/>
        </w:rPr>
      </w:pPr>
      <w:r>
        <w:rPr>
          <w:rFonts w:hint="eastAsia" w:ascii="仿宋_GB2312" w:hAnsi="微软雅黑" w:eastAsia="仿宋_GB2312" w:cs="仿宋_GB2312"/>
          <w:b/>
          <w:bCs/>
          <w:color w:val="000000"/>
          <w:sz w:val="31"/>
          <w:szCs w:val="31"/>
          <w:shd w:val="clear" w:color="auto" w:fill="FFFFFF"/>
        </w:rPr>
        <w:t>三、相关专业名词</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before="225" w:after="225"/>
        <w:jc w:val="left"/>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p>
    <w:p>
      <w:pPr>
        <w:pStyle w:val="5"/>
        <w:widowControl/>
        <w:shd w:val="clear" w:color="auto" w:fill="FFFFFF"/>
        <w:spacing w:before="0" w:beforeAutospacing="0" w:after="0" w:afterAutospacing="0" w:line="640" w:lineRule="atLeast"/>
        <w:rPr>
          <w:rFonts w:hint="eastAsia"/>
          <w:lang w:val="en-US" w:eastAsia="zh-CN"/>
        </w:rPr>
      </w:pPr>
      <w:bookmarkStart w:id="0" w:name="_GoBack"/>
      <w:bookmarkEnd w:id="0"/>
      <w:r>
        <w:rPr>
          <w:rFonts w:hint="eastAsia"/>
          <w:lang w:val="en-US" w:eastAsia="zh-CN"/>
        </w:rPr>
        <w:t>附表</w:t>
      </w:r>
    </w:p>
    <w:p>
      <w:pPr>
        <w:pStyle w:val="5"/>
        <w:widowControl/>
        <w:shd w:val="clear" w:color="auto" w:fill="FFFFFF"/>
        <w:spacing w:before="0" w:beforeAutospacing="0" w:after="0" w:afterAutospacing="0" w:line="640" w:lineRule="atLeast"/>
      </w:pPr>
      <w:r>
        <w:drawing>
          <wp:inline distT="0" distB="0" distL="114300" distR="114300">
            <wp:extent cx="5272405" cy="2560320"/>
            <wp:effectExtent l="0" t="0" r="4445" b="1143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6"/>
                    <a:stretch>
                      <a:fillRect/>
                    </a:stretch>
                  </pic:blipFill>
                  <pic:spPr>
                    <a:xfrm>
                      <a:off x="0" y="0"/>
                      <a:ext cx="5272405" cy="256032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62245" cy="2603500"/>
            <wp:effectExtent l="0" t="0" r="14605" b="635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7"/>
                    <a:stretch>
                      <a:fillRect/>
                    </a:stretch>
                  </pic:blipFill>
                  <pic:spPr>
                    <a:xfrm>
                      <a:off x="0" y="0"/>
                      <a:ext cx="5262245" cy="260350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r>
        <w:drawing>
          <wp:inline distT="0" distB="0" distL="114300" distR="114300">
            <wp:extent cx="5274310" cy="3935095"/>
            <wp:effectExtent l="0" t="0" r="2540" b="825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8"/>
                    <a:stretch>
                      <a:fillRect/>
                    </a:stretch>
                  </pic:blipFill>
                  <pic:spPr>
                    <a:xfrm>
                      <a:off x="0" y="0"/>
                      <a:ext cx="5274310" cy="3935095"/>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67325" cy="2205355"/>
            <wp:effectExtent l="0" t="0" r="9525" b="444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9"/>
                    <a:stretch>
                      <a:fillRect/>
                    </a:stretch>
                  </pic:blipFill>
                  <pic:spPr>
                    <a:xfrm>
                      <a:off x="0" y="0"/>
                      <a:ext cx="5267325" cy="2205355"/>
                    </a:xfrm>
                    <a:prstGeom prst="rect">
                      <a:avLst/>
                    </a:prstGeom>
                    <a:noFill/>
                    <a:ln>
                      <a:noFill/>
                    </a:ln>
                  </pic:spPr>
                </pic:pic>
              </a:graphicData>
            </a:graphic>
          </wp:inline>
        </w:drawing>
      </w:r>
    </w:p>
    <w:p>
      <w:pPr>
        <w:tabs>
          <w:tab w:val="left" w:pos="793"/>
        </w:tabs>
        <w:bidi w:val="0"/>
        <w:jc w:val="left"/>
        <w:rPr>
          <w:rFonts w:hint="eastAsia" w:eastAsia="宋体"/>
          <w:lang w:eastAsia="zh-CN"/>
        </w:rPr>
      </w:pPr>
    </w:p>
    <w:p>
      <w:pPr>
        <w:pStyle w:val="5"/>
        <w:widowControl/>
        <w:shd w:val="clear" w:color="auto" w:fill="FFFFFF"/>
        <w:spacing w:before="0" w:beforeAutospacing="0" w:after="0" w:afterAutospacing="0" w:line="640" w:lineRule="atLeast"/>
      </w:pPr>
      <w:r>
        <w:drawing>
          <wp:inline distT="0" distB="0" distL="114300" distR="114300">
            <wp:extent cx="5273040" cy="3270250"/>
            <wp:effectExtent l="0" t="0" r="3810" b="635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0"/>
                    <a:stretch>
                      <a:fillRect/>
                    </a:stretch>
                  </pic:blipFill>
                  <pic:spPr>
                    <a:xfrm>
                      <a:off x="0" y="0"/>
                      <a:ext cx="5273040" cy="327025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73675" cy="4780280"/>
            <wp:effectExtent l="0" t="0" r="3175" b="127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1"/>
                    <a:stretch>
                      <a:fillRect/>
                    </a:stretch>
                  </pic:blipFill>
                  <pic:spPr>
                    <a:xfrm>
                      <a:off x="0" y="0"/>
                      <a:ext cx="5273675" cy="478028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r>
        <w:drawing>
          <wp:inline distT="0" distB="0" distL="114300" distR="114300">
            <wp:extent cx="5269865" cy="2815590"/>
            <wp:effectExtent l="0" t="0" r="6985" b="381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2"/>
                    <a:stretch>
                      <a:fillRect/>
                    </a:stretch>
                  </pic:blipFill>
                  <pic:spPr>
                    <a:xfrm>
                      <a:off x="0" y="0"/>
                      <a:ext cx="5269865" cy="281559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69865" cy="1426210"/>
            <wp:effectExtent l="0" t="0" r="6985" b="254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3"/>
                    <a:stretch>
                      <a:fillRect/>
                    </a:stretch>
                  </pic:blipFill>
                  <pic:spPr>
                    <a:xfrm>
                      <a:off x="0" y="0"/>
                      <a:ext cx="5269865" cy="1426210"/>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71135" cy="13239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71135" cy="1323975"/>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p>
    <w:p>
      <w:pPr>
        <w:pStyle w:val="5"/>
        <w:widowControl/>
        <w:shd w:val="clear" w:color="auto" w:fill="FFFFFF"/>
        <w:spacing w:before="0" w:beforeAutospacing="0" w:after="0" w:afterAutospacing="0" w:line="640" w:lineRule="atLeast"/>
      </w:pPr>
      <w:r>
        <w:drawing>
          <wp:inline distT="0" distB="0" distL="114300" distR="114300">
            <wp:extent cx="5271770" cy="1351915"/>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71770" cy="1351915"/>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pPr>
      <w:r>
        <w:drawing>
          <wp:inline distT="0" distB="0" distL="114300" distR="114300">
            <wp:extent cx="5269865" cy="6722745"/>
            <wp:effectExtent l="0" t="0" r="6985" b="1905"/>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pic:cNvPicPr>
                  </pic:nvPicPr>
                  <pic:blipFill>
                    <a:blip r:embed="rId16"/>
                    <a:stretch>
                      <a:fillRect/>
                    </a:stretch>
                  </pic:blipFill>
                  <pic:spPr>
                    <a:xfrm>
                      <a:off x="0" y="0"/>
                      <a:ext cx="5269865" cy="6722745"/>
                    </a:xfrm>
                    <a:prstGeom prst="rect">
                      <a:avLst/>
                    </a:prstGeom>
                    <a:noFill/>
                    <a:ln>
                      <a:noFill/>
                    </a:ln>
                  </pic:spPr>
                </pic:pic>
              </a:graphicData>
            </a:graphic>
          </wp:inline>
        </w:drawing>
      </w:r>
    </w:p>
    <w:p>
      <w:pPr>
        <w:pStyle w:val="5"/>
        <w:widowControl/>
        <w:shd w:val="clear" w:color="auto" w:fill="FFFFFF"/>
        <w:spacing w:before="0" w:beforeAutospacing="0" w:after="0" w:afterAutospacing="0" w:line="640" w:lineRule="atLeast"/>
        <w:rPr>
          <w:rFonts w:hint="default"/>
          <w:lang w:val="en-US" w:eastAsia="zh-CN"/>
        </w:rPr>
      </w:pPr>
      <w:r>
        <w:drawing>
          <wp:inline distT="0" distB="0" distL="114300" distR="114300">
            <wp:extent cx="5162550" cy="6858000"/>
            <wp:effectExtent l="0" t="0" r="0" b="0"/>
            <wp:docPr id="2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pic:cNvPicPr>
                      <a:picLocks noChangeAspect="1"/>
                    </pic:cNvPicPr>
                  </pic:nvPicPr>
                  <pic:blipFill>
                    <a:blip r:embed="rId17"/>
                    <a:stretch>
                      <a:fillRect/>
                    </a:stretch>
                  </pic:blipFill>
                  <pic:spPr>
                    <a:xfrm>
                      <a:off x="0" y="0"/>
                      <a:ext cx="5162550" cy="6858000"/>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1AC6B"/>
    <w:multiLevelType w:val="singleLevel"/>
    <w:tmpl w:val="8121AC6B"/>
    <w:lvl w:ilvl="0" w:tentative="0">
      <w:start w:val="2"/>
      <w:numFmt w:val="decimal"/>
      <w:suff w:val="nothing"/>
      <w:lvlText w:val="%1、"/>
      <w:lvlJc w:val="left"/>
    </w:lvl>
  </w:abstractNum>
  <w:abstractNum w:abstractNumId="1">
    <w:nsid w:val="5B898F46"/>
    <w:multiLevelType w:val="singleLevel"/>
    <w:tmpl w:val="5B898F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iM2NjNGJiNmEwZDllNTNjMjY4Mjg4OTdmNzZmMDEifQ=="/>
  </w:docVars>
  <w:rsids>
    <w:rsidRoot w:val="00A301E4"/>
    <w:rsid w:val="00056D53"/>
    <w:rsid w:val="000B1925"/>
    <w:rsid w:val="00116789"/>
    <w:rsid w:val="00287ACD"/>
    <w:rsid w:val="003131E9"/>
    <w:rsid w:val="00377EFF"/>
    <w:rsid w:val="00392520"/>
    <w:rsid w:val="0053573B"/>
    <w:rsid w:val="00610A78"/>
    <w:rsid w:val="008137EE"/>
    <w:rsid w:val="009F0808"/>
    <w:rsid w:val="00A045D8"/>
    <w:rsid w:val="00A301E4"/>
    <w:rsid w:val="00AB210E"/>
    <w:rsid w:val="00BA3FA4"/>
    <w:rsid w:val="00E7036A"/>
    <w:rsid w:val="00EE312F"/>
    <w:rsid w:val="083849AF"/>
    <w:rsid w:val="0A41217E"/>
    <w:rsid w:val="0BA871C6"/>
    <w:rsid w:val="0BE701DF"/>
    <w:rsid w:val="0F704E24"/>
    <w:rsid w:val="13A85DE5"/>
    <w:rsid w:val="153B0F5F"/>
    <w:rsid w:val="15C07E17"/>
    <w:rsid w:val="195A17AA"/>
    <w:rsid w:val="1C7C56D8"/>
    <w:rsid w:val="236F5DAF"/>
    <w:rsid w:val="23EE5CE5"/>
    <w:rsid w:val="25E75F0D"/>
    <w:rsid w:val="29097681"/>
    <w:rsid w:val="2B23174C"/>
    <w:rsid w:val="31964F30"/>
    <w:rsid w:val="35357BDF"/>
    <w:rsid w:val="355175E0"/>
    <w:rsid w:val="3B13742E"/>
    <w:rsid w:val="3E2F5E2A"/>
    <w:rsid w:val="48266E14"/>
    <w:rsid w:val="48B819EA"/>
    <w:rsid w:val="4ACA0000"/>
    <w:rsid w:val="4CE313E9"/>
    <w:rsid w:val="4D6940B7"/>
    <w:rsid w:val="53494566"/>
    <w:rsid w:val="54432A8D"/>
    <w:rsid w:val="546E6AB8"/>
    <w:rsid w:val="54A32088"/>
    <w:rsid w:val="54D01DB2"/>
    <w:rsid w:val="588A4A19"/>
    <w:rsid w:val="59F16E19"/>
    <w:rsid w:val="5CD41921"/>
    <w:rsid w:val="5DAF497B"/>
    <w:rsid w:val="614B50BF"/>
    <w:rsid w:val="669E0ACA"/>
    <w:rsid w:val="67EE4F89"/>
    <w:rsid w:val="6AE061EF"/>
    <w:rsid w:val="6B030D4C"/>
    <w:rsid w:val="72877D7F"/>
    <w:rsid w:val="740171BE"/>
    <w:rsid w:val="76684D5E"/>
    <w:rsid w:val="7CC553FB"/>
    <w:rsid w:val="7DEB7CB2"/>
    <w:rsid w:val="7DF75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autoRedefine/>
    <w:qFormat/>
    <w:uiPriority w:val="0"/>
    <w:rPr>
      <w:rFonts w:ascii="Calibri" w:hAnsi="Calibri"/>
      <w:kern w:val="2"/>
      <w:sz w:val="18"/>
      <w:szCs w:val="18"/>
    </w:rPr>
  </w:style>
  <w:style w:type="character" w:customStyle="1" w:styleId="10">
    <w:name w:val="页脚 Char"/>
    <w:basedOn w:val="8"/>
    <w:link w:val="3"/>
    <w:autoRedefine/>
    <w:qFormat/>
    <w:uiPriority w:val="0"/>
    <w:rPr>
      <w:rFonts w:ascii="Calibri" w:hAnsi="Calibri"/>
      <w:kern w:val="2"/>
      <w:sz w:val="18"/>
      <w:szCs w:val="18"/>
    </w:rPr>
  </w:style>
  <w:style w:type="character" w:customStyle="1" w:styleId="11">
    <w:name w:val="批注框文本 Char"/>
    <w:basedOn w:val="8"/>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4166</Words>
  <Characters>4569</Characters>
  <Lines>3</Lines>
  <Paragraphs>6</Paragraphs>
  <TotalTime>17</TotalTime>
  <ScaleCrop>false</ScaleCrop>
  <LinksUpToDate>false</LinksUpToDate>
  <CharactersWithSpaces>4618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2022-08-21T07:42:00Z</dcterms:created>
  <dc:creator>Administrator</dc:creator>
  <cp:lastModifiedBy>许光宇</cp:lastModifiedBy>
  <cp:lastPrinted>2024-03-25T03:44:00Z</cp:lastPrinted>
  <dcterms:modified xsi:type="dcterms:W3CDTF">2024-03-25T05:02:03Z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FEAC2E0F531047E7B924BBA1B782BF74</vt:lpwstr>
  </property>
</Properties>
</file>