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bookmarkStart w:id="8" w:name="_GoBack"/>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left="2518" w:leftChars="342" w:hanging="1800" w:hangingChars="500"/>
        <w:jc w:val="left"/>
        <w:rPr>
          <w:rFonts w:ascii="仿宋_GB2312" w:eastAsia="仿宋_GB2312"/>
          <w:sz w:val="36"/>
          <w:szCs w:val="36"/>
        </w:rPr>
      </w:pPr>
      <w:r>
        <w:rPr>
          <w:rFonts w:hint="eastAsia" w:ascii="仿宋_GB2312" w:eastAsia="仿宋_GB2312"/>
          <w:sz w:val="36"/>
          <w:szCs w:val="36"/>
        </w:rPr>
        <w:t>项目名称：</w:t>
      </w:r>
      <w:r>
        <w:rPr>
          <w:rFonts w:hint="eastAsia" w:ascii="仿宋_GB2312" w:eastAsia="仿宋_GB2312"/>
          <w:sz w:val="36"/>
          <w:szCs w:val="36"/>
          <w:u w:val="single"/>
        </w:rPr>
        <w:t xml:space="preserve">余干县豪士五金科技有限公司三角柜、锁柜、拉手板、展示柜建设项目 </w:t>
      </w:r>
    </w:p>
    <w:p>
      <w:pPr>
        <w:adjustRightInd w:val="0"/>
        <w:snapToGrid w:val="0"/>
        <w:spacing w:line="288" w:lineRule="auto"/>
        <w:ind w:firstLine="720" w:firstLineChars="200"/>
        <w:jc w:val="left"/>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余干县豪士五金科技有限公司 </w:t>
      </w:r>
    </w:p>
    <w:p>
      <w:pPr>
        <w:adjustRightInd w:val="0"/>
        <w:snapToGrid w:val="0"/>
        <w:spacing w:line="288" w:lineRule="auto"/>
        <w:ind w:firstLine="720" w:firstLineChars="200"/>
        <w:jc w:val="left"/>
        <w:rPr>
          <w:rFonts w:ascii="仿宋_GB2312" w:eastAsia="仿宋_GB2312"/>
          <w:sz w:val="36"/>
          <w:szCs w:val="36"/>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2023年</w:t>
      </w:r>
      <w:r>
        <w:rPr>
          <w:rFonts w:hint="eastAsia" w:ascii="仿宋_GB2312" w:eastAsia="仿宋_GB2312"/>
          <w:sz w:val="36"/>
          <w:szCs w:val="36"/>
          <w:u w:val="single"/>
          <w:lang w:val="en-US" w:eastAsia="zh-CN"/>
        </w:rPr>
        <w:t>8</w:t>
      </w:r>
      <w:r>
        <w:rPr>
          <w:rFonts w:hint="eastAsia" w:ascii="仿宋_GB2312" w:eastAsia="仿宋_GB2312"/>
          <w:sz w:val="36"/>
          <w:szCs w:val="36"/>
          <w:u w:val="single"/>
        </w:rPr>
        <w:t>月</w:t>
      </w:r>
      <w:bookmarkStart w:id="0" w:name="_Hlk57884087"/>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color w:val="0000FF"/>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仿宋_GB2312" w:eastAsia="仿宋_GB2312"/>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eastAsia" w:ascii="楷体_GB2312" w:eastAsia="楷体_GB2312"/>
          <w:sz w:val="36"/>
          <w:szCs w:val="36"/>
        </w:rPr>
        <w:t>中华人民共和国生态环境部制</w:t>
      </w:r>
    </w:p>
    <w:p>
      <w:pPr>
        <w:pStyle w:val="29"/>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81"/>
        <w:gridCol w:w="2136"/>
        <w:gridCol w:w="2244"/>
        <w:gridCol w:w="34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建设项目名称</w:t>
            </w:r>
          </w:p>
        </w:tc>
        <w:tc>
          <w:tcPr>
            <w:tcW w:w="7789" w:type="dxa"/>
            <w:gridSpan w:val="3"/>
            <w:vAlign w:val="center"/>
          </w:tcPr>
          <w:p>
            <w:pPr>
              <w:adjustRightInd w:val="0"/>
              <w:snapToGrid w:val="0"/>
              <w:jc w:val="center"/>
              <w:rPr>
                <w:sz w:val="24"/>
              </w:rPr>
            </w:pPr>
            <w:r>
              <w:rPr>
                <w:rFonts w:hint="eastAsia"/>
                <w:sz w:val="24"/>
              </w:rPr>
              <w:t>余干县豪士五金科技有限公司三角柜、锁柜、拉手板、展示柜建设项目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项目代码</w:t>
            </w:r>
          </w:p>
        </w:tc>
        <w:tc>
          <w:tcPr>
            <w:tcW w:w="7789" w:type="dxa"/>
            <w:gridSpan w:val="3"/>
            <w:vAlign w:val="center"/>
          </w:tcPr>
          <w:p>
            <w:pPr>
              <w:adjustRightInd w:val="0"/>
              <w:snapToGrid w:val="0"/>
              <w:jc w:val="center"/>
              <w:rPr>
                <w:rFonts w:hint="eastAsia" w:eastAsia="宋体"/>
                <w:sz w:val="24"/>
                <w:lang w:eastAsia="zh-CN"/>
              </w:rPr>
            </w:pPr>
            <w:r>
              <w:rPr>
                <w:rFonts w:hint="eastAsia"/>
                <w:sz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sz w:val="24"/>
              </w:rPr>
            </w:pPr>
            <w:r>
              <w:rPr>
                <w:sz w:val="24"/>
              </w:rPr>
              <w:t>建设单位联系人</w:t>
            </w:r>
          </w:p>
        </w:tc>
        <w:tc>
          <w:tcPr>
            <w:tcW w:w="2136" w:type="dxa"/>
            <w:vAlign w:val="center"/>
          </w:tcPr>
          <w:p>
            <w:pPr>
              <w:adjustRightInd w:val="0"/>
              <w:snapToGrid w:val="0"/>
              <w:jc w:val="center"/>
              <w:rPr>
                <w:sz w:val="24"/>
              </w:rPr>
            </w:pPr>
            <w:r>
              <w:rPr>
                <w:rFonts w:hint="eastAsia"/>
                <w:sz w:val="24"/>
              </w:rPr>
              <w:t>潘教海</w:t>
            </w:r>
          </w:p>
        </w:tc>
        <w:tc>
          <w:tcPr>
            <w:tcW w:w="2244" w:type="dxa"/>
            <w:vAlign w:val="center"/>
          </w:tcPr>
          <w:p>
            <w:pPr>
              <w:adjustRightInd w:val="0"/>
              <w:snapToGrid w:val="0"/>
              <w:jc w:val="center"/>
              <w:rPr>
                <w:sz w:val="24"/>
              </w:rPr>
            </w:pPr>
            <w:r>
              <w:rPr>
                <w:sz w:val="24"/>
              </w:rPr>
              <w:t>联系方式</w:t>
            </w:r>
          </w:p>
        </w:tc>
        <w:tc>
          <w:tcPr>
            <w:tcW w:w="3409" w:type="dxa"/>
            <w:vAlign w:val="center"/>
          </w:tcPr>
          <w:p>
            <w:pPr>
              <w:adjustRightInd w:val="0"/>
              <w:snapToGrid w:val="0"/>
              <w:jc w:val="center"/>
              <w:rPr>
                <w:sz w:val="24"/>
              </w:rPr>
            </w:pPr>
            <w:r>
              <w:rPr>
                <w:rFonts w:hint="eastAsia"/>
                <w:sz w:val="24"/>
              </w:rPr>
              <w:t>18858736688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建设地点</w:t>
            </w:r>
          </w:p>
        </w:tc>
        <w:tc>
          <w:tcPr>
            <w:tcW w:w="7789" w:type="dxa"/>
            <w:gridSpan w:val="3"/>
            <w:vAlign w:val="center"/>
          </w:tcPr>
          <w:p>
            <w:pPr>
              <w:adjustRightInd w:val="0"/>
              <w:snapToGrid w:val="0"/>
              <w:jc w:val="center"/>
              <w:rPr>
                <w:rFonts w:ascii="宋体" w:hAnsi="宋体" w:cs="宋体"/>
                <w:sz w:val="24"/>
              </w:rPr>
            </w:pPr>
            <w:r>
              <w:rPr>
                <w:rFonts w:hint="eastAsia" w:ascii="宋体" w:hAnsi="宋体" w:cs="宋体"/>
                <w:sz w:val="24"/>
              </w:rPr>
              <w:t>江西余干高新技术产业园区黄金埠园区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地理坐标</w:t>
            </w:r>
          </w:p>
        </w:tc>
        <w:tc>
          <w:tcPr>
            <w:tcW w:w="7789" w:type="dxa"/>
            <w:gridSpan w:val="3"/>
            <w:vAlign w:val="center"/>
          </w:tcPr>
          <w:p>
            <w:pPr>
              <w:jc w:val="center"/>
              <w:rPr>
                <w:rFonts w:ascii="宋体" w:hAnsi="宋体" w:cs="宋体"/>
                <w:sz w:val="24"/>
              </w:rPr>
            </w:pPr>
            <w:r>
              <w:rPr>
                <w:rFonts w:hint="eastAsia" w:ascii="宋体" w:hAnsi="宋体" w:cs="宋体"/>
                <w:sz w:val="24"/>
              </w:rPr>
              <w:t>（</w:t>
            </w:r>
            <w:r>
              <w:rPr>
                <w:sz w:val="24"/>
                <w:u w:val="single"/>
              </w:rPr>
              <w:t>11</w:t>
            </w:r>
            <w:r>
              <w:rPr>
                <w:rFonts w:hint="eastAsia"/>
                <w:sz w:val="24"/>
                <w:u w:val="single"/>
              </w:rPr>
              <w:t>6</w:t>
            </w:r>
            <w:r>
              <w:rPr>
                <w:sz w:val="24"/>
              </w:rPr>
              <w:t>度</w:t>
            </w:r>
            <w:r>
              <w:rPr>
                <w:sz w:val="24"/>
                <w:u w:val="single"/>
              </w:rPr>
              <w:t xml:space="preserve"> </w:t>
            </w:r>
            <w:r>
              <w:rPr>
                <w:rFonts w:hint="eastAsia"/>
                <w:sz w:val="24"/>
                <w:u w:val="single"/>
              </w:rPr>
              <w:t>49</w:t>
            </w:r>
            <w:r>
              <w:rPr>
                <w:sz w:val="24"/>
                <w:u w:val="single"/>
              </w:rPr>
              <w:t xml:space="preserve"> </w:t>
            </w:r>
            <w:r>
              <w:rPr>
                <w:sz w:val="24"/>
              </w:rPr>
              <w:t>分</w:t>
            </w:r>
            <w:r>
              <w:rPr>
                <w:sz w:val="24"/>
                <w:u w:val="single"/>
              </w:rPr>
              <w:t xml:space="preserve"> </w:t>
            </w:r>
            <w:r>
              <w:rPr>
                <w:rFonts w:hint="eastAsia"/>
                <w:sz w:val="24"/>
                <w:u w:val="single"/>
              </w:rPr>
              <w:t>55.966</w:t>
            </w:r>
            <w:r>
              <w:rPr>
                <w:sz w:val="24"/>
                <w:u w:val="single"/>
              </w:rPr>
              <w:t xml:space="preserve"> </w:t>
            </w:r>
            <w:r>
              <w:rPr>
                <w:sz w:val="24"/>
              </w:rPr>
              <w:t>秒，</w:t>
            </w:r>
            <w:r>
              <w:rPr>
                <w:sz w:val="24"/>
                <w:u w:val="single"/>
              </w:rPr>
              <w:t>2</w:t>
            </w:r>
            <w:r>
              <w:rPr>
                <w:rFonts w:hint="eastAsia"/>
                <w:sz w:val="24"/>
                <w:u w:val="single"/>
              </w:rPr>
              <w:t>8</w:t>
            </w:r>
            <w:r>
              <w:rPr>
                <w:sz w:val="24"/>
              </w:rPr>
              <w:t>度</w:t>
            </w:r>
            <w:r>
              <w:rPr>
                <w:sz w:val="24"/>
                <w:u w:val="single"/>
              </w:rPr>
              <w:t xml:space="preserve"> </w:t>
            </w:r>
            <w:r>
              <w:rPr>
                <w:rFonts w:hint="eastAsia"/>
                <w:sz w:val="24"/>
                <w:u w:val="single"/>
              </w:rPr>
              <w:t>28</w:t>
            </w:r>
            <w:r>
              <w:rPr>
                <w:sz w:val="24"/>
                <w:u w:val="single"/>
              </w:rPr>
              <w:t xml:space="preserve"> </w:t>
            </w:r>
            <w:r>
              <w:rPr>
                <w:sz w:val="24"/>
              </w:rPr>
              <w:t>分</w:t>
            </w:r>
            <w:r>
              <w:rPr>
                <w:rFonts w:hint="eastAsia"/>
                <w:sz w:val="24"/>
                <w:u w:val="single"/>
              </w:rPr>
              <w:t>1.629</w:t>
            </w:r>
            <w:r>
              <w:rPr>
                <w:rFonts w:ascii="宋体" w:hAnsi="宋体" w:cs="宋体"/>
                <w:sz w:val="24"/>
                <w:u w:val="single"/>
              </w:rPr>
              <w:t xml:space="preserve"> </w:t>
            </w:r>
            <w:r>
              <w:rPr>
                <w:rFonts w:hint="eastAsia" w:ascii="宋体" w:hAnsi="宋体" w:cs="宋体"/>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国民经济</w:t>
            </w:r>
          </w:p>
          <w:p>
            <w:pPr>
              <w:adjustRightInd w:val="0"/>
              <w:snapToGrid w:val="0"/>
              <w:jc w:val="center"/>
              <w:rPr>
                <w:rFonts w:ascii="宋体" w:hAnsi="宋体" w:cs="宋体"/>
                <w:sz w:val="24"/>
              </w:rPr>
            </w:pPr>
            <w:r>
              <w:rPr>
                <w:rFonts w:hint="eastAsia" w:ascii="宋体" w:hAnsi="宋体" w:cs="宋体"/>
                <w:sz w:val="24"/>
              </w:rPr>
              <w:t>行业类别</w:t>
            </w:r>
          </w:p>
        </w:tc>
        <w:tc>
          <w:tcPr>
            <w:tcW w:w="2136" w:type="dxa"/>
            <w:vAlign w:val="center"/>
          </w:tcPr>
          <w:p>
            <w:pPr>
              <w:adjustRightInd w:val="0"/>
              <w:snapToGrid w:val="0"/>
              <w:jc w:val="center"/>
              <w:rPr>
                <w:rFonts w:ascii="宋体" w:hAnsi="宋体" w:cs="宋体"/>
                <w:sz w:val="24"/>
              </w:rPr>
            </w:pPr>
            <w:r>
              <w:rPr>
                <w:rFonts w:hint="default" w:ascii="Times New Roman" w:hAnsi="Times New Roman" w:cs="Times New Roman"/>
                <w:sz w:val="24"/>
              </w:rPr>
              <w:t>C2110</w:t>
            </w:r>
            <w:r>
              <w:rPr>
                <w:rFonts w:hint="eastAsia" w:ascii="宋体" w:hAnsi="宋体" w:cs="宋体"/>
                <w:sz w:val="24"/>
              </w:rPr>
              <w:t>木质家具制造</w:t>
            </w:r>
          </w:p>
        </w:tc>
        <w:tc>
          <w:tcPr>
            <w:tcW w:w="2244" w:type="dxa"/>
            <w:vAlign w:val="center"/>
          </w:tcPr>
          <w:p>
            <w:pPr>
              <w:adjustRightInd w:val="0"/>
              <w:snapToGrid w:val="0"/>
              <w:jc w:val="center"/>
              <w:rPr>
                <w:rFonts w:ascii="宋体" w:hAnsi="宋体" w:cs="宋体"/>
                <w:sz w:val="24"/>
              </w:rPr>
            </w:pPr>
            <w:r>
              <w:rPr>
                <w:rFonts w:hint="eastAsia" w:ascii="宋体" w:hAnsi="宋体" w:cs="宋体"/>
                <w:sz w:val="24"/>
              </w:rPr>
              <w:t>建设项目</w:t>
            </w:r>
          </w:p>
          <w:p>
            <w:pPr>
              <w:adjustRightInd w:val="0"/>
              <w:snapToGrid w:val="0"/>
              <w:jc w:val="center"/>
              <w:rPr>
                <w:rFonts w:ascii="宋体" w:hAnsi="宋体" w:cs="宋体"/>
                <w:sz w:val="24"/>
              </w:rPr>
            </w:pPr>
            <w:r>
              <w:rPr>
                <w:rFonts w:hint="eastAsia" w:ascii="宋体" w:hAnsi="宋体" w:cs="宋体"/>
                <w:sz w:val="24"/>
              </w:rPr>
              <w:t>行业类别</w:t>
            </w:r>
          </w:p>
        </w:tc>
        <w:tc>
          <w:tcPr>
            <w:tcW w:w="3409" w:type="dxa"/>
            <w:vAlign w:val="center"/>
          </w:tcPr>
          <w:p>
            <w:pPr>
              <w:adjustRightInd w:val="0"/>
              <w:snapToGrid w:val="0"/>
              <w:jc w:val="center"/>
              <w:rPr>
                <w:rFonts w:ascii="宋体" w:hAnsi="宋体" w:cs="宋体"/>
                <w:sz w:val="24"/>
              </w:rPr>
            </w:pPr>
          </w:p>
          <w:p>
            <w:pPr>
              <w:adjustRightInd w:val="0"/>
              <w:snapToGrid w:val="0"/>
              <w:jc w:val="center"/>
              <w:rPr>
                <w:rFonts w:ascii="宋体" w:hAnsi="宋体" w:cs="宋体"/>
                <w:sz w:val="24"/>
              </w:rPr>
            </w:pPr>
            <w:r>
              <w:rPr>
                <w:rFonts w:hint="eastAsia" w:ascii="宋体" w:hAnsi="宋体" w:cs="宋体"/>
                <w:sz w:val="24"/>
              </w:rPr>
              <w:t>十八、家具制造业，木质家具制造211*</w:t>
            </w:r>
          </w:p>
          <w:p>
            <w:pPr>
              <w:adjustRightInd w:val="0"/>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建设性质</w:t>
            </w:r>
          </w:p>
        </w:tc>
        <w:tc>
          <w:tcPr>
            <w:tcW w:w="2136" w:type="dxa"/>
            <w:vAlign w:val="center"/>
          </w:tcPr>
          <w:p>
            <w:pPr>
              <w:jc w:val="left"/>
              <w:rPr>
                <w:color w:val="0000FF"/>
                <w:sz w:val="24"/>
              </w:rPr>
            </w:pPr>
            <w:r>
              <w:rPr>
                <w:color w:val="0000FF"/>
                <w:sz w:val="24"/>
              </w:rPr>
              <w:sym w:font="Wingdings 2" w:char="0052"/>
            </w:r>
            <w:r>
              <w:rPr>
                <w:color w:val="0000FF"/>
                <w:sz w:val="24"/>
              </w:rPr>
              <w:t>新建（迁建）</w:t>
            </w:r>
          </w:p>
          <w:p>
            <w:pPr>
              <w:jc w:val="left"/>
              <w:rPr>
                <w:sz w:val="24"/>
              </w:rPr>
            </w:pPr>
            <w:r>
              <w:rPr>
                <w:sz w:val="24"/>
              </w:rPr>
              <w:sym w:font="Wingdings 2" w:char="00A3"/>
            </w:r>
            <w:r>
              <w:rPr>
                <w:sz w:val="24"/>
              </w:rPr>
              <w:t>改建</w:t>
            </w:r>
          </w:p>
          <w:p>
            <w:pPr>
              <w:jc w:val="left"/>
              <w:rPr>
                <w:sz w:val="24"/>
              </w:rPr>
            </w:pPr>
            <w:r>
              <w:rPr>
                <w:sz w:val="24"/>
              </w:rPr>
              <w:sym w:font="Wingdings 2" w:char="00A3"/>
            </w:r>
            <w:r>
              <w:rPr>
                <w:sz w:val="24"/>
              </w:rPr>
              <w:t>扩建</w:t>
            </w:r>
          </w:p>
          <w:p>
            <w:pPr>
              <w:jc w:val="left"/>
              <w:rPr>
                <w:sz w:val="24"/>
              </w:rPr>
            </w:pPr>
            <w:r>
              <w:rPr>
                <w:sz w:val="24"/>
              </w:rPr>
              <w:sym w:font="Wingdings 2" w:char="00A3"/>
            </w:r>
            <w:r>
              <w:rPr>
                <w:sz w:val="24"/>
              </w:rPr>
              <w:t>技术改造</w:t>
            </w:r>
          </w:p>
        </w:tc>
        <w:tc>
          <w:tcPr>
            <w:tcW w:w="2244"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3409" w:type="dxa"/>
            <w:vAlign w:val="center"/>
          </w:tcPr>
          <w:p>
            <w:pPr>
              <w:jc w:val="left"/>
              <w:rPr>
                <w:sz w:val="24"/>
              </w:rPr>
            </w:pPr>
            <w:r>
              <w:rPr>
                <w:sz w:val="24"/>
              </w:rPr>
              <w:sym w:font="Wingdings 2" w:char="00A3"/>
            </w:r>
            <w:r>
              <w:rPr>
                <w:sz w:val="24"/>
              </w:rPr>
              <w:t xml:space="preserve">首次申报项目             </w:t>
            </w:r>
          </w:p>
          <w:p>
            <w:pPr>
              <w:jc w:val="left"/>
              <w:rPr>
                <w:sz w:val="24"/>
              </w:rPr>
            </w:pPr>
            <w:r>
              <w:rPr>
                <w:sz w:val="24"/>
              </w:rPr>
              <w:sym w:font="Wingdings 2" w:char="00A3"/>
            </w:r>
            <w:r>
              <w:rPr>
                <w:sz w:val="24"/>
              </w:rPr>
              <w:t>不予批准后再次申报项目</w:t>
            </w:r>
          </w:p>
          <w:p>
            <w:pPr>
              <w:jc w:val="left"/>
              <w:rPr>
                <w:sz w:val="24"/>
              </w:rPr>
            </w:pPr>
            <w:r>
              <w:rPr>
                <w:sz w:val="24"/>
              </w:rPr>
              <w:sym w:font="Wingdings 2" w:char="00A3"/>
            </w:r>
            <w:r>
              <w:rPr>
                <w:sz w:val="24"/>
              </w:rPr>
              <w:t xml:space="preserve">超五年重新审核项目     </w:t>
            </w:r>
          </w:p>
          <w:p>
            <w:pPr>
              <w:jc w:val="left"/>
              <w:rPr>
                <w:sz w:val="24"/>
              </w:rPr>
            </w:pPr>
            <w:r>
              <w:rPr>
                <w:color w:val="0000FF"/>
                <w:sz w:val="24"/>
              </w:rPr>
              <w:sym w:font="Wingdings 2" w:char="0052"/>
            </w:r>
            <w:r>
              <w:rPr>
                <w:color w:val="0000FF"/>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项目审批（核准</w:t>
            </w:r>
            <w:r>
              <w:rPr>
                <w:rFonts w:ascii="宋体" w:hAnsi="宋体" w:cs="宋体"/>
                <w:sz w:val="24"/>
              </w:rPr>
              <w:t>/</w:t>
            </w:r>
            <w:r>
              <w:rPr>
                <w:rFonts w:hint="eastAsia" w:ascii="宋体" w:hAnsi="宋体" w:cs="宋体"/>
                <w:sz w:val="24"/>
              </w:rPr>
              <w:t>备案）部门（选填）</w:t>
            </w:r>
          </w:p>
        </w:tc>
        <w:tc>
          <w:tcPr>
            <w:tcW w:w="2136" w:type="dxa"/>
            <w:vAlign w:val="center"/>
          </w:tcPr>
          <w:p>
            <w:pPr>
              <w:adjustRightInd w:val="0"/>
              <w:snapToGrid w:val="0"/>
              <w:jc w:val="center"/>
              <w:rPr>
                <w:rFonts w:hint="eastAsia" w:eastAsia="宋体"/>
                <w:sz w:val="24"/>
                <w:lang w:eastAsia="zh-CN"/>
              </w:rPr>
            </w:pPr>
            <w:r>
              <w:rPr>
                <w:rFonts w:hint="eastAsia"/>
                <w:sz w:val="24"/>
                <w:lang w:val="en-US" w:eastAsia="zh-CN"/>
              </w:rPr>
              <w:t>/</w:t>
            </w:r>
          </w:p>
        </w:tc>
        <w:tc>
          <w:tcPr>
            <w:tcW w:w="2244"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3409" w:type="dxa"/>
            <w:vAlign w:val="center"/>
          </w:tcPr>
          <w:p>
            <w:pPr>
              <w:adjustRightInd w:val="0"/>
              <w:snapToGrid w:val="0"/>
              <w:jc w:val="center"/>
              <w:rPr>
                <w:rFonts w:hint="eastAsia" w:eastAsia="宋体"/>
                <w:sz w:val="24"/>
                <w:lang w:eastAsia="zh-CN"/>
              </w:rPr>
            </w:pPr>
            <w:r>
              <w:rPr>
                <w:rFonts w:hint="eastAsia"/>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总投资（万元）</w:t>
            </w:r>
          </w:p>
        </w:tc>
        <w:tc>
          <w:tcPr>
            <w:tcW w:w="2136" w:type="dxa"/>
            <w:vAlign w:val="center"/>
          </w:tcPr>
          <w:p>
            <w:pPr>
              <w:adjustRightInd w:val="0"/>
              <w:snapToGrid w:val="0"/>
              <w:jc w:val="center"/>
              <w:rPr>
                <w:sz w:val="24"/>
              </w:rPr>
            </w:pPr>
            <w:r>
              <w:rPr>
                <w:rFonts w:hint="eastAsia"/>
                <w:sz w:val="24"/>
              </w:rPr>
              <w:t>1200</w:t>
            </w:r>
          </w:p>
        </w:tc>
        <w:tc>
          <w:tcPr>
            <w:tcW w:w="2244" w:type="dxa"/>
            <w:tcMar>
              <w:top w:w="16" w:type="dxa"/>
              <w:left w:w="16" w:type="dxa"/>
              <w:right w:w="16" w:type="dxa"/>
            </w:tcMar>
            <w:vAlign w:val="center"/>
          </w:tcPr>
          <w:p>
            <w:pPr>
              <w:adjustRightInd w:val="0"/>
              <w:snapToGrid w:val="0"/>
              <w:jc w:val="center"/>
              <w:rPr>
                <w:sz w:val="24"/>
              </w:rPr>
            </w:pPr>
            <w:r>
              <w:rPr>
                <w:sz w:val="24"/>
              </w:rPr>
              <w:t>环保投资（万元）</w:t>
            </w:r>
          </w:p>
        </w:tc>
        <w:tc>
          <w:tcPr>
            <w:tcW w:w="3409" w:type="dxa"/>
            <w:vAlign w:val="center"/>
          </w:tcPr>
          <w:p>
            <w:pPr>
              <w:adjustRightInd w:val="0"/>
              <w:snapToGrid w:val="0"/>
              <w:jc w:val="center"/>
              <w:rPr>
                <w:sz w:val="24"/>
              </w:rPr>
            </w:pPr>
            <w:r>
              <w:rPr>
                <w:rFonts w:hint="eastAsia"/>
                <w:sz w:val="24"/>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环保投资占比（</w:t>
            </w:r>
            <w:r>
              <w:rPr>
                <w:rFonts w:ascii="宋体" w:hAnsi="宋体" w:cs="宋体"/>
                <w:sz w:val="24"/>
              </w:rPr>
              <w:t>%</w:t>
            </w:r>
            <w:r>
              <w:rPr>
                <w:rFonts w:hint="eastAsia" w:ascii="宋体" w:hAnsi="宋体" w:cs="宋体"/>
                <w:sz w:val="24"/>
              </w:rPr>
              <w:t>）</w:t>
            </w:r>
          </w:p>
        </w:tc>
        <w:tc>
          <w:tcPr>
            <w:tcW w:w="2136" w:type="dxa"/>
            <w:vAlign w:val="center"/>
          </w:tcPr>
          <w:p>
            <w:pPr>
              <w:adjustRightInd w:val="0"/>
              <w:snapToGrid w:val="0"/>
              <w:jc w:val="center"/>
              <w:rPr>
                <w:sz w:val="24"/>
              </w:rPr>
            </w:pPr>
            <w:r>
              <w:rPr>
                <w:rFonts w:hint="eastAsia"/>
                <w:sz w:val="24"/>
              </w:rPr>
              <w:t>6.67</w:t>
            </w:r>
          </w:p>
        </w:tc>
        <w:tc>
          <w:tcPr>
            <w:tcW w:w="2244" w:type="dxa"/>
            <w:tcMar>
              <w:top w:w="16" w:type="dxa"/>
              <w:left w:w="16" w:type="dxa"/>
              <w:right w:w="16" w:type="dxa"/>
            </w:tcMar>
            <w:vAlign w:val="center"/>
          </w:tcPr>
          <w:p>
            <w:pPr>
              <w:adjustRightInd w:val="0"/>
              <w:snapToGrid w:val="0"/>
              <w:jc w:val="center"/>
              <w:rPr>
                <w:sz w:val="24"/>
              </w:rPr>
            </w:pPr>
            <w:r>
              <w:rPr>
                <w:sz w:val="24"/>
              </w:rPr>
              <w:t>施工工期</w:t>
            </w:r>
          </w:p>
        </w:tc>
        <w:tc>
          <w:tcPr>
            <w:tcW w:w="3409" w:type="dxa"/>
            <w:vAlign w:val="center"/>
          </w:tcPr>
          <w:p>
            <w:pPr>
              <w:adjustRightInd w:val="0"/>
              <w:snapToGrid w:val="0"/>
              <w:jc w:val="center"/>
              <w:rPr>
                <w:sz w:val="24"/>
              </w:rPr>
            </w:pPr>
            <w:r>
              <w:rPr>
                <w:rFonts w:hint="eastAsia"/>
                <w:sz w:val="24"/>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1"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是否开工建设</w:t>
            </w:r>
          </w:p>
        </w:tc>
        <w:tc>
          <w:tcPr>
            <w:tcW w:w="2136" w:type="dxa"/>
            <w:vAlign w:val="center"/>
          </w:tcPr>
          <w:p>
            <w:pPr>
              <w:adjustRightInd w:val="0"/>
              <w:snapToGrid w:val="0"/>
              <w:rPr>
                <w:sz w:val="24"/>
              </w:rPr>
            </w:pPr>
            <w:r>
              <w:rPr>
                <w:sz w:val="24"/>
              </w:rPr>
              <w:sym w:font="Wingdings 2" w:char="0052"/>
            </w:r>
            <w:r>
              <w:rPr>
                <w:sz w:val="24"/>
              </w:rPr>
              <w:t>否</w:t>
            </w:r>
          </w:p>
          <w:p>
            <w:pPr>
              <w:adjustRightInd w:val="0"/>
              <w:snapToGrid w:val="0"/>
              <w:rPr>
                <w:sz w:val="24"/>
              </w:rPr>
            </w:pPr>
            <w:r>
              <w:rPr>
                <w:sz w:val="24"/>
              </w:rPr>
              <w:sym w:font="Wingdings 2" w:char="00A3"/>
            </w:r>
            <w:r>
              <w:rPr>
                <w:sz w:val="24"/>
              </w:rPr>
              <w:t>是：</w:t>
            </w:r>
            <w:r>
              <w:rPr>
                <w:sz w:val="24"/>
                <w:u w:val="single"/>
              </w:rPr>
              <w:t xml:space="preserve">             </w:t>
            </w:r>
          </w:p>
        </w:tc>
        <w:tc>
          <w:tcPr>
            <w:tcW w:w="2244"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3409" w:type="dxa"/>
            <w:vAlign w:val="center"/>
          </w:tcPr>
          <w:p>
            <w:pPr>
              <w:adjustRightInd w:val="0"/>
              <w:snapToGrid w:val="0"/>
              <w:jc w:val="center"/>
              <w:rPr>
                <w:sz w:val="24"/>
              </w:rPr>
            </w:pPr>
            <w:r>
              <w:rPr>
                <w:rFonts w:hint="eastAsia"/>
                <w:sz w:val="24"/>
              </w:rPr>
              <w:t>30406.82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1" w:type="dxa"/>
            <w:vAlign w:val="center"/>
          </w:tcPr>
          <w:p>
            <w:pPr>
              <w:autoSpaceDE w:val="0"/>
              <w:autoSpaceDN w:val="0"/>
              <w:adjustRightInd w:val="0"/>
              <w:snapToGrid w:val="0"/>
              <w:jc w:val="center"/>
              <w:rPr>
                <w:rFonts w:ascii="宋体" w:hAnsi="宋体" w:cs="宋体"/>
                <w:color w:val="FF0000"/>
                <w:kern w:val="0"/>
                <w:sz w:val="24"/>
              </w:rPr>
            </w:pPr>
            <w:r>
              <w:rPr>
                <w:rFonts w:hint="eastAsia" w:cs="宋体"/>
                <w:kern w:val="21"/>
                <w:sz w:val="24"/>
                <w:szCs w:val="21"/>
              </w:rPr>
              <w:t>专项评价设置情况</w:t>
            </w:r>
          </w:p>
        </w:tc>
        <w:tc>
          <w:tcPr>
            <w:tcW w:w="7789" w:type="dxa"/>
            <w:gridSpan w:val="3"/>
            <w:vAlign w:val="center"/>
          </w:tcPr>
          <w:p>
            <w:pPr>
              <w:autoSpaceDE w:val="0"/>
              <w:autoSpaceDN w:val="0"/>
              <w:adjustRightInd w:val="0"/>
              <w:snapToGrid w:val="0"/>
              <w:spacing w:line="360" w:lineRule="auto"/>
              <w:ind w:firstLine="480" w:firstLineChars="200"/>
              <w:rPr>
                <w:kern w:val="0"/>
                <w:sz w:val="24"/>
              </w:rPr>
            </w:pPr>
            <w:r>
              <w:rPr>
                <w:kern w:val="0"/>
                <w:sz w:val="24"/>
              </w:rPr>
              <w:t>根据《建设项目环境影响报告表编制技术指南（污染影响类）（试行）》（2020年12月23日），本项目专项评价设置情况</w:t>
            </w:r>
            <w:r>
              <w:rPr>
                <w:rFonts w:hint="eastAsia"/>
                <w:kern w:val="0"/>
                <w:sz w:val="24"/>
              </w:rPr>
              <w:t>见表1-1</w:t>
            </w:r>
            <w:r>
              <w:rPr>
                <w:kern w:val="0"/>
                <w:sz w:val="24"/>
              </w:rPr>
              <w:t>。</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表1-1  专项评价设置情况一览表</w:t>
            </w:r>
          </w:p>
          <w:tbl>
            <w:tblPr>
              <w:tblStyle w:val="3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605"/>
              <w:gridCol w:w="29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59" w:type="pct"/>
                  <w:tcBorders>
                    <w:tl2br w:val="nil"/>
                    <w:tr2bl w:val="nil"/>
                  </w:tcBorders>
                  <w:vAlign w:val="center"/>
                </w:tcPr>
                <w:p>
                  <w:pPr>
                    <w:autoSpaceDE w:val="0"/>
                    <w:autoSpaceDN w:val="0"/>
                    <w:adjustRightInd w:val="0"/>
                    <w:snapToGrid w:val="0"/>
                    <w:jc w:val="center"/>
                    <w:rPr>
                      <w:kern w:val="0"/>
                      <w:szCs w:val="21"/>
                    </w:rPr>
                  </w:pPr>
                  <w:r>
                    <w:rPr>
                      <w:kern w:val="0"/>
                      <w:szCs w:val="21"/>
                    </w:rPr>
                    <w:t>专项评价类别</w:t>
                  </w:r>
                </w:p>
              </w:tc>
              <w:tc>
                <w:tcPr>
                  <w:tcW w:w="2380" w:type="pct"/>
                  <w:tcBorders>
                    <w:tl2br w:val="nil"/>
                    <w:tr2bl w:val="nil"/>
                  </w:tcBorders>
                  <w:vAlign w:val="center"/>
                </w:tcPr>
                <w:p>
                  <w:pPr>
                    <w:autoSpaceDE w:val="0"/>
                    <w:autoSpaceDN w:val="0"/>
                    <w:adjustRightInd w:val="0"/>
                    <w:snapToGrid w:val="0"/>
                    <w:jc w:val="center"/>
                    <w:rPr>
                      <w:kern w:val="0"/>
                      <w:szCs w:val="21"/>
                    </w:rPr>
                  </w:pPr>
                  <w:r>
                    <w:rPr>
                      <w:kern w:val="0"/>
                      <w:szCs w:val="21"/>
                    </w:rPr>
                    <w:t>设置原则</w:t>
                  </w:r>
                </w:p>
              </w:tc>
              <w:tc>
                <w:tcPr>
                  <w:tcW w:w="1960" w:type="pct"/>
                  <w:tcBorders>
                    <w:tl2br w:val="nil"/>
                    <w:tr2bl w:val="nil"/>
                  </w:tcBorders>
                  <w:vAlign w:val="center"/>
                </w:tcPr>
                <w:p>
                  <w:pPr>
                    <w:autoSpaceDE w:val="0"/>
                    <w:autoSpaceDN w:val="0"/>
                    <w:adjustRightInd w:val="0"/>
                    <w:snapToGrid w:val="0"/>
                    <w:jc w:val="center"/>
                    <w:rPr>
                      <w:kern w:val="0"/>
                      <w:szCs w:val="21"/>
                    </w:rPr>
                  </w:pPr>
                  <w:r>
                    <w:rPr>
                      <w:kern w:val="0"/>
                      <w:szCs w:val="21"/>
                    </w:rPr>
                    <w:t>本项目情况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59" w:type="pct"/>
                  <w:tcBorders>
                    <w:tl2br w:val="nil"/>
                    <w:tr2bl w:val="nil"/>
                  </w:tcBorders>
                  <w:vAlign w:val="center"/>
                </w:tcPr>
                <w:p>
                  <w:pPr>
                    <w:autoSpaceDE w:val="0"/>
                    <w:autoSpaceDN w:val="0"/>
                    <w:adjustRightInd w:val="0"/>
                    <w:snapToGrid w:val="0"/>
                    <w:jc w:val="center"/>
                    <w:rPr>
                      <w:kern w:val="0"/>
                      <w:szCs w:val="21"/>
                    </w:rPr>
                  </w:pPr>
                  <w:r>
                    <w:rPr>
                      <w:kern w:val="0"/>
                      <w:szCs w:val="21"/>
                    </w:rPr>
                    <w:t>大气</w:t>
                  </w:r>
                </w:p>
              </w:tc>
              <w:tc>
                <w:tcPr>
                  <w:tcW w:w="238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排放废气含有毒有害污染物、二噁英、苯并[a]芘、氰化物、氯气且厂界外500米范围内有环境空气保护目标的建设项目</w:t>
                  </w:r>
                  <w:r>
                    <w:rPr>
                      <w:rFonts w:hint="eastAsia"/>
                      <w:kern w:val="0"/>
                      <w:szCs w:val="21"/>
                      <w:lang w:eastAsia="zh-CN"/>
                    </w:rPr>
                    <w:t>。</w:t>
                  </w:r>
                </w:p>
              </w:tc>
              <w:tc>
                <w:tcPr>
                  <w:tcW w:w="1960" w:type="pct"/>
                  <w:tcBorders>
                    <w:tl2br w:val="nil"/>
                    <w:tr2bl w:val="nil"/>
                  </w:tcBorders>
                  <w:vAlign w:val="center"/>
                </w:tcPr>
                <w:p>
                  <w:pPr>
                    <w:autoSpaceDE w:val="0"/>
                    <w:autoSpaceDN w:val="0"/>
                    <w:adjustRightInd w:val="0"/>
                    <w:snapToGrid w:val="0"/>
                    <w:jc w:val="center"/>
                    <w:rPr>
                      <w:kern w:val="0"/>
                      <w:szCs w:val="21"/>
                    </w:rPr>
                  </w:pPr>
                  <w:r>
                    <w:rPr>
                      <w:kern w:val="0"/>
                      <w:szCs w:val="21"/>
                    </w:rPr>
                    <w:t>项目无有毒有害污染物、二噁英、苯并[a]芘、氰化物、氯气</w:t>
                  </w:r>
                </w:p>
                <w:p>
                  <w:pPr>
                    <w:autoSpaceDE w:val="0"/>
                    <w:autoSpaceDN w:val="0"/>
                    <w:adjustRightInd w:val="0"/>
                    <w:snapToGrid w:val="0"/>
                    <w:jc w:val="both"/>
                    <w:rPr>
                      <w:rFonts w:hint="eastAsia" w:eastAsia="宋体"/>
                      <w:kern w:val="0"/>
                      <w:szCs w:val="21"/>
                      <w:lang w:eastAsia="zh-CN"/>
                    </w:rPr>
                  </w:pPr>
                  <w:r>
                    <w:rPr>
                      <w:kern w:val="0"/>
                      <w:szCs w:val="21"/>
                    </w:rPr>
                    <w:t>排放，故无需设置专题</w:t>
                  </w:r>
                  <w:r>
                    <w:rPr>
                      <w:rFonts w:hint="eastAsia"/>
                      <w:kern w:val="0"/>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59" w:type="pct"/>
                  <w:tcBorders>
                    <w:tl2br w:val="nil"/>
                    <w:tr2bl w:val="nil"/>
                  </w:tcBorders>
                  <w:vAlign w:val="center"/>
                </w:tcPr>
                <w:p>
                  <w:pPr>
                    <w:autoSpaceDE w:val="0"/>
                    <w:autoSpaceDN w:val="0"/>
                    <w:adjustRightInd w:val="0"/>
                    <w:snapToGrid w:val="0"/>
                    <w:jc w:val="center"/>
                    <w:rPr>
                      <w:kern w:val="0"/>
                      <w:szCs w:val="21"/>
                    </w:rPr>
                  </w:pPr>
                  <w:r>
                    <w:rPr>
                      <w:kern w:val="0"/>
                      <w:szCs w:val="21"/>
                    </w:rPr>
                    <w:t>地表水</w:t>
                  </w:r>
                </w:p>
              </w:tc>
              <w:tc>
                <w:tcPr>
                  <w:tcW w:w="238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新增工业废水直排建设项目（槽罐车外送污水处理厂的除外）；新增废水直排的污水集中处理厂</w:t>
                  </w:r>
                  <w:r>
                    <w:rPr>
                      <w:rFonts w:hint="eastAsia"/>
                      <w:kern w:val="0"/>
                      <w:szCs w:val="21"/>
                      <w:lang w:eastAsia="zh-CN"/>
                    </w:rPr>
                    <w:t>。</w:t>
                  </w:r>
                </w:p>
              </w:tc>
              <w:tc>
                <w:tcPr>
                  <w:tcW w:w="196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项目不新增工业废水直排，故无需设置专题</w:t>
                  </w:r>
                  <w:r>
                    <w:rPr>
                      <w:rFonts w:hint="eastAsia"/>
                      <w:kern w:val="0"/>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59" w:type="pct"/>
                  <w:tcBorders>
                    <w:tl2br w:val="nil"/>
                    <w:tr2bl w:val="nil"/>
                  </w:tcBorders>
                  <w:vAlign w:val="center"/>
                </w:tcPr>
                <w:p>
                  <w:pPr>
                    <w:autoSpaceDE w:val="0"/>
                    <w:autoSpaceDN w:val="0"/>
                    <w:adjustRightInd w:val="0"/>
                    <w:snapToGrid w:val="0"/>
                    <w:jc w:val="center"/>
                    <w:rPr>
                      <w:kern w:val="0"/>
                      <w:szCs w:val="21"/>
                    </w:rPr>
                  </w:pPr>
                  <w:r>
                    <w:rPr>
                      <w:kern w:val="0"/>
                      <w:szCs w:val="21"/>
                    </w:rPr>
                    <w:t>环境风险</w:t>
                  </w:r>
                </w:p>
              </w:tc>
              <w:tc>
                <w:tcPr>
                  <w:tcW w:w="238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有毒有害和易燃易爆危险物质存储量超过临界量的建设项目</w:t>
                  </w:r>
                  <w:r>
                    <w:rPr>
                      <w:rFonts w:hint="eastAsia"/>
                      <w:kern w:val="0"/>
                      <w:szCs w:val="21"/>
                      <w:lang w:eastAsia="zh-CN"/>
                    </w:rPr>
                    <w:t>。</w:t>
                  </w:r>
                </w:p>
              </w:tc>
              <w:tc>
                <w:tcPr>
                  <w:tcW w:w="196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项目涉及到</w:t>
                  </w:r>
                  <w:r>
                    <w:rPr>
                      <w:rFonts w:hint="eastAsia" w:cs="宋体"/>
                      <w:kern w:val="21"/>
                      <w:szCs w:val="21"/>
                    </w:rPr>
                    <w:t>甲苯及二甲苯等风险物质</w:t>
                  </w:r>
                  <w:r>
                    <w:rPr>
                      <w:kern w:val="0"/>
                      <w:szCs w:val="21"/>
                    </w:rPr>
                    <w:t>，但都未达到临界量（Q＜1</w:t>
                  </w:r>
                  <w:r>
                    <w:rPr>
                      <w:rFonts w:hint="eastAsia"/>
                      <w:kern w:val="0"/>
                      <w:szCs w:val="21"/>
                    </w:rPr>
                    <w:t>）</w:t>
                  </w:r>
                  <w:r>
                    <w:rPr>
                      <w:kern w:val="0"/>
                      <w:szCs w:val="21"/>
                    </w:rPr>
                    <w:t>，因此无需设置该专项评价</w:t>
                  </w:r>
                  <w:r>
                    <w:rPr>
                      <w:rFonts w:hint="eastAsia"/>
                      <w:kern w:val="0"/>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59" w:type="pct"/>
                  <w:tcBorders>
                    <w:tl2br w:val="nil"/>
                    <w:tr2bl w:val="nil"/>
                  </w:tcBorders>
                  <w:vAlign w:val="center"/>
                </w:tcPr>
                <w:p>
                  <w:pPr>
                    <w:autoSpaceDE w:val="0"/>
                    <w:autoSpaceDN w:val="0"/>
                    <w:adjustRightInd w:val="0"/>
                    <w:snapToGrid w:val="0"/>
                    <w:jc w:val="center"/>
                    <w:rPr>
                      <w:kern w:val="0"/>
                      <w:szCs w:val="21"/>
                    </w:rPr>
                  </w:pPr>
                  <w:r>
                    <w:rPr>
                      <w:kern w:val="0"/>
                      <w:szCs w:val="21"/>
                    </w:rPr>
                    <w:t>生态</w:t>
                  </w:r>
                </w:p>
              </w:tc>
              <w:tc>
                <w:tcPr>
                  <w:tcW w:w="238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取水口下游500米范围内有重要水生生物的自然产卵场、索饵场、越冬场和洄游通道的新增河道取水的污染类建设项目</w:t>
                  </w:r>
                  <w:r>
                    <w:rPr>
                      <w:rFonts w:hint="eastAsia"/>
                      <w:kern w:val="0"/>
                      <w:szCs w:val="21"/>
                      <w:lang w:eastAsia="zh-CN"/>
                    </w:rPr>
                    <w:t>。</w:t>
                  </w:r>
                </w:p>
              </w:tc>
              <w:tc>
                <w:tcPr>
                  <w:tcW w:w="1960" w:type="pct"/>
                  <w:tcBorders>
                    <w:tl2br w:val="nil"/>
                    <w:tr2bl w:val="nil"/>
                  </w:tcBorders>
                  <w:vAlign w:val="center"/>
                </w:tcPr>
                <w:p>
                  <w:pPr>
                    <w:autoSpaceDE w:val="0"/>
                    <w:autoSpaceDN w:val="0"/>
                    <w:adjustRightInd w:val="0"/>
                    <w:snapToGrid w:val="0"/>
                    <w:jc w:val="center"/>
                    <w:rPr>
                      <w:kern w:val="0"/>
                      <w:szCs w:val="21"/>
                    </w:rPr>
                  </w:pPr>
                  <w:r>
                    <w:rPr>
                      <w:kern w:val="0"/>
                      <w:szCs w:val="21"/>
                    </w:rPr>
                    <w:t>本项目不涉及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59" w:type="pct"/>
                  <w:tcBorders>
                    <w:tl2br w:val="nil"/>
                    <w:tr2bl w:val="nil"/>
                  </w:tcBorders>
                  <w:vAlign w:val="center"/>
                </w:tcPr>
                <w:p>
                  <w:pPr>
                    <w:autoSpaceDE w:val="0"/>
                    <w:autoSpaceDN w:val="0"/>
                    <w:adjustRightInd w:val="0"/>
                    <w:snapToGrid w:val="0"/>
                    <w:jc w:val="center"/>
                    <w:rPr>
                      <w:kern w:val="0"/>
                      <w:szCs w:val="21"/>
                    </w:rPr>
                  </w:pPr>
                  <w:r>
                    <w:rPr>
                      <w:kern w:val="0"/>
                      <w:szCs w:val="21"/>
                    </w:rPr>
                    <w:t>海洋</w:t>
                  </w:r>
                </w:p>
              </w:tc>
              <w:tc>
                <w:tcPr>
                  <w:tcW w:w="2380" w:type="pct"/>
                  <w:tcBorders>
                    <w:tl2br w:val="nil"/>
                    <w:tr2bl w:val="nil"/>
                  </w:tcBorders>
                  <w:vAlign w:val="center"/>
                </w:tcPr>
                <w:p>
                  <w:pPr>
                    <w:autoSpaceDE w:val="0"/>
                    <w:autoSpaceDN w:val="0"/>
                    <w:adjustRightInd w:val="0"/>
                    <w:snapToGrid w:val="0"/>
                    <w:jc w:val="left"/>
                    <w:rPr>
                      <w:rFonts w:hint="eastAsia" w:eastAsia="宋体"/>
                      <w:kern w:val="0"/>
                      <w:szCs w:val="21"/>
                      <w:lang w:eastAsia="zh-CN"/>
                    </w:rPr>
                  </w:pPr>
                  <w:r>
                    <w:rPr>
                      <w:kern w:val="0"/>
                      <w:szCs w:val="21"/>
                    </w:rPr>
                    <w:t>直接向海排放污染物的海洋工程建设项目</w:t>
                  </w:r>
                  <w:r>
                    <w:rPr>
                      <w:rFonts w:hint="eastAsia"/>
                      <w:kern w:val="0"/>
                      <w:szCs w:val="21"/>
                      <w:lang w:eastAsia="zh-CN"/>
                    </w:rPr>
                    <w:t>。</w:t>
                  </w:r>
                </w:p>
              </w:tc>
              <w:tc>
                <w:tcPr>
                  <w:tcW w:w="1960" w:type="pct"/>
                  <w:tcBorders>
                    <w:tl2br w:val="nil"/>
                    <w:tr2bl w:val="nil"/>
                  </w:tcBorders>
                  <w:vAlign w:val="center"/>
                </w:tcPr>
                <w:p>
                  <w:pPr>
                    <w:autoSpaceDE w:val="0"/>
                    <w:autoSpaceDN w:val="0"/>
                    <w:adjustRightInd w:val="0"/>
                    <w:snapToGrid w:val="0"/>
                    <w:jc w:val="center"/>
                    <w:rPr>
                      <w:kern w:val="0"/>
                      <w:szCs w:val="21"/>
                    </w:rPr>
                  </w:pPr>
                  <w:r>
                    <w:rPr>
                      <w:kern w:val="0"/>
                      <w:szCs w:val="21"/>
                    </w:rPr>
                    <w:t>本项目不涉及</w:t>
                  </w:r>
                </w:p>
              </w:tc>
            </w:tr>
          </w:tbl>
          <w:p>
            <w:pPr>
              <w:autoSpaceDE w:val="0"/>
              <w:autoSpaceDN w:val="0"/>
              <w:adjustRightInd w:val="0"/>
              <w:snapToGrid w:val="0"/>
              <w:spacing w:line="360" w:lineRule="auto"/>
              <w:ind w:firstLine="480" w:firstLineChars="200"/>
              <w:rPr>
                <w:kern w:val="0"/>
                <w:sz w:val="24"/>
              </w:rPr>
            </w:pPr>
            <w:r>
              <w:rPr>
                <w:kern w:val="0"/>
                <w:sz w:val="24"/>
              </w:rPr>
              <w:t>综上所述，本项目不设置专题或专项评价。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81" w:type="dxa"/>
            <w:vAlign w:val="center"/>
          </w:tcPr>
          <w:p>
            <w:pPr>
              <w:adjustRightInd w:val="0"/>
              <w:snapToGrid w:val="0"/>
              <w:spacing w:line="360" w:lineRule="auto"/>
              <w:jc w:val="center"/>
              <w:rPr>
                <w:rFonts w:cs="宋体"/>
                <w:kern w:val="21"/>
                <w:sz w:val="24"/>
                <w:szCs w:val="21"/>
              </w:rPr>
            </w:pPr>
            <w:r>
              <w:rPr>
                <w:rFonts w:hint="eastAsia" w:cs="宋体"/>
                <w:kern w:val="21"/>
                <w:sz w:val="24"/>
                <w:szCs w:val="21"/>
              </w:rPr>
              <w:t>规划情况</w:t>
            </w:r>
          </w:p>
        </w:tc>
        <w:tc>
          <w:tcPr>
            <w:tcW w:w="7789" w:type="dxa"/>
            <w:gridSpan w:val="3"/>
            <w:vAlign w:val="center"/>
          </w:tcPr>
          <w:p>
            <w:pPr>
              <w:adjustRightInd w:val="0"/>
              <w:snapToGrid w:val="0"/>
              <w:spacing w:line="360" w:lineRule="auto"/>
              <w:jc w:val="center"/>
              <w:rPr>
                <w:rFonts w:hint="eastAsia" w:cs="宋体"/>
                <w:kern w:val="21"/>
                <w:sz w:val="24"/>
                <w:szCs w:val="21"/>
              </w:rPr>
            </w:pPr>
            <w:r>
              <w:rPr>
                <w:rFonts w:hint="eastAsia" w:cs="宋体"/>
                <w:kern w:val="21"/>
                <w:sz w:val="24"/>
                <w:szCs w:val="21"/>
              </w:rPr>
              <w:t>《余干工业园区扩区规划建设项目可行性研究报告》</w:t>
            </w:r>
            <w:r>
              <w:rPr>
                <w:rFonts w:hint="eastAsia" w:cs="宋体"/>
                <w:kern w:val="21"/>
                <w:sz w:val="24"/>
                <w:szCs w:val="21"/>
                <w:lang w:eastAsia="zh-CN"/>
              </w:rPr>
              <w:t>、</w:t>
            </w:r>
            <w:r>
              <w:rPr>
                <w:rFonts w:hint="eastAsia" w:cs="宋体"/>
                <w:kern w:val="21"/>
                <w:sz w:val="24"/>
                <w:szCs w:val="21"/>
              </w:rPr>
              <w:t>《余干县黄金埠电</w:t>
            </w:r>
          </w:p>
          <w:p>
            <w:pPr>
              <w:adjustRightInd w:val="0"/>
              <w:snapToGrid w:val="0"/>
              <w:spacing w:line="360" w:lineRule="auto"/>
              <w:jc w:val="both"/>
              <w:rPr>
                <w:rFonts w:cs="宋体"/>
                <w:kern w:val="21"/>
                <w:sz w:val="24"/>
                <w:szCs w:val="21"/>
              </w:rPr>
            </w:pPr>
            <w:r>
              <w:rPr>
                <w:rFonts w:hint="eastAsia" w:cs="宋体"/>
                <w:kern w:val="21"/>
                <w:sz w:val="24"/>
                <w:szCs w:val="21"/>
              </w:rPr>
              <w:t>力特色基地控制性详细规划》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1" w:type="dxa"/>
            <w:vAlign w:val="center"/>
          </w:tcPr>
          <w:p>
            <w:pPr>
              <w:adjustRightInd w:val="0"/>
              <w:snapToGrid w:val="0"/>
              <w:jc w:val="center"/>
              <w:rPr>
                <w:rFonts w:ascii="宋体" w:hAnsi="宋体" w:cs="宋体"/>
                <w:kern w:val="0"/>
                <w:sz w:val="24"/>
              </w:rPr>
            </w:pPr>
            <w:r>
              <w:rPr>
                <w:rFonts w:hint="eastAsia" w:cs="宋体"/>
                <w:kern w:val="21"/>
                <w:sz w:val="24"/>
                <w:szCs w:val="21"/>
              </w:rPr>
              <w:t>规划环境影响评价情况</w:t>
            </w:r>
          </w:p>
        </w:tc>
        <w:tc>
          <w:tcPr>
            <w:tcW w:w="7789" w:type="dxa"/>
            <w:gridSpan w:val="3"/>
            <w:vAlign w:val="center"/>
          </w:tcPr>
          <w:p>
            <w:pPr>
              <w:autoSpaceDE w:val="0"/>
              <w:autoSpaceDN w:val="0"/>
              <w:adjustRightInd w:val="0"/>
              <w:snapToGrid w:val="0"/>
              <w:spacing w:line="360" w:lineRule="auto"/>
              <w:rPr>
                <w:rFonts w:cs="宋体"/>
                <w:kern w:val="21"/>
                <w:sz w:val="24"/>
                <w:szCs w:val="21"/>
              </w:rPr>
            </w:pPr>
            <w:r>
              <w:rPr>
                <w:rFonts w:hint="eastAsia" w:cs="宋体"/>
                <w:kern w:val="21"/>
                <w:sz w:val="24"/>
                <w:szCs w:val="21"/>
              </w:rPr>
              <w:t>（1）规划环境影响评价文件：《余干工业园区扩区调区规划环境影响报告书》</w:t>
            </w:r>
          </w:p>
          <w:p>
            <w:pPr>
              <w:autoSpaceDE w:val="0"/>
              <w:autoSpaceDN w:val="0"/>
              <w:adjustRightInd w:val="0"/>
              <w:snapToGrid w:val="0"/>
              <w:spacing w:line="360" w:lineRule="auto"/>
              <w:rPr>
                <w:rFonts w:cs="宋体"/>
                <w:kern w:val="21"/>
                <w:sz w:val="24"/>
                <w:szCs w:val="21"/>
              </w:rPr>
            </w:pPr>
            <w:r>
              <w:rPr>
                <w:rFonts w:hint="eastAsia" w:cs="宋体"/>
                <w:kern w:val="21"/>
                <w:sz w:val="24"/>
                <w:szCs w:val="21"/>
              </w:rPr>
              <w:t>（2）审查机关：原江西省环境保护厅</w:t>
            </w:r>
          </w:p>
          <w:p>
            <w:pPr>
              <w:autoSpaceDE w:val="0"/>
              <w:autoSpaceDN w:val="0"/>
              <w:adjustRightInd w:val="0"/>
              <w:snapToGrid w:val="0"/>
              <w:spacing w:line="360" w:lineRule="auto"/>
              <w:rPr>
                <w:rFonts w:cs="宋体"/>
                <w:kern w:val="21"/>
                <w:sz w:val="24"/>
                <w:szCs w:val="21"/>
              </w:rPr>
            </w:pPr>
            <w:r>
              <w:rPr>
                <w:rFonts w:hint="eastAsia" w:cs="宋体"/>
                <w:kern w:val="21"/>
                <w:sz w:val="24"/>
                <w:szCs w:val="21"/>
              </w:rPr>
              <w:t>（3）审查文件《江西省环境保护厅关于余干工业园区扩区调区规划环境影响报告书审查意见的函》</w:t>
            </w:r>
          </w:p>
          <w:p>
            <w:pPr>
              <w:autoSpaceDE w:val="0"/>
              <w:autoSpaceDN w:val="0"/>
              <w:adjustRightInd w:val="0"/>
              <w:snapToGrid w:val="0"/>
              <w:spacing w:line="360" w:lineRule="auto"/>
              <w:rPr>
                <w:kern w:val="0"/>
                <w:sz w:val="24"/>
              </w:rPr>
            </w:pPr>
            <w:r>
              <w:rPr>
                <w:rFonts w:hint="eastAsia" w:cs="宋体"/>
                <w:kern w:val="21"/>
                <w:sz w:val="24"/>
                <w:szCs w:val="21"/>
              </w:rPr>
              <w:t>（4）审查文号：赣环评函</w:t>
            </w:r>
            <w:r>
              <w:rPr>
                <w:rFonts w:hint="eastAsia" w:cs="宋体"/>
                <w:kern w:val="21"/>
                <w:sz w:val="24"/>
                <w:szCs w:val="21"/>
                <w:lang w:val="en-US" w:eastAsia="zh-CN"/>
              </w:rPr>
              <w:t>[</w:t>
            </w:r>
            <w:r>
              <w:rPr>
                <w:rFonts w:hint="eastAsia" w:cs="宋体"/>
                <w:kern w:val="21"/>
                <w:sz w:val="24"/>
                <w:szCs w:val="21"/>
              </w:rPr>
              <w:t>2015</w:t>
            </w:r>
            <w:r>
              <w:rPr>
                <w:rFonts w:hint="eastAsia" w:cs="宋体"/>
                <w:kern w:val="21"/>
                <w:sz w:val="24"/>
                <w:szCs w:val="21"/>
                <w:lang w:val="en-US" w:eastAsia="zh-CN"/>
              </w:rPr>
              <w:t>]</w:t>
            </w:r>
            <w:r>
              <w:rPr>
                <w:rFonts w:hint="eastAsia" w:cs="宋体"/>
                <w:kern w:val="21"/>
                <w:sz w:val="24"/>
                <w:szCs w:val="21"/>
              </w:rPr>
              <w:t>130号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1" w:type="dxa"/>
            <w:vAlign w:val="center"/>
          </w:tcPr>
          <w:p>
            <w:pPr>
              <w:autoSpaceDE w:val="0"/>
              <w:autoSpaceDN w:val="0"/>
              <w:adjustRightInd w:val="0"/>
              <w:snapToGrid w:val="0"/>
              <w:jc w:val="center"/>
              <w:rPr>
                <w:rFonts w:ascii="宋体" w:hAnsi="宋体" w:cs="宋体"/>
                <w:color w:val="FF0000"/>
                <w:kern w:val="0"/>
                <w:sz w:val="24"/>
              </w:rPr>
            </w:pPr>
            <w:r>
              <w:rPr>
                <w:rFonts w:hint="eastAsia" w:cs="宋体"/>
                <w:kern w:val="21"/>
                <w:sz w:val="24"/>
                <w:szCs w:val="21"/>
              </w:rPr>
              <w:t>规划及规划环境影响评价符合性分析</w:t>
            </w:r>
          </w:p>
        </w:tc>
        <w:tc>
          <w:tcPr>
            <w:tcW w:w="7789" w:type="dxa"/>
            <w:gridSpan w:val="3"/>
            <w:vAlign w:val="center"/>
          </w:tcPr>
          <w:p>
            <w:pPr>
              <w:numPr>
                <w:ilvl w:val="0"/>
                <w:numId w:val="2"/>
              </w:numPr>
              <w:autoSpaceDE w:val="0"/>
              <w:autoSpaceDN w:val="0"/>
              <w:adjustRightInd w:val="0"/>
              <w:snapToGrid w:val="0"/>
              <w:spacing w:line="360" w:lineRule="auto"/>
              <w:ind w:firstLine="480" w:firstLineChars="200"/>
              <w:rPr>
                <w:rFonts w:cs="宋体"/>
                <w:kern w:val="21"/>
                <w:sz w:val="24"/>
              </w:rPr>
            </w:pPr>
            <w:r>
              <w:rPr>
                <w:rFonts w:hint="eastAsia" w:cs="宋体"/>
                <w:kern w:val="21"/>
                <w:sz w:val="24"/>
              </w:rPr>
              <w:t>与《余干高新技术产业园区扩区调区》规划符合性分析</w:t>
            </w:r>
          </w:p>
          <w:p>
            <w:pPr>
              <w:autoSpaceDE w:val="0"/>
              <w:autoSpaceDN w:val="0"/>
              <w:adjustRightInd w:val="0"/>
              <w:snapToGrid w:val="0"/>
              <w:spacing w:line="360" w:lineRule="auto"/>
              <w:ind w:firstLine="480" w:firstLineChars="200"/>
              <w:rPr>
                <w:rFonts w:cs="宋体"/>
                <w:kern w:val="21"/>
                <w:sz w:val="24"/>
              </w:rPr>
            </w:pPr>
            <w:r>
              <w:rPr>
                <w:rFonts w:hint="eastAsia" w:cs="宋体"/>
                <w:kern w:val="21"/>
                <w:sz w:val="24"/>
              </w:rPr>
              <w:t>江西余干县高新技术产业园区</w:t>
            </w:r>
            <w:r>
              <w:rPr>
                <w:rFonts w:cs="宋体"/>
                <w:kern w:val="21"/>
                <w:sz w:val="24"/>
              </w:rPr>
              <w:t>是国家高新技术产业开发区，始建于200</w:t>
            </w:r>
            <w:r>
              <w:rPr>
                <w:rFonts w:hint="eastAsia" w:cs="宋体"/>
                <w:kern w:val="21"/>
                <w:sz w:val="24"/>
              </w:rPr>
              <w:t>6</w:t>
            </w:r>
            <w:r>
              <w:rPr>
                <w:rFonts w:cs="宋体"/>
                <w:kern w:val="21"/>
                <w:sz w:val="24"/>
              </w:rPr>
              <w:t>年</w:t>
            </w:r>
            <w:r>
              <w:rPr>
                <w:rFonts w:hint="eastAsia" w:cs="宋体"/>
                <w:kern w:val="21"/>
                <w:sz w:val="24"/>
              </w:rPr>
              <w:t>3月</w:t>
            </w:r>
            <w:r>
              <w:rPr>
                <w:rFonts w:cs="宋体"/>
                <w:kern w:val="21"/>
                <w:sz w:val="24"/>
              </w:rPr>
              <w:t>，2006年3月获批为省级工业园区，</w:t>
            </w:r>
            <w:r>
              <w:rPr>
                <w:rFonts w:hint="eastAsia" w:cs="宋体"/>
                <w:kern w:val="21"/>
                <w:sz w:val="24"/>
              </w:rPr>
              <w:t>随后</w:t>
            </w:r>
            <w:r>
              <w:rPr>
                <w:rFonts w:cs="宋体"/>
                <w:kern w:val="21"/>
                <w:sz w:val="24"/>
              </w:rPr>
              <w:t>经省政府研究同意，江西余干工业园区更名为江西</w:t>
            </w:r>
            <w:r>
              <w:rPr>
                <w:rFonts w:hint="eastAsia" w:cs="宋体"/>
                <w:kern w:val="21"/>
                <w:sz w:val="24"/>
              </w:rPr>
              <w:t>余干高新技术产业园区</w:t>
            </w:r>
            <w:r>
              <w:rPr>
                <w:rFonts w:cs="宋体"/>
                <w:kern w:val="21"/>
                <w:sz w:val="24"/>
              </w:rPr>
              <w:t>。更名后，园区四至范围、界址点坐标、面积等事项不变。</w:t>
            </w:r>
          </w:p>
          <w:p>
            <w:pPr>
              <w:autoSpaceDE w:val="0"/>
              <w:autoSpaceDN w:val="0"/>
              <w:adjustRightInd w:val="0"/>
              <w:snapToGrid w:val="0"/>
              <w:spacing w:line="360" w:lineRule="auto"/>
              <w:ind w:firstLine="480" w:firstLineChars="200"/>
              <w:rPr>
                <w:rFonts w:cs="宋体"/>
                <w:kern w:val="21"/>
                <w:sz w:val="24"/>
              </w:rPr>
            </w:pPr>
            <w:r>
              <w:rPr>
                <w:rFonts w:hint="eastAsia" w:cs="宋体"/>
                <w:kern w:val="21"/>
                <w:sz w:val="24"/>
              </w:rPr>
              <w:t>江西余干工业园区于2006年经省政府批准为省级工业园，原核准面积为1.57平方公里，已初步形成服装鞋帽和生物制药等产业。2013年7月，省发展改革委以赣发改办函</w:t>
            </w:r>
            <w:r>
              <w:rPr>
                <w:rFonts w:hint="eastAsia" w:cs="宋体"/>
                <w:kern w:val="21"/>
                <w:sz w:val="24"/>
                <w:lang w:val="en-US" w:eastAsia="zh-CN"/>
              </w:rPr>
              <w:t>[</w:t>
            </w:r>
            <w:r>
              <w:rPr>
                <w:rFonts w:hint="eastAsia" w:cs="宋体"/>
                <w:kern w:val="21"/>
                <w:sz w:val="24"/>
              </w:rPr>
              <w:t>2013</w:t>
            </w:r>
            <w:r>
              <w:rPr>
                <w:rFonts w:hint="eastAsia" w:cs="宋体"/>
                <w:kern w:val="21"/>
                <w:sz w:val="24"/>
                <w:lang w:val="en-US" w:eastAsia="zh-CN"/>
              </w:rPr>
              <w:t>]</w:t>
            </w:r>
            <w:r>
              <w:rPr>
                <w:rFonts w:hint="eastAsia" w:cs="宋体"/>
                <w:kern w:val="21"/>
                <w:sz w:val="24"/>
              </w:rPr>
              <w:t>219号文同意开展扩区调区前期工作，江西余干工业园区拟在原核准的城西工业园片区上进行扩区，并将余干县黄金埠电力特色基地纳入江西余干工业园区，扩区后形成“一区两园”格局（城西工业园+黄金埠工业园），园区总规划面积14.2平方公里。黄金埠工业园片区以有色金属(不含冶炼)、能源建材、机械、电子信息、高新技术产业开发为重点，规划期末生产生活能源以天然气、电和煤炭为主；该片区用水由黄金埠水厂供给，废水纳入江西余干工业园区（黄金埠）污水处理厂处理，尾水达《城镇污水处理厂污染物排放标准》（GB18918-2002）一级B标准后排入信江。</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本项目为</w:t>
            </w:r>
            <w:r>
              <w:rPr>
                <w:rFonts w:hint="eastAsia" w:ascii="宋体" w:hAnsi="宋体" w:cs="宋体"/>
                <w:color w:val="000000" w:themeColor="text1"/>
                <w:sz w:val="24"/>
                <w14:textFill>
                  <w14:solidFill>
                    <w14:schemeClr w14:val="tx1"/>
                  </w14:solidFill>
                </w14:textFill>
              </w:rPr>
              <w:t>木质家具制造</w:t>
            </w:r>
            <w:r>
              <w:rPr>
                <w:rFonts w:hint="eastAsia"/>
                <w:color w:val="000000" w:themeColor="text1"/>
                <w:sz w:val="24"/>
                <w14:textFill>
                  <w14:solidFill>
                    <w14:schemeClr w14:val="tx1"/>
                  </w14:solidFill>
                </w14:textFill>
              </w:rPr>
              <w:t>，属于能源建材配套产业，</w:t>
            </w:r>
            <w:r>
              <w:rPr>
                <w:color w:val="000000" w:themeColor="text1"/>
                <w:sz w:val="24"/>
                <w14:textFill>
                  <w14:solidFill>
                    <w14:schemeClr w14:val="tx1"/>
                  </w14:solidFill>
                </w14:textFill>
              </w:rPr>
              <w:t>与</w:t>
            </w:r>
            <w:r>
              <w:rPr>
                <w:rFonts w:hint="eastAsia"/>
                <w:color w:val="000000" w:themeColor="text1"/>
                <w:sz w:val="24"/>
                <w:lang w:eastAsia="zh-CN"/>
                <w14:textFill>
                  <w14:solidFill>
                    <w14:schemeClr w14:val="tx1"/>
                  </w14:solidFill>
                </w14:textFill>
              </w:rPr>
              <w:t>江西</w:t>
            </w:r>
            <w:r>
              <w:rPr>
                <w:rFonts w:hint="eastAsia"/>
                <w:color w:val="000000" w:themeColor="text1"/>
                <w:sz w:val="24"/>
                <w14:textFill>
                  <w14:solidFill>
                    <w14:schemeClr w14:val="tx1"/>
                  </w14:solidFill>
                </w14:textFill>
              </w:rPr>
              <w:t>余干高新技术产业园区</w:t>
            </w:r>
            <w:r>
              <w:rPr>
                <w:color w:val="000000" w:themeColor="text1"/>
                <w:sz w:val="24"/>
                <w14:textFill>
                  <w14:solidFill>
                    <w14:schemeClr w14:val="tx1"/>
                  </w14:solidFill>
                </w14:textFill>
              </w:rPr>
              <w:t>黄金埠工业园片区规划环评批复的产业类型相符，符合</w:t>
            </w:r>
            <w:r>
              <w:rPr>
                <w:rFonts w:hint="eastAsia"/>
                <w:color w:val="000000" w:themeColor="text1"/>
                <w:sz w:val="24"/>
                <w:lang w:eastAsia="zh-CN"/>
                <w14:textFill>
                  <w14:solidFill>
                    <w14:schemeClr w14:val="tx1"/>
                  </w14:solidFill>
                </w14:textFill>
              </w:rPr>
              <w:t>江西</w:t>
            </w:r>
            <w:r>
              <w:rPr>
                <w:rFonts w:hint="eastAsia"/>
                <w:color w:val="000000" w:themeColor="text1"/>
                <w:sz w:val="24"/>
                <w14:textFill>
                  <w14:solidFill>
                    <w14:schemeClr w14:val="tx1"/>
                  </w14:solidFill>
                </w14:textFill>
              </w:rPr>
              <w:t>余干高新技术产业园区</w:t>
            </w:r>
            <w:r>
              <w:rPr>
                <w:color w:val="000000" w:themeColor="text1"/>
                <w:sz w:val="24"/>
                <w14:textFill>
                  <w14:solidFill>
                    <w14:schemeClr w14:val="tx1"/>
                  </w14:solidFill>
                </w14:textFill>
              </w:rPr>
              <w:t>的总体规划发展要求。</w:t>
            </w:r>
          </w:p>
          <w:p>
            <w:pPr>
              <w:autoSpaceDE w:val="0"/>
              <w:autoSpaceDN w:val="0"/>
              <w:adjustRightInd w:val="0"/>
              <w:snapToGrid w:val="0"/>
              <w:spacing w:line="360" w:lineRule="auto"/>
              <w:ind w:firstLine="480" w:firstLineChars="200"/>
              <w:rPr>
                <w:kern w:val="21"/>
                <w:sz w:val="24"/>
                <w:szCs w:val="21"/>
              </w:rPr>
            </w:pPr>
            <w:r>
              <w:rPr>
                <w:rFonts w:hint="eastAsia"/>
                <w:kern w:val="21"/>
                <w:sz w:val="24"/>
                <w:szCs w:val="21"/>
              </w:rPr>
              <w:t>（2）与《江西省环境保护厅关于余干工业园区扩区调区规划环境影响报告书审查意见的函》的相符性分析</w:t>
            </w:r>
          </w:p>
          <w:p>
            <w:pPr>
              <w:autoSpaceDE w:val="0"/>
              <w:autoSpaceDN w:val="0"/>
              <w:adjustRightInd w:val="0"/>
              <w:snapToGrid w:val="0"/>
              <w:spacing w:line="360" w:lineRule="auto"/>
              <w:ind w:firstLine="480" w:firstLineChars="200"/>
              <w:rPr>
                <w:rFonts w:hint="eastAsia" w:eastAsia="宋体"/>
                <w:kern w:val="21"/>
                <w:sz w:val="24"/>
                <w:szCs w:val="21"/>
                <w:lang w:eastAsia="zh-CN"/>
              </w:rPr>
            </w:pPr>
            <w:r>
              <w:rPr>
                <w:kern w:val="21"/>
                <w:sz w:val="24"/>
                <w:szCs w:val="21"/>
              </w:rPr>
              <w:t>本项目与</w:t>
            </w:r>
            <w:r>
              <w:rPr>
                <w:rFonts w:hint="eastAsia"/>
                <w:kern w:val="21"/>
                <w:sz w:val="24"/>
                <w:szCs w:val="21"/>
              </w:rPr>
              <w:t>《江西省环境保护厅关于余干工业园区扩区调区规划环境影响报告书审查意见的函》</w:t>
            </w:r>
            <w:r>
              <w:rPr>
                <w:kern w:val="21"/>
                <w:sz w:val="24"/>
                <w:szCs w:val="21"/>
              </w:rPr>
              <w:t>的相符性分析详见表</w:t>
            </w:r>
            <w:r>
              <w:rPr>
                <w:rFonts w:hint="eastAsia"/>
                <w:kern w:val="21"/>
                <w:sz w:val="24"/>
                <w:szCs w:val="21"/>
              </w:rPr>
              <w:t>1-2</w:t>
            </w:r>
            <w:r>
              <w:rPr>
                <w:rFonts w:hint="eastAsia"/>
                <w:kern w:val="21"/>
                <w:sz w:val="24"/>
                <w:szCs w:val="21"/>
                <w:lang w:eastAsia="zh-CN"/>
              </w:rPr>
              <w:t>。</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表1-2 与《江西省环境保护厅关于余干工业园区扩区调区规划环境影响报告书审查意见的函》</w:t>
            </w:r>
            <w:r>
              <w:rPr>
                <w:rFonts w:hint="eastAsia" w:eastAsia="黑体"/>
                <w:kern w:val="0"/>
                <w:sz w:val="24"/>
                <w:lang w:eastAsia="zh-CN"/>
              </w:rPr>
              <w:t>（</w:t>
            </w:r>
            <w:r>
              <w:rPr>
                <w:rFonts w:hint="eastAsia" w:eastAsia="黑体"/>
                <w:kern w:val="0"/>
                <w:sz w:val="24"/>
              </w:rPr>
              <w:t>赣环评函</w:t>
            </w:r>
            <w:r>
              <w:rPr>
                <w:rFonts w:hint="eastAsia" w:eastAsia="黑体"/>
                <w:kern w:val="0"/>
                <w:sz w:val="24"/>
                <w:lang w:val="en-US" w:eastAsia="zh-CN"/>
              </w:rPr>
              <w:t>[</w:t>
            </w:r>
            <w:r>
              <w:rPr>
                <w:rFonts w:hint="eastAsia" w:eastAsia="黑体"/>
                <w:kern w:val="0"/>
                <w:sz w:val="24"/>
              </w:rPr>
              <w:t>2015</w:t>
            </w:r>
            <w:r>
              <w:rPr>
                <w:rFonts w:hint="eastAsia" w:eastAsia="黑体"/>
                <w:kern w:val="0"/>
                <w:sz w:val="24"/>
                <w:lang w:val="en-US" w:eastAsia="zh-CN"/>
              </w:rPr>
              <w:t>]</w:t>
            </w:r>
            <w:r>
              <w:rPr>
                <w:rFonts w:hint="eastAsia" w:eastAsia="黑体"/>
                <w:kern w:val="0"/>
                <w:sz w:val="24"/>
              </w:rPr>
              <w:t>130号</w:t>
            </w:r>
            <w:r>
              <w:rPr>
                <w:rFonts w:hint="eastAsia" w:eastAsia="黑体"/>
                <w:kern w:val="0"/>
                <w:sz w:val="24"/>
                <w:lang w:eastAsia="zh-CN"/>
              </w:rPr>
              <w:t>）</w:t>
            </w:r>
            <w:r>
              <w:rPr>
                <w:rFonts w:hint="eastAsia" w:eastAsia="黑体"/>
                <w:kern w:val="0"/>
                <w:sz w:val="24"/>
              </w:rPr>
              <w:t>的相符性</w:t>
            </w:r>
          </w:p>
          <w:tbl>
            <w:tblPr>
              <w:tblStyle w:val="33"/>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500"/>
              <w:gridCol w:w="8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107" w:type="pct"/>
                  <w:vAlign w:val="center"/>
                </w:tcPr>
                <w:p>
                  <w:pPr>
                    <w:jc w:val="center"/>
                    <w:rPr>
                      <w:szCs w:val="21"/>
                    </w:rPr>
                  </w:pPr>
                  <w:r>
                    <w:rPr>
                      <w:rFonts w:hint="eastAsia"/>
                      <w:szCs w:val="21"/>
                    </w:rPr>
                    <w:t>江西省环境保护厅关于余干工业园区扩区调区规划环境影响报告书审查意见的函</w:t>
                  </w:r>
                </w:p>
              </w:tc>
              <w:tc>
                <w:tcPr>
                  <w:tcW w:w="2310" w:type="pct"/>
                  <w:vAlign w:val="center"/>
                </w:tcPr>
                <w:p>
                  <w:pPr>
                    <w:jc w:val="center"/>
                    <w:rPr>
                      <w:szCs w:val="21"/>
                    </w:rPr>
                  </w:pPr>
                  <w:r>
                    <w:rPr>
                      <w:rFonts w:hint="eastAsia" w:hAnsi="宋体"/>
                      <w:szCs w:val="21"/>
                    </w:rPr>
                    <w:t>本项目</w:t>
                  </w:r>
                </w:p>
              </w:tc>
              <w:tc>
                <w:tcPr>
                  <w:tcW w:w="581" w:type="pct"/>
                  <w:vAlign w:val="center"/>
                </w:tcPr>
                <w:p>
                  <w:pPr>
                    <w:jc w:val="center"/>
                    <w:rPr>
                      <w:szCs w:val="21"/>
                    </w:rPr>
                  </w:pPr>
                  <w:r>
                    <w:rPr>
                      <w:rFonts w:hint="eastAsia" w:hAnsi="宋体"/>
                      <w:szCs w:val="21"/>
                    </w:rPr>
                    <w:t>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107" w:type="pct"/>
                  <w:vAlign w:val="center"/>
                </w:tcPr>
                <w:p>
                  <w:pPr>
                    <w:numPr>
                      <w:ilvl w:val="0"/>
                      <w:numId w:val="3"/>
                    </w:numPr>
                    <w:jc w:val="center"/>
                    <w:rPr>
                      <w:rFonts w:hint="eastAsia"/>
                      <w:szCs w:val="21"/>
                    </w:rPr>
                  </w:pPr>
                  <w:r>
                    <w:rPr>
                      <w:rFonts w:hint="eastAsia"/>
                      <w:szCs w:val="21"/>
                    </w:rPr>
                    <w:t>工业园区内夹杂大量居民，各居民点环境空气功能要求对园区内布局大气污染型产业形成制约，应及时制定拆迁安置方案，并按国家有关政策要求，做好规划建设涉及的居民搬迁安置、耕地占补平衡等工作。黄金埠水厂规划期末不能满足黄金埠工业园片区用水需要，该片区废水排口下游15公里处为杨埠财源自来水厂取水口，还存在事故</w:t>
                  </w:r>
                </w:p>
                <w:p>
                  <w:pPr>
                    <w:numPr>
                      <w:ilvl w:val="0"/>
                      <w:numId w:val="0"/>
                    </w:numPr>
                    <w:jc w:val="both"/>
                    <w:rPr>
                      <w:szCs w:val="21"/>
                    </w:rPr>
                  </w:pPr>
                  <w:r>
                    <w:rPr>
                      <w:rFonts w:hint="eastAsia"/>
                      <w:szCs w:val="21"/>
                    </w:rPr>
                    <w:t>废水排放影响下游水厂取水安全的环境隐患。</w:t>
                  </w:r>
                </w:p>
              </w:tc>
              <w:tc>
                <w:tcPr>
                  <w:tcW w:w="2310" w:type="pct"/>
                  <w:vAlign w:val="center"/>
                </w:tcPr>
                <w:p>
                  <w:pPr>
                    <w:jc w:val="center"/>
                    <w:rPr>
                      <w:rFonts w:hint="eastAsia"/>
                      <w:szCs w:val="21"/>
                    </w:rPr>
                  </w:pPr>
                  <w:r>
                    <w:rPr>
                      <w:rFonts w:hint="eastAsia"/>
                      <w:szCs w:val="21"/>
                    </w:rPr>
                    <w:t>本项目属于木质家具制造项目，距</w:t>
                  </w:r>
                </w:p>
                <w:p>
                  <w:pPr>
                    <w:jc w:val="both"/>
                    <w:rPr>
                      <w:szCs w:val="21"/>
                    </w:rPr>
                  </w:pPr>
                  <w:r>
                    <w:rPr>
                      <w:rFonts w:hint="eastAsia"/>
                      <w:szCs w:val="21"/>
                    </w:rPr>
                    <w:t>离厂界最近的敏感点为西南面约57m处的居民房（临马路居民房），满足本项目50m卫生防护距离要求；本项目生活污水经化粪池预处理，达到黄金埠污水处理厂纳管标准后进入园区污水管网排入黄金埠污水处理厂深度处理。</w:t>
                  </w:r>
                </w:p>
              </w:tc>
              <w:tc>
                <w:tcPr>
                  <w:tcW w:w="581" w:type="pct"/>
                  <w:vAlign w:val="center"/>
                </w:tcPr>
                <w:p>
                  <w:pPr>
                    <w:jc w:val="center"/>
                    <w:rPr>
                      <w:szCs w:val="21"/>
                    </w:rPr>
                  </w:pPr>
                  <w:r>
                    <w:rPr>
                      <w:rFonts w:hint="eastAsia"/>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107" w:type="pct"/>
                  <w:vAlign w:val="center"/>
                </w:tcPr>
                <w:p>
                  <w:pPr>
                    <w:numPr>
                      <w:ilvl w:val="0"/>
                      <w:numId w:val="4"/>
                    </w:numPr>
                    <w:jc w:val="center"/>
                    <w:rPr>
                      <w:rFonts w:hint="eastAsia"/>
                      <w:szCs w:val="21"/>
                    </w:rPr>
                  </w:pPr>
                  <w:r>
                    <w:rPr>
                      <w:rFonts w:hint="eastAsia"/>
                      <w:szCs w:val="21"/>
                    </w:rPr>
                    <w:t>在规划实施过程中，</w:t>
                  </w:r>
                  <w:r>
                    <w:rPr>
                      <w:rFonts w:hint="eastAsia"/>
                      <w:szCs w:val="21"/>
                      <w:lang w:eastAsia="zh-CN"/>
                    </w:rPr>
                    <w:t>入驻</w:t>
                  </w:r>
                  <w:r>
                    <w:rPr>
                      <w:rFonts w:hint="eastAsia"/>
                      <w:szCs w:val="21"/>
                    </w:rPr>
                    <w:t>企业布局应严格落实《关于加强高能耗高排放项目准入管理的实施意见》（赣府厅发</w:t>
                  </w:r>
                  <w:r>
                    <w:rPr>
                      <w:rFonts w:hint="eastAsia"/>
                      <w:szCs w:val="21"/>
                      <w:lang w:val="en-US" w:eastAsia="zh-CN"/>
                    </w:rPr>
                    <w:t>[</w:t>
                  </w:r>
                  <w:r>
                    <w:rPr>
                      <w:rFonts w:hint="eastAsia"/>
                      <w:szCs w:val="21"/>
                    </w:rPr>
                    <w:t>2008</w:t>
                  </w:r>
                  <w:r>
                    <w:rPr>
                      <w:rFonts w:hint="eastAsia"/>
                      <w:szCs w:val="21"/>
                      <w:lang w:val="en-US" w:eastAsia="zh-CN"/>
                    </w:rPr>
                    <w:t>]</w:t>
                  </w:r>
                  <w:r>
                    <w:rPr>
                      <w:rFonts w:hint="eastAsia"/>
                      <w:szCs w:val="21"/>
                    </w:rPr>
                    <w:t>58号），综合考虑产业之间的相容性和卫生防护距离要求，按照行业分类进入工业园的相应片区，防止产生交叉污染。鉴于区域位置的环境敏感性，黄金埠工业园片区不宜引进水污染型、环境风险较大、</w:t>
                  </w:r>
                </w:p>
                <w:p>
                  <w:pPr>
                    <w:numPr>
                      <w:ilvl w:val="0"/>
                      <w:numId w:val="0"/>
                    </w:numPr>
                    <w:jc w:val="both"/>
                    <w:rPr>
                      <w:szCs w:val="21"/>
                    </w:rPr>
                  </w:pPr>
                  <w:r>
                    <w:rPr>
                      <w:rFonts w:hint="eastAsia"/>
                      <w:szCs w:val="21"/>
                    </w:rPr>
                    <w:t>行业不相容的产业项目。</w:t>
                  </w:r>
                </w:p>
              </w:tc>
              <w:tc>
                <w:tcPr>
                  <w:tcW w:w="2310" w:type="pct"/>
                  <w:vAlign w:val="center"/>
                </w:tcPr>
                <w:p>
                  <w:pPr>
                    <w:jc w:val="center"/>
                    <w:rPr>
                      <w:rFonts w:hint="eastAsia"/>
                      <w:szCs w:val="21"/>
                    </w:rPr>
                  </w:pPr>
                  <w:r>
                    <w:rPr>
                      <w:rFonts w:hint="eastAsia"/>
                      <w:szCs w:val="21"/>
                    </w:rPr>
                    <w:t>本项目属于木质家具制造，位于</w:t>
                  </w:r>
                  <w:r>
                    <w:rPr>
                      <w:rFonts w:hint="eastAsia"/>
                      <w:szCs w:val="21"/>
                      <w:lang w:eastAsia="zh-CN"/>
                    </w:rPr>
                    <w:t>江西</w:t>
                  </w:r>
                  <w:r>
                    <w:rPr>
                      <w:rFonts w:hint="eastAsia"/>
                      <w:szCs w:val="21"/>
                    </w:rPr>
                    <w:t>余干高新技术产业园内，本项目东面为余干县伯爵仕智能科技有限公司，南面为金电大道，西面为林地，北面为余干县乐泰五金有限公司，不存在交叉污染；本项目不属于高能耗高排放项目</w:t>
                  </w:r>
                  <w:r>
                    <w:rPr>
                      <w:rFonts w:hint="eastAsia"/>
                      <w:szCs w:val="21"/>
                      <w:lang w:eastAsia="zh-CN"/>
                    </w:rPr>
                    <w:t>，</w:t>
                  </w:r>
                  <w:r>
                    <w:rPr>
                      <w:rFonts w:hint="eastAsia"/>
                      <w:szCs w:val="21"/>
                    </w:rPr>
                    <w:t>不属于水污染型、环境风险</w:t>
                  </w:r>
                </w:p>
                <w:p>
                  <w:pPr>
                    <w:jc w:val="both"/>
                    <w:rPr>
                      <w:szCs w:val="21"/>
                    </w:rPr>
                  </w:pPr>
                  <w:r>
                    <w:rPr>
                      <w:rFonts w:hint="eastAsia"/>
                      <w:szCs w:val="21"/>
                    </w:rPr>
                    <w:t>较大、行业不相容的产业项目。</w:t>
                  </w:r>
                </w:p>
              </w:tc>
              <w:tc>
                <w:tcPr>
                  <w:tcW w:w="581" w:type="pct"/>
                  <w:vAlign w:val="center"/>
                </w:tcPr>
                <w:p>
                  <w:pPr>
                    <w:jc w:val="center"/>
                    <w:rPr>
                      <w:szCs w:val="21"/>
                    </w:rPr>
                  </w:pPr>
                  <w:r>
                    <w:rPr>
                      <w:rFonts w:hint="eastAsia"/>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107" w:type="pct"/>
                  <w:vAlign w:val="center"/>
                </w:tcPr>
                <w:p>
                  <w:pPr>
                    <w:numPr>
                      <w:ilvl w:val="0"/>
                      <w:numId w:val="4"/>
                    </w:numPr>
                    <w:ind w:left="0" w:leftChars="0" w:firstLine="0" w:firstLineChars="0"/>
                    <w:jc w:val="center"/>
                    <w:rPr>
                      <w:szCs w:val="21"/>
                    </w:rPr>
                  </w:pPr>
                  <w:r>
                    <w:rPr>
                      <w:rFonts w:hint="eastAsia"/>
                      <w:szCs w:val="21"/>
                    </w:rPr>
                    <w:t>园区规划用地应符合土地利用总体规划和城市总体规划，依法依规定规划范围。规划区集中式居住用地和教育用地等需设置必要的防护距离，避免对规划区及周边区域居住、学校等人群</w:t>
                  </w:r>
                </w:p>
                <w:p>
                  <w:pPr>
                    <w:numPr>
                      <w:ilvl w:val="0"/>
                      <w:numId w:val="0"/>
                    </w:numPr>
                    <w:ind w:leftChars="0"/>
                    <w:jc w:val="both"/>
                    <w:rPr>
                      <w:szCs w:val="21"/>
                    </w:rPr>
                  </w:pPr>
                  <w:r>
                    <w:rPr>
                      <w:rFonts w:hint="eastAsia"/>
                      <w:szCs w:val="21"/>
                    </w:rPr>
                    <w:t>集中区的影响。</w:t>
                  </w:r>
                </w:p>
              </w:tc>
              <w:tc>
                <w:tcPr>
                  <w:tcW w:w="2310" w:type="pct"/>
                  <w:vAlign w:val="center"/>
                </w:tcPr>
                <w:p>
                  <w:pPr>
                    <w:jc w:val="center"/>
                    <w:rPr>
                      <w:rFonts w:hint="eastAsia"/>
                      <w:szCs w:val="21"/>
                    </w:rPr>
                  </w:pPr>
                  <w:r>
                    <w:rPr>
                      <w:rFonts w:hint="eastAsia"/>
                      <w:szCs w:val="21"/>
                    </w:rPr>
                    <w:t>本项目以生产车间设置50m卫生防护距离，距离该车间</w:t>
                  </w:r>
                  <w:r>
                    <w:rPr>
                      <w:rFonts w:hint="eastAsia" w:hAnsi="宋体"/>
                      <w:szCs w:val="21"/>
                    </w:rPr>
                    <w:t>最近的敏感点为西南面约109m处的</w:t>
                  </w:r>
                  <w:r>
                    <w:rPr>
                      <w:rFonts w:hint="eastAsia"/>
                      <w:szCs w:val="21"/>
                    </w:rPr>
                    <w:t>居民房（临马路</w:t>
                  </w:r>
                </w:p>
                <w:p>
                  <w:pPr>
                    <w:jc w:val="both"/>
                    <w:rPr>
                      <w:szCs w:val="21"/>
                    </w:rPr>
                  </w:pPr>
                  <w:r>
                    <w:rPr>
                      <w:rFonts w:hint="eastAsia"/>
                      <w:szCs w:val="21"/>
                    </w:rPr>
                    <w:t>居民房），满足本项目卫生防护距离要求。</w:t>
                  </w:r>
                </w:p>
              </w:tc>
              <w:tc>
                <w:tcPr>
                  <w:tcW w:w="581" w:type="pct"/>
                  <w:vAlign w:val="center"/>
                </w:tcPr>
                <w:p>
                  <w:pPr>
                    <w:jc w:val="center"/>
                    <w:rPr>
                      <w:szCs w:val="21"/>
                    </w:rPr>
                  </w:pPr>
                  <w:r>
                    <w:rPr>
                      <w:rFonts w:hint="eastAsia"/>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107" w:type="pct"/>
                  <w:vAlign w:val="center"/>
                </w:tcPr>
                <w:p>
                  <w:pPr>
                    <w:numPr>
                      <w:ilvl w:val="0"/>
                      <w:numId w:val="4"/>
                    </w:numPr>
                    <w:ind w:left="0" w:leftChars="0" w:firstLine="0" w:firstLineChars="0"/>
                    <w:jc w:val="center"/>
                    <w:rPr>
                      <w:rFonts w:hint="eastAsia"/>
                      <w:szCs w:val="21"/>
                    </w:rPr>
                  </w:pPr>
                  <w:r>
                    <w:rPr>
                      <w:rFonts w:hint="eastAsia"/>
                      <w:szCs w:val="21"/>
                    </w:rPr>
                    <w:t>入园项目的设备、工艺、原料等必须符合清洁生产要求，并按照清洁生产和节能减排要求，进一步降低能耗、物耗水平，防止物料“跑冒滴漏”，减少污</w:t>
                  </w:r>
                </w:p>
                <w:p>
                  <w:pPr>
                    <w:numPr>
                      <w:ilvl w:val="0"/>
                      <w:numId w:val="0"/>
                    </w:numPr>
                    <w:ind w:leftChars="0"/>
                    <w:jc w:val="both"/>
                    <w:rPr>
                      <w:rFonts w:hint="eastAsia" w:eastAsia="宋体"/>
                      <w:szCs w:val="21"/>
                      <w:lang w:eastAsia="zh-CN"/>
                    </w:rPr>
                  </w:pPr>
                  <w:r>
                    <w:rPr>
                      <w:rFonts w:hint="eastAsia"/>
                      <w:szCs w:val="21"/>
                    </w:rPr>
                    <w:t>染物排放量</w:t>
                  </w:r>
                  <w:r>
                    <w:rPr>
                      <w:rFonts w:hint="eastAsia"/>
                      <w:szCs w:val="21"/>
                      <w:lang w:eastAsia="zh-CN"/>
                    </w:rPr>
                    <w:t>。</w:t>
                  </w:r>
                </w:p>
              </w:tc>
              <w:tc>
                <w:tcPr>
                  <w:tcW w:w="2310" w:type="pct"/>
                  <w:vAlign w:val="center"/>
                </w:tcPr>
                <w:p>
                  <w:pPr>
                    <w:jc w:val="center"/>
                    <w:rPr>
                      <w:rFonts w:hint="eastAsia"/>
                      <w:szCs w:val="21"/>
                    </w:rPr>
                  </w:pPr>
                  <w:r>
                    <w:rPr>
                      <w:rFonts w:hint="eastAsia"/>
                      <w:szCs w:val="21"/>
                    </w:rPr>
                    <w:t>本项目废水、废气、噪声经治理之后均能做到达标排放，固废可做到无害化处置，防止物料“跑冒滴漏”，满</w:t>
                  </w:r>
                </w:p>
                <w:p>
                  <w:pPr>
                    <w:jc w:val="both"/>
                    <w:rPr>
                      <w:szCs w:val="21"/>
                    </w:rPr>
                  </w:pPr>
                  <w:r>
                    <w:rPr>
                      <w:rFonts w:hint="eastAsia"/>
                      <w:szCs w:val="21"/>
                    </w:rPr>
                    <w:t>足准入条件和清洁生产的要求。</w:t>
                  </w:r>
                </w:p>
              </w:tc>
              <w:tc>
                <w:tcPr>
                  <w:tcW w:w="581" w:type="pct"/>
                  <w:vAlign w:val="center"/>
                </w:tcPr>
                <w:p>
                  <w:pPr>
                    <w:jc w:val="center"/>
                    <w:rPr>
                      <w:szCs w:val="21"/>
                    </w:rPr>
                  </w:pPr>
                  <w:r>
                    <w:rPr>
                      <w:rFonts w:hint="eastAsia"/>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2107" w:type="pct"/>
                  <w:vAlign w:val="center"/>
                </w:tcPr>
                <w:p>
                  <w:pPr>
                    <w:numPr>
                      <w:ilvl w:val="0"/>
                      <w:numId w:val="4"/>
                    </w:numPr>
                    <w:ind w:left="0" w:leftChars="0" w:firstLine="0" w:firstLineChars="0"/>
                    <w:jc w:val="center"/>
                    <w:rPr>
                      <w:rFonts w:hint="eastAsia"/>
                      <w:szCs w:val="21"/>
                    </w:rPr>
                  </w:pPr>
                  <w:r>
                    <w:rPr>
                      <w:rFonts w:hint="eastAsia"/>
                      <w:szCs w:val="21"/>
                    </w:rPr>
                    <w:t>入园企业应采取有效措施，确保污染物达标排放。生产</w:t>
                  </w:r>
                </w:p>
                <w:p>
                  <w:pPr>
                    <w:numPr>
                      <w:ilvl w:val="0"/>
                      <w:numId w:val="0"/>
                    </w:numPr>
                    <w:ind w:leftChars="0"/>
                    <w:jc w:val="both"/>
                    <w:rPr>
                      <w:rFonts w:hint="eastAsia"/>
                      <w:szCs w:val="21"/>
                    </w:rPr>
                  </w:pPr>
                  <w:r>
                    <w:rPr>
                      <w:rFonts w:hint="eastAsia"/>
                      <w:szCs w:val="21"/>
                    </w:rPr>
                    <w:t>废水进行预处理达到污水处理厂接管标准要求后方可排入集中式污水处理厂处理。应对生产中的废气进行有效治理，采用低噪声设备并采取减振隔声措施，确保外排废气、噪声达到相应标准。固体废物需妥善</w:t>
                  </w:r>
                </w:p>
                <w:p>
                  <w:pPr>
                    <w:numPr>
                      <w:ilvl w:val="0"/>
                      <w:numId w:val="0"/>
                    </w:numPr>
                    <w:ind w:leftChars="0"/>
                    <w:jc w:val="both"/>
                    <w:rPr>
                      <w:szCs w:val="21"/>
                    </w:rPr>
                  </w:pPr>
                  <w:r>
                    <w:rPr>
                      <w:rFonts w:hint="eastAsia"/>
                      <w:szCs w:val="21"/>
                    </w:rPr>
                    <w:t>处理处置。</w:t>
                  </w:r>
                </w:p>
              </w:tc>
              <w:tc>
                <w:tcPr>
                  <w:tcW w:w="2310" w:type="pct"/>
                  <w:vAlign w:val="center"/>
                </w:tcPr>
                <w:p>
                  <w:pPr>
                    <w:jc w:val="left"/>
                    <w:rPr>
                      <w:szCs w:val="21"/>
                    </w:rPr>
                  </w:pPr>
                  <w:r>
                    <w:rPr>
                      <w:rFonts w:hint="eastAsia"/>
                      <w:szCs w:val="21"/>
                    </w:rPr>
                    <w:t>运营期木工机加工过程产生的粉尘经中央集尘处理</w:t>
                  </w:r>
                  <w:r>
                    <w:rPr>
                      <w:rFonts w:hint="eastAsia"/>
                      <w:szCs w:val="21"/>
                      <w:lang w:eastAsia="zh-CN"/>
                    </w:rPr>
                    <w:t>后</w:t>
                  </w:r>
                  <w:r>
                    <w:rPr>
                      <w:rFonts w:hint="eastAsia"/>
                      <w:szCs w:val="21"/>
                    </w:rPr>
                    <w:t>通过厂房顶部1根15m高排气筒（DA001）排放，3个喷漆房排出的有机废气分别</w:t>
                  </w:r>
                  <w:r>
                    <w:rPr>
                      <w:rFonts w:hint="eastAsia"/>
                      <w:szCs w:val="21"/>
                      <w:lang w:eastAsia="zh-CN"/>
                    </w:rPr>
                    <w:t>经</w:t>
                  </w:r>
                  <w:r>
                    <w:rPr>
                      <w:rFonts w:hint="eastAsia"/>
                      <w:szCs w:val="21"/>
                    </w:rPr>
                    <w:t>水帘柜+二级活性炭吸附装置</w:t>
                  </w:r>
                  <w:r>
                    <w:rPr>
                      <w:rFonts w:hint="eastAsia"/>
                      <w:szCs w:val="21"/>
                      <w:lang w:eastAsia="zh-CN"/>
                    </w:rPr>
                    <w:t>处理后由</w:t>
                  </w:r>
                  <w:r>
                    <w:rPr>
                      <w:rFonts w:hint="eastAsia"/>
                      <w:szCs w:val="21"/>
                    </w:rPr>
                    <w:t>15m</w:t>
                  </w:r>
                  <w:r>
                    <w:rPr>
                      <w:rFonts w:hint="eastAsia"/>
                      <w:szCs w:val="21"/>
                      <w:lang w:eastAsia="zh-CN"/>
                    </w:rPr>
                    <w:t>高</w:t>
                  </w:r>
                  <w:r>
                    <w:rPr>
                      <w:rFonts w:hint="eastAsia"/>
                      <w:szCs w:val="21"/>
                    </w:rPr>
                    <w:t>排气筒</w:t>
                  </w:r>
                  <w:r>
                    <w:rPr>
                      <w:rFonts w:hint="eastAsia"/>
                      <w:szCs w:val="21"/>
                      <w:lang w:eastAsia="zh-CN"/>
                    </w:rPr>
                    <w:t>（</w:t>
                  </w:r>
                  <w:r>
                    <w:rPr>
                      <w:rFonts w:hint="eastAsia"/>
                      <w:szCs w:val="21"/>
                    </w:rPr>
                    <w:t>DA00</w:t>
                  </w:r>
                  <w:r>
                    <w:rPr>
                      <w:rFonts w:hint="eastAsia"/>
                      <w:szCs w:val="21"/>
                      <w:lang w:val="en-US" w:eastAsia="zh-CN"/>
                    </w:rPr>
                    <w:t>2~</w:t>
                  </w:r>
                  <w:r>
                    <w:rPr>
                      <w:rFonts w:hint="eastAsia"/>
                      <w:szCs w:val="21"/>
                    </w:rPr>
                    <w:t>DA00</w:t>
                  </w:r>
                  <w:r>
                    <w:rPr>
                      <w:rFonts w:hint="eastAsia"/>
                      <w:szCs w:val="21"/>
                      <w:lang w:val="en-US" w:eastAsia="zh-CN"/>
                    </w:rPr>
                    <w:t>4</w:t>
                  </w:r>
                  <w:r>
                    <w:rPr>
                      <w:rFonts w:hint="eastAsia"/>
                      <w:szCs w:val="21"/>
                      <w:lang w:eastAsia="zh-CN"/>
                    </w:rPr>
                    <w:t>）</w:t>
                  </w:r>
                  <w:r>
                    <w:rPr>
                      <w:rFonts w:hint="eastAsia"/>
                      <w:szCs w:val="21"/>
                    </w:rPr>
                    <w:t>排放；木工砂光过程产生的粉尘经中央集尘处理</w:t>
                  </w:r>
                  <w:r>
                    <w:rPr>
                      <w:rFonts w:hint="eastAsia"/>
                      <w:szCs w:val="21"/>
                      <w:lang w:eastAsia="zh-CN"/>
                    </w:rPr>
                    <w:t>后</w:t>
                  </w:r>
                  <w:r>
                    <w:rPr>
                      <w:rFonts w:hint="eastAsia"/>
                      <w:szCs w:val="21"/>
                    </w:rPr>
                    <w:t>通过厂房顶部1根15m高排气筒（DA005）排放；生活污水经厂内化粪池预处理后纳入园区污水管网，执行黄金埠污水处理厂纳管标准，氨氮执行《污水排入城镇下水道水质标准》（GB/T31962-2015）中B级标准，进入黄金埠污水处理厂进行深度处理，达《城镇污水处理厂污染物排放标准》（GB18918-2002）一级B标准后排入信江。</w:t>
                  </w:r>
                </w:p>
              </w:tc>
              <w:tc>
                <w:tcPr>
                  <w:tcW w:w="581" w:type="pct"/>
                  <w:vAlign w:val="center"/>
                </w:tcPr>
                <w:p>
                  <w:pPr>
                    <w:jc w:val="center"/>
                    <w:rPr>
                      <w:szCs w:val="21"/>
                    </w:rPr>
                  </w:pPr>
                  <w:r>
                    <w:rPr>
                      <w:rFonts w:hint="eastAsia"/>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107" w:type="pct"/>
                  <w:vAlign w:val="center"/>
                </w:tcPr>
                <w:p>
                  <w:pPr>
                    <w:numPr>
                      <w:ilvl w:val="0"/>
                      <w:numId w:val="4"/>
                    </w:numPr>
                    <w:ind w:left="0" w:leftChars="0" w:firstLine="0" w:firstLineChars="0"/>
                    <w:jc w:val="center"/>
                    <w:rPr>
                      <w:rFonts w:hint="eastAsia"/>
                      <w:szCs w:val="21"/>
                    </w:rPr>
                  </w:pPr>
                  <w:r>
                    <w:rPr>
                      <w:rFonts w:hint="eastAsia"/>
                      <w:szCs w:val="21"/>
                    </w:rPr>
                    <w:t>须高度重视环境安全，强化事故防范和应急措施。园区应制定严格的区域性环境污染事故应急预案以纳入当地政府应急相应系统，并做好定期演练，一旦出现风险事故，必须立即启动应急预案，及时采取相应措施，控</w:t>
                  </w:r>
                </w:p>
                <w:p>
                  <w:pPr>
                    <w:numPr>
                      <w:ilvl w:val="0"/>
                      <w:numId w:val="0"/>
                    </w:numPr>
                    <w:ind w:leftChars="0"/>
                    <w:jc w:val="both"/>
                    <w:rPr>
                      <w:szCs w:val="21"/>
                    </w:rPr>
                  </w:pPr>
                  <w:r>
                    <w:rPr>
                      <w:rFonts w:hint="eastAsia"/>
                      <w:szCs w:val="21"/>
                    </w:rPr>
                    <w:t>制并削减污染影响。</w:t>
                  </w:r>
                </w:p>
              </w:tc>
              <w:tc>
                <w:tcPr>
                  <w:tcW w:w="2310" w:type="pct"/>
                  <w:vAlign w:val="center"/>
                </w:tcPr>
                <w:p>
                  <w:pPr>
                    <w:jc w:val="center"/>
                    <w:rPr>
                      <w:szCs w:val="21"/>
                    </w:rPr>
                  </w:pPr>
                  <w:r>
                    <w:rPr>
                      <w:rFonts w:hint="eastAsia"/>
                      <w:szCs w:val="21"/>
                    </w:rPr>
                    <w:t>/</w:t>
                  </w:r>
                </w:p>
              </w:tc>
              <w:tc>
                <w:tcPr>
                  <w:tcW w:w="581" w:type="pct"/>
                  <w:vAlign w:val="center"/>
                </w:tcPr>
                <w:p>
                  <w:pPr>
                    <w:jc w:val="center"/>
                    <w:rPr>
                      <w:szCs w:val="21"/>
                    </w:rPr>
                  </w:pPr>
                  <w:r>
                    <w:rPr>
                      <w:rFonts w:hint="eastAsia"/>
                      <w:szCs w:val="21"/>
                    </w:rPr>
                    <w:t>/</w:t>
                  </w:r>
                </w:p>
              </w:tc>
            </w:tr>
          </w:tbl>
          <w:p>
            <w:pPr>
              <w:autoSpaceDE w:val="0"/>
              <w:autoSpaceDN w:val="0"/>
              <w:adjustRightInd w:val="0"/>
              <w:snapToGrid w:val="0"/>
              <w:spacing w:line="360" w:lineRule="auto"/>
              <w:ind w:firstLine="480" w:firstLineChars="200"/>
              <w:rPr>
                <w:rFonts w:hint="eastAsia" w:cs="宋体"/>
                <w:kern w:val="21"/>
                <w:sz w:val="24"/>
              </w:rPr>
            </w:pPr>
            <w:r>
              <w:rPr>
                <w:rFonts w:cs="宋体"/>
                <w:kern w:val="21"/>
                <w:sz w:val="24"/>
              </w:rPr>
              <w:t>本</w:t>
            </w:r>
            <w:r>
              <w:rPr>
                <w:rFonts w:hint="eastAsia" w:cs="宋体"/>
                <w:kern w:val="21"/>
                <w:sz w:val="24"/>
              </w:rPr>
              <w:t>项目位于江西余干高新技术产业园区黄金埠园区，</w:t>
            </w:r>
            <w:r>
              <w:rPr>
                <w:rFonts w:cs="宋体"/>
                <w:kern w:val="21"/>
                <w:sz w:val="24"/>
              </w:rPr>
              <w:t>该区域</w:t>
            </w:r>
            <w:r>
              <w:rPr>
                <w:rFonts w:hint="eastAsia" w:cs="宋体"/>
                <w:kern w:val="21"/>
                <w:sz w:val="24"/>
              </w:rPr>
              <w:t>为</w:t>
            </w:r>
            <w:r>
              <w:rPr>
                <w:rFonts w:cs="宋体"/>
                <w:kern w:val="21"/>
                <w:sz w:val="24"/>
              </w:rPr>
              <w:t>工业用地，本项目</w:t>
            </w:r>
            <w:r>
              <w:rPr>
                <w:rFonts w:hint="eastAsia" w:cs="宋体"/>
                <w:kern w:val="21"/>
                <w:sz w:val="24"/>
              </w:rPr>
              <w:t>属于</w:t>
            </w:r>
            <w:r>
              <w:rPr>
                <w:rFonts w:hint="eastAsia" w:ascii="宋体" w:hAnsi="宋体" w:cs="宋体"/>
                <w:color w:val="000000" w:themeColor="text1"/>
                <w:sz w:val="24"/>
                <w14:textFill>
                  <w14:solidFill>
                    <w14:schemeClr w14:val="tx1"/>
                  </w14:solidFill>
                </w14:textFill>
              </w:rPr>
              <w:t>木质家具制造</w:t>
            </w:r>
            <w:r>
              <w:rPr>
                <w:rFonts w:hint="eastAsia" w:cs="宋体"/>
                <w:kern w:val="21"/>
                <w:sz w:val="24"/>
              </w:rPr>
              <w:t>，符合园区规划。</w:t>
            </w:r>
          </w:p>
          <w:p>
            <w:pPr>
              <w:autoSpaceDE w:val="0"/>
              <w:autoSpaceDN w:val="0"/>
              <w:adjustRightInd w:val="0"/>
              <w:snapToGrid w:val="0"/>
              <w:spacing w:line="360" w:lineRule="auto"/>
              <w:ind w:firstLine="480" w:firstLineChars="200"/>
              <w:rPr>
                <w:rFonts w:hint="eastAsia" w:cs="宋体"/>
                <w:kern w:val="21"/>
                <w:sz w:val="24"/>
              </w:rPr>
            </w:pPr>
          </w:p>
          <w:p>
            <w:pPr>
              <w:autoSpaceDE w:val="0"/>
              <w:autoSpaceDN w:val="0"/>
              <w:adjustRightInd w:val="0"/>
              <w:snapToGrid w:val="0"/>
              <w:spacing w:line="360" w:lineRule="auto"/>
              <w:ind w:firstLine="480" w:firstLineChars="200"/>
              <w:rPr>
                <w:rFonts w:hint="eastAsia" w:cs="宋体"/>
                <w:kern w:val="21"/>
                <w:sz w:val="24"/>
              </w:rPr>
            </w:pPr>
          </w:p>
          <w:p>
            <w:pPr>
              <w:autoSpaceDE w:val="0"/>
              <w:autoSpaceDN w:val="0"/>
              <w:adjustRightInd w:val="0"/>
              <w:snapToGrid w:val="0"/>
              <w:spacing w:line="360" w:lineRule="auto"/>
              <w:ind w:firstLine="480" w:firstLineChars="200"/>
              <w:rPr>
                <w:rFonts w:hint="eastAsia" w:cs="宋体"/>
                <w:kern w:val="21"/>
                <w:sz w:val="24"/>
              </w:rPr>
            </w:pPr>
          </w:p>
          <w:p>
            <w:pPr>
              <w:autoSpaceDE w:val="0"/>
              <w:autoSpaceDN w:val="0"/>
              <w:adjustRightInd w:val="0"/>
              <w:snapToGrid w:val="0"/>
              <w:spacing w:line="360" w:lineRule="auto"/>
              <w:ind w:firstLine="480" w:firstLineChars="200"/>
              <w:rPr>
                <w:rFonts w:hint="eastAsia" w:ascii="宋体" w:hAnsi="宋体" w:eastAsia="宋体" w:cs="宋体"/>
                <w:color w:val="FF0000"/>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54" w:hRule="atLeast"/>
          <w:jc w:val="center"/>
        </w:trPr>
        <w:tc>
          <w:tcPr>
            <w:tcW w:w="1081" w:type="dxa"/>
            <w:vAlign w:val="center"/>
          </w:tcPr>
          <w:p>
            <w:pPr>
              <w:autoSpaceDE w:val="0"/>
              <w:autoSpaceDN w:val="0"/>
              <w:adjustRightInd w:val="0"/>
              <w:snapToGrid w:val="0"/>
              <w:jc w:val="center"/>
              <w:rPr>
                <w:rFonts w:cs="宋体"/>
                <w:kern w:val="21"/>
                <w:sz w:val="24"/>
                <w:szCs w:val="21"/>
              </w:rPr>
            </w:pPr>
            <w:r>
              <w:rPr>
                <w:rFonts w:hint="eastAsia" w:cs="宋体"/>
                <w:kern w:val="21"/>
                <w:sz w:val="24"/>
                <w:szCs w:val="21"/>
              </w:rPr>
              <w:t>其他符合性分析</w:t>
            </w:r>
          </w:p>
        </w:tc>
        <w:tc>
          <w:tcPr>
            <w:tcW w:w="7789" w:type="dxa"/>
            <w:gridSpan w:val="3"/>
            <w:vAlign w:val="center"/>
          </w:tcPr>
          <w:p>
            <w:pPr>
              <w:adjustRightInd w:val="0"/>
              <w:snapToGrid w:val="0"/>
              <w:spacing w:line="360" w:lineRule="auto"/>
              <w:ind w:firstLine="480" w:firstLineChars="200"/>
              <w:rPr>
                <w:kern w:val="0"/>
                <w:sz w:val="24"/>
              </w:rPr>
            </w:pPr>
            <w:r>
              <w:rPr>
                <w:rFonts w:hint="eastAsia"/>
                <w:kern w:val="0"/>
                <w:sz w:val="24"/>
              </w:rPr>
              <w:t>（</w:t>
            </w:r>
            <w:r>
              <w:rPr>
                <w:rFonts w:hint="eastAsia"/>
                <w:kern w:val="0"/>
                <w:sz w:val="24"/>
                <w:lang w:val="en-US" w:eastAsia="zh-CN"/>
              </w:rPr>
              <w:t>1</w:t>
            </w:r>
            <w:r>
              <w:rPr>
                <w:rFonts w:hint="eastAsia"/>
                <w:kern w:val="0"/>
                <w:sz w:val="24"/>
              </w:rPr>
              <w:t>）</w:t>
            </w:r>
            <w:r>
              <w:rPr>
                <w:kern w:val="0"/>
                <w:sz w:val="24"/>
              </w:rPr>
              <w:t>与国家产业政策</w:t>
            </w:r>
            <w:r>
              <w:rPr>
                <w:rFonts w:hint="eastAsia"/>
                <w:kern w:val="0"/>
                <w:sz w:val="24"/>
              </w:rPr>
              <w:t>相符性</w:t>
            </w:r>
            <w:r>
              <w:rPr>
                <w:kern w:val="0"/>
                <w:sz w:val="24"/>
              </w:rPr>
              <w:t>分析</w:t>
            </w:r>
          </w:p>
          <w:p>
            <w:pPr>
              <w:adjustRightInd w:val="0"/>
              <w:snapToGrid w:val="0"/>
              <w:spacing w:line="360" w:lineRule="auto"/>
              <w:ind w:firstLine="480" w:firstLineChars="200"/>
              <w:rPr>
                <w:sz w:val="24"/>
                <w:szCs w:val="22"/>
              </w:rPr>
            </w:pPr>
            <w:r>
              <w:rPr>
                <w:rFonts w:hint="eastAsia"/>
                <w:sz w:val="24"/>
                <w:szCs w:val="24"/>
              </w:rPr>
              <w:t>本项目属于木质家具制造项目，对照《产业结构调整指导目录（2019年本，2021年修订）》，</w:t>
            </w:r>
            <w:r>
              <w:rPr>
                <w:rFonts w:hint="eastAsia"/>
                <w:sz w:val="24"/>
                <w:szCs w:val="22"/>
              </w:rPr>
              <w:t>本项目不属于“鼓励类”、“淘汰类”和“限制类”，为允许类，</w:t>
            </w:r>
            <w:r>
              <w:rPr>
                <w:rFonts w:hint="eastAsia"/>
                <w:sz w:val="24"/>
                <w:szCs w:val="22"/>
                <w:lang w:eastAsia="zh-CN"/>
              </w:rPr>
              <w:t>即</w:t>
            </w:r>
            <w:r>
              <w:rPr>
                <w:rFonts w:hint="eastAsia"/>
                <w:sz w:val="24"/>
                <w:szCs w:val="22"/>
              </w:rPr>
              <w:t>项目建设符合国家产业政策要求。</w:t>
            </w:r>
          </w:p>
          <w:p>
            <w:pPr>
              <w:adjustRightInd w:val="0"/>
              <w:snapToGrid w:val="0"/>
              <w:spacing w:line="360" w:lineRule="auto"/>
              <w:ind w:firstLine="480" w:firstLineChars="200"/>
              <w:rPr>
                <w:sz w:val="24"/>
                <w:szCs w:val="22"/>
              </w:rPr>
            </w:pPr>
            <w:r>
              <w:rPr>
                <w:rFonts w:hint="eastAsia"/>
                <w:sz w:val="24"/>
                <w:szCs w:val="22"/>
              </w:rPr>
              <w:t>（</w:t>
            </w:r>
            <w:r>
              <w:rPr>
                <w:rFonts w:hint="eastAsia"/>
                <w:sz w:val="24"/>
                <w:szCs w:val="22"/>
                <w:lang w:val="en-US" w:eastAsia="zh-CN"/>
              </w:rPr>
              <w:t>2</w:t>
            </w:r>
            <w:r>
              <w:rPr>
                <w:rFonts w:hint="eastAsia"/>
                <w:sz w:val="24"/>
                <w:szCs w:val="22"/>
              </w:rPr>
              <w:t>）与用地规划相符性分析</w:t>
            </w:r>
          </w:p>
          <w:p>
            <w:pPr>
              <w:adjustRightInd w:val="0"/>
              <w:snapToGrid w:val="0"/>
              <w:spacing w:line="360" w:lineRule="auto"/>
              <w:ind w:firstLine="480" w:firstLineChars="200"/>
              <w:rPr>
                <w:sz w:val="24"/>
                <w:szCs w:val="22"/>
              </w:rPr>
            </w:pPr>
            <w:r>
              <w:rPr>
                <w:rFonts w:hint="eastAsia"/>
                <w:sz w:val="24"/>
                <w:szCs w:val="22"/>
              </w:rPr>
              <w:t>项目位于</w:t>
            </w:r>
            <w:r>
              <w:rPr>
                <w:rFonts w:hint="eastAsia" w:ascii="宋体" w:hAnsi="宋体" w:cs="宋体"/>
                <w:sz w:val="24"/>
              </w:rPr>
              <w:t>江西余干高新技术产业园区内（余干黄金埠园区）</w:t>
            </w:r>
            <w:r>
              <w:rPr>
                <w:rFonts w:hint="eastAsia"/>
                <w:sz w:val="24"/>
                <w:szCs w:val="22"/>
              </w:rPr>
              <w:t>，项目所属用地为工业用地，不在《限制用地项目目录（2012年本）》、《禁止用地项目目录（2012年本）》中的限制和禁止的供地项目之列，符合用地规划要求。</w:t>
            </w:r>
          </w:p>
          <w:p>
            <w:pPr>
              <w:spacing w:line="360" w:lineRule="auto"/>
              <w:ind w:firstLine="480" w:firstLineChars="200"/>
              <w:rPr>
                <w:kern w:val="0"/>
                <w:sz w:val="24"/>
              </w:rPr>
            </w:pPr>
            <w:r>
              <w:rPr>
                <w:rFonts w:hint="eastAsia"/>
                <w:kern w:val="0"/>
                <w:sz w:val="24"/>
              </w:rPr>
              <w:t>（</w:t>
            </w:r>
            <w:r>
              <w:rPr>
                <w:rFonts w:hint="eastAsia"/>
                <w:kern w:val="0"/>
                <w:sz w:val="24"/>
                <w:lang w:val="en-US" w:eastAsia="zh-CN"/>
              </w:rPr>
              <w:t>3</w:t>
            </w:r>
            <w:r>
              <w:rPr>
                <w:rFonts w:hint="eastAsia"/>
                <w:kern w:val="0"/>
                <w:sz w:val="24"/>
              </w:rPr>
              <w:t>）</w:t>
            </w:r>
            <w:r>
              <w:rPr>
                <w:kern w:val="0"/>
                <w:sz w:val="24"/>
              </w:rPr>
              <w:t>“三线一单”相符性分析</w:t>
            </w:r>
          </w:p>
          <w:p>
            <w:pPr>
              <w:spacing w:line="360" w:lineRule="auto"/>
              <w:ind w:firstLine="480" w:firstLineChars="200"/>
              <w:rPr>
                <w:bCs/>
                <w:sz w:val="24"/>
              </w:rPr>
            </w:pPr>
            <w:r>
              <w:rPr>
                <w:bCs/>
                <w:sz w:val="24"/>
              </w:rPr>
              <w:t>①生态保护红线</w:t>
            </w:r>
          </w:p>
          <w:p>
            <w:pPr>
              <w:spacing w:line="360" w:lineRule="auto"/>
              <w:ind w:firstLine="480" w:firstLineChars="200"/>
              <w:rPr>
                <w:bCs/>
                <w:sz w:val="24"/>
              </w:rPr>
            </w:pPr>
            <w:r>
              <w:rPr>
                <w:bCs/>
                <w:sz w:val="24"/>
              </w:rPr>
              <w:t>本项目位于</w:t>
            </w:r>
            <w:r>
              <w:rPr>
                <w:rFonts w:hint="eastAsia"/>
                <w:bCs/>
                <w:sz w:val="24"/>
              </w:rPr>
              <w:t>江西余干高新技术产业园区内（余干黄金埠园区）</w:t>
            </w:r>
            <w:r>
              <w:rPr>
                <w:bCs/>
                <w:sz w:val="24"/>
              </w:rPr>
              <w:t>，项目用地性质为工业用地</w:t>
            </w:r>
            <w:r>
              <w:rPr>
                <w:rFonts w:hint="eastAsia"/>
                <w:bCs/>
                <w:sz w:val="24"/>
              </w:rPr>
              <w:t>；对照余干县生态保护红线图，本项目不在生态保护红线范围内。</w:t>
            </w:r>
          </w:p>
          <w:p>
            <w:pPr>
              <w:spacing w:line="360" w:lineRule="auto"/>
              <w:ind w:firstLine="480" w:firstLineChars="200"/>
              <w:rPr>
                <w:bCs/>
                <w:sz w:val="24"/>
              </w:rPr>
            </w:pPr>
            <w:r>
              <w:rPr>
                <w:rFonts w:hint="eastAsia"/>
                <w:bCs/>
                <w:sz w:val="24"/>
              </w:rPr>
              <w:t>②</w:t>
            </w:r>
            <w:r>
              <w:rPr>
                <w:bCs/>
                <w:sz w:val="24"/>
              </w:rPr>
              <w:t>环境质量底线</w:t>
            </w:r>
          </w:p>
          <w:p>
            <w:pPr>
              <w:spacing w:line="360" w:lineRule="auto"/>
              <w:ind w:firstLine="480" w:firstLineChars="200"/>
              <w:rPr>
                <w:bCs/>
                <w:sz w:val="24"/>
              </w:rPr>
            </w:pPr>
            <w:r>
              <w:rPr>
                <w:bCs/>
                <w:sz w:val="24"/>
              </w:rPr>
              <w:t>项目所在区域的环境质量底线为：环境空气质量目标为《环境空气质量标准》（GB3095-2012）二级，水环境质量目标为《地下水质量标准》（GB/T14848-2017）III类标准和《地表水环境质量标准》（GB3838-2002）Ⅲ类标准，声环境质量目标为《声环境质量标准》（GB3096-2008）3类。</w:t>
            </w:r>
          </w:p>
          <w:p>
            <w:pPr>
              <w:spacing w:line="360" w:lineRule="auto"/>
              <w:ind w:firstLine="480" w:firstLineChars="200"/>
              <w:rPr>
                <w:bCs/>
                <w:sz w:val="24"/>
              </w:rPr>
            </w:pPr>
            <w:r>
              <w:rPr>
                <w:bCs/>
                <w:sz w:val="24"/>
              </w:rPr>
              <w:t>本项目对产生的废水、废气</w:t>
            </w:r>
            <w:r>
              <w:rPr>
                <w:rFonts w:hint="eastAsia"/>
                <w:bCs/>
                <w:sz w:val="24"/>
              </w:rPr>
              <w:t>、噪声</w:t>
            </w:r>
            <w:r>
              <w:rPr>
                <w:bCs/>
                <w:sz w:val="24"/>
              </w:rPr>
              <w:t>治理之后</w:t>
            </w:r>
            <w:r>
              <w:rPr>
                <w:rFonts w:hint="eastAsia"/>
                <w:bCs/>
                <w:sz w:val="24"/>
              </w:rPr>
              <w:t>均</w:t>
            </w:r>
            <w:r>
              <w:rPr>
                <w:bCs/>
                <w:sz w:val="24"/>
              </w:rPr>
              <w:t>能做到达标排放，固废可做到无害化处置。采取本环评提出的相关防治措施后，本项目排放的污染物不会突破区域环境质量底线。</w:t>
            </w:r>
          </w:p>
          <w:p>
            <w:pPr>
              <w:spacing w:line="360" w:lineRule="auto"/>
              <w:ind w:firstLine="480" w:firstLineChars="200"/>
              <w:rPr>
                <w:bCs/>
                <w:sz w:val="24"/>
              </w:rPr>
            </w:pPr>
            <w:r>
              <w:rPr>
                <w:rFonts w:hint="eastAsia"/>
                <w:bCs/>
                <w:sz w:val="24"/>
              </w:rPr>
              <w:t>③</w:t>
            </w:r>
            <w:r>
              <w:rPr>
                <w:bCs/>
                <w:sz w:val="24"/>
              </w:rPr>
              <w:t>资源利用上线</w:t>
            </w:r>
          </w:p>
          <w:p>
            <w:pPr>
              <w:spacing w:line="360" w:lineRule="auto"/>
              <w:ind w:firstLine="480" w:firstLineChars="200"/>
              <w:rPr>
                <w:bCs/>
                <w:sz w:val="24"/>
              </w:rPr>
            </w:pPr>
            <w:r>
              <w:rPr>
                <w:bCs/>
                <w:sz w:val="24"/>
              </w:rPr>
              <w:t>本项目用水来自工业区供水管网，用电来自市政供电</w:t>
            </w:r>
            <w:r>
              <w:rPr>
                <w:rFonts w:hint="eastAsia"/>
                <w:bCs/>
                <w:sz w:val="24"/>
              </w:rPr>
              <w:t>。</w:t>
            </w:r>
            <w:r>
              <w:rPr>
                <w:bCs/>
                <w:sz w:val="24"/>
              </w:rPr>
              <w:t>本项目建成运行后通过内部管理、设备选择、原辅材料的选用和管理、废物回收利用、污染治理等多方面采取合理可行的防治措施，以</w:t>
            </w:r>
            <w:r>
              <w:rPr>
                <w:rFonts w:hint="eastAsia"/>
                <w:bCs/>
                <w:sz w:val="24"/>
              </w:rPr>
              <w:t>“</w:t>
            </w:r>
            <w:r>
              <w:rPr>
                <w:bCs/>
                <w:sz w:val="24"/>
              </w:rPr>
              <w:t>节能、降耗、减污</w:t>
            </w:r>
            <w:r>
              <w:rPr>
                <w:rFonts w:hint="eastAsia"/>
                <w:bCs/>
                <w:sz w:val="24"/>
              </w:rPr>
              <w:t>”</w:t>
            </w:r>
            <w:r>
              <w:rPr>
                <w:bCs/>
                <w:sz w:val="24"/>
              </w:rPr>
              <w:t>为目标，有效</w:t>
            </w:r>
            <w:r>
              <w:rPr>
                <w:rFonts w:hint="eastAsia"/>
                <w:bCs/>
                <w:sz w:val="24"/>
              </w:rPr>
              <w:t>地</w:t>
            </w:r>
            <w:r>
              <w:rPr>
                <w:bCs/>
                <w:sz w:val="24"/>
              </w:rPr>
              <w:t>控制污染</w:t>
            </w:r>
            <w:r>
              <w:rPr>
                <w:rFonts w:hint="eastAsia"/>
                <w:bCs/>
                <w:sz w:val="24"/>
              </w:rPr>
              <w:t>，</w:t>
            </w:r>
            <w:r>
              <w:rPr>
                <w:bCs/>
                <w:sz w:val="24"/>
                <w:szCs w:val="22"/>
              </w:rPr>
              <w:t>对当地能源消费增量影响较小。</w:t>
            </w:r>
            <w:r>
              <w:rPr>
                <w:bCs/>
                <w:sz w:val="24"/>
              </w:rPr>
              <w:t>项目的水、</w:t>
            </w:r>
            <w:r>
              <w:rPr>
                <w:rFonts w:hint="eastAsia"/>
                <w:bCs/>
                <w:sz w:val="24"/>
              </w:rPr>
              <w:t>土地</w:t>
            </w:r>
            <w:r>
              <w:rPr>
                <w:bCs/>
                <w:sz w:val="24"/>
              </w:rPr>
              <w:t>等资源利用不会突破区域的资源利用上线。</w:t>
            </w:r>
          </w:p>
          <w:p>
            <w:pPr>
              <w:spacing w:line="360" w:lineRule="auto"/>
              <w:ind w:firstLine="480" w:firstLineChars="200"/>
              <w:rPr>
                <w:bCs/>
                <w:sz w:val="24"/>
              </w:rPr>
            </w:pPr>
            <w:r>
              <w:rPr>
                <w:rFonts w:hint="eastAsia"/>
                <w:bCs/>
                <w:sz w:val="24"/>
              </w:rPr>
              <w:t>④</w:t>
            </w:r>
            <w:r>
              <w:rPr>
                <w:bCs/>
                <w:sz w:val="24"/>
              </w:rPr>
              <w:t>环境准入负面清单</w:t>
            </w:r>
          </w:p>
          <w:p>
            <w:pPr>
              <w:spacing w:line="360" w:lineRule="auto"/>
              <w:ind w:firstLine="480" w:firstLineChars="200"/>
              <w:rPr>
                <w:rFonts w:hint="eastAsia" w:eastAsia="宋体"/>
                <w:bCs/>
                <w:sz w:val="24"/>
                <w:lang w:eastAsia="zh-CN"/>
              </w:rPr>
            </w:pPr>
            <w:r>
              <w:rPr>
                <w:rFonts w:hint="eastAsia"/>
                <w:bCs/>
                <w:sz w:val="24"/>
                <w:szCs w:val="22"/>
              </w:rPr>
              <w:t>本</w:t>
            </w:r>
            <w:r>
              <w:rPr>
                <w:bCs/>
                <w:sz w:val="24"/>
                <w:szCs w:val="22"/>
              </w:rPr>
              <w:t>项目严格执行建设项目环境影响评价和环境保护</w:t>
            </w:r>
            <w:r>
              <w:rPr>
                <w:rFonts w:hint="eastAsia"/>
                <w:bCs/>
                <w:sz w:val="24"/>
                <w:szCs w:val="22"/>
              </w:rPr>
              <w:t>“</w:t>
            </w:r>
            <w:r>
              <w:rPr>
                <w:bCs/>
                <w:sz w:val="24"/>
                <w:szCs w:val="22"/>
              </w:rPr>
              <w:t>三同时</w:t>
            </w:r>
            <w:r>
              <w:rPr>
                <w:rFonts w:hint="eastAsia"/>
                <w:bCs/>
                <w:sz w:val="24"/>
                <w:szCs w:val="22"/>
              </w:rPr>
              <w:t>”</w:t>
            </w:r>
            <w:r>
              <w:rPr>
                <w:bCs/>
                <w:sz w:val="24"/>
                <w:szCs w:val="22"/>
              </w:rPr>
              <w:t>制度。</w:t>
            </w:r>
            <w:r>
              <w:rPr>
                <w:rFonts w:hint="eastAsia"/>
                <w:bCs/>
                <w:sz w:val="24"/>
                <w:szCs w:val="22"/>
              </w:rPr>
              <w:t>余干高新技术产业园区</w:t>
            </w:r>
            <w:r>
              <w:rPr>
                <w:bCs/>
                <w:sz w:val="24"/>
                <w:szCs w:val="22"/>
              </w:rPr>
              <w:t>禁止严重破坏生态环境、危及劳动者生命安全和人民健康或国家、地方明令禁止、淘汰、限制的落后生产企业、工艺和设备进入园区。工业园区的开发建设要符合</w:t>
            </w:r>
            <w:r>
              <w:rPr>
                <w:rFonts w:hint="eastAsia"/>
                <w:bCs/>
                <w:sz w:val="24"/>
                <w:szCs w:val="22"/>
              </w:rPr>
              <w:t>余干县</w:t>
            </w:r>
            <w:r>
              <w:rPr>
                <w:bCs/>
                <w:sz w:val="24"/>
                <w:szCs w:val="22"/>
              </w:rPr>
              <w:t>总体规划、环境保护规划、土地利用规划、经济开发区发展规划和生态保护要求，鼓励引进科技含量高、技术和设备先进、清洁生产水平高的企业。</w:t>
            </w:r>
            <w:r>
              <w:rPr>
                <w:rFonts w:hint="eastAsia"/>
                <w:bCs/>
                <w:sz w:val="24"/>
              </w:rPr>
              <w:t>项目与园区准入负面清单相符性分析见</w:t>
            </w:r>
            <w:r>
              <w:rPr>
                <w:rFonts w:hint="eastAsia"/>
                <w:bCs/>
                <w:sz w:val="24"/>
                <w:lang w:eastAsia="zh-CN"/>
              </w:rPr>
              <w:t>表</w:t>
            </w:r>
            <w:r>
              <w:rPr>
                <w:rFonts w:hint="eastAsia"/>
                <w:bCs/>
                <w:sz w:val="24"/>
              </w:rPr>
              <w:t>1</w:t>
            </w:r>
            <w:r>
              <w:rPr>
                <w:bCs/>
                <w:sz w:val="24"/>
              </w:rPr>
              <w:t>-3</w:t>
            </w:r>
            <w:r>
              <w:rPr>
                <w:rFonts w:hint="eastAsia"/>
                <w:bCs/>
                <w:sz w:val="24"/>
                <w:lang w:eastAsia="zh-CN"/>
              </w:rPr>
              <w:t>。</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表1-3  项目与工业园环境准入负面清单</w:t>
            </w:r>
          </w:p>
          <w:tbl>
            <w:tblPr>
              <w:tblStyle w:val="33"/>
              <w:tblW w:w="499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5"/>
              <w:gridCol w:w="3207"/>
              <w:gridCol w:w="9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249" w:type="pct"/>
                  <w:vAlign w:val="center"/>
                </w:tcPr>
                <w:p>
                  <w:pPr>
                    <w:autoSpaceDE w:val="0"/>
                    <w:autoSpaceDN w:val="0"/>
                    <w:adjustRightInd w:val="0"/>
                    <w:jc w:val="center"/>
                    <w:textAlignment w:val="baseline"/>
                    <w:rPr>
                      <w:bCs/>
                      <w:szCs w:val="21"/>
                    </w:rPr>
                  </w:pPr>
                  <w:r>
                    <w:rPr>
                      <w:rFonts w:hint="eastAsia"/>
                      <w:bCs/>
                      <w:szCs w:val="21"/>
                    </w:rPr>
                    <w:t>禁止准入</w:t>
                  </w:r>
                </w:p>
              </w:tc>
              <w:tc>
                <w:tcPr>
                  <w:tcW w:w="2119" w:type="pct"/>
                  <w:vAlign w:val="center"/>
                </w:tcPr>
                <w:p>
                  <w:pPr>
                    <w:autoSpaceDE w:val="0"/>
                    <w:autoSpaceDN w:val="0"/>
                    <w:adjustRightInd w:val="0"/>
                    <w:jc w:val="center"/>
                    <w:textAlignment w:val="baseline"/>
                    <w:rPr>
                      <w:bCs/>
                      <w:szCs w:val="21"/>
                    </w:rPr>
                  </w:pPr>
                  <w:r>
                    <w:rPr>
                      <w:bCs/>
                      <w:szCs w:val="21"/>
                    </w:rPr>
                    <w:t>本项目情况</w:t>
                  </w:r>
                </w:p>
              </w:tc>
              <w:tc>
                <w:tcPr>
                  <w:tcW w:w="631" w:type="pct"/>
                  <w:vAlign w:val="center"/>
                </w:tcPr>
                <w:p>
                  <w:pPr>
                    <w:autoSpaceDE w:val="0"/>
                    <w:autoSpaceDN w:val="0"/>
                    <w:adjustRightInd w:val="0"/>
                    <w:jc w:val="center"/>
                    <w:textAlignment w:val="baseline"/>
                    <w:rPr>
                      <w:bCs/>
                      <w:szCs w:val="21"/>
                    </w:rPr>
                  </w:pPr>
                  <w:r>
                    <w:rPr>
                      <w:bCs/>
                      <w:szCs w:val="21"/>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249" w:type="pct"/>
                  <w:vAlign w:val="center"/>
                </w:tcPr>
                <w:p>
                  <w:pPr>
                    <w:autoSpaceDE w:val="0"/>
                    <w:autoSpaceDN w:val="0"/>
                    <w:adjustRightInd w:val="0"/>
                    <w:jc w:val="left"/>
                    <w:textAlignment w:val="baseline"/>
                    <w:rPr>
                      <w:bCs/>
                      <w:szCs w:val="21"/>
                    </w:rPr>
                  </w:pPr>
                  <w:r>
                    <w:rPr>
                      <w:bCs/>
                      <w:szCs w:val="21"/>
                    </w:rPr>
                    <w:t>(1)国家产业政策明令禁止或淘汰的项目相关的产业政策包括：《产业结构调整指导目录(2019本)》中淘汰类项目；《外商投资产业指导目录(</w:t>
                  </w:r>
                  <w:r>
                    <w:rPr>
                      <w:rFonts w:hint="eastAsia"/>
                      <w:bCs/>
                      <w:szCs w:val="21"/>
                    </w:rPr>
                    <w:t>2015修订</w:t>
                  </w:r>
                  <w:r>
                    <w:rPr>
                      <w:bCs/>
                      <w:szCs w:val="21"/>
                    </w:rPr>
                    <w:t>)》</w:t>
                  </w:r>
                  <w:r>
                    <w:rPr>
                      <w:rFonts w:hint="eastAsia"/>
                      <w:bCs/>
                      <w:szCs w:val="21"/>
                    </w:rPr>
                    <w:t>“</w:t>
                  </w:r>
                  <w:r>
                    <w:rPr>
                      <w:bCs/>
                      <w:szCs w:val="21"/>
                    </w:rPr>
                    <w:t>禁止外商投资产业目</w:t>
                  </w:r>
                </w:p>
                <w:p>
                  <w:pPr>
                    <w:autoSpaceDE w:val="0"/>
                    <w:autoSpaceDN w:val="0"/>
                    <w:adjustRightInd w:val="0"/>
                    <w:jc w:val="left"/>
                    <w:textAlignment w:val="baseline"/>
                    <w:rPr>
                      <w:bCs/>
                      <w:szCs w:val="21"/>
                    </w:rPr>
                  </w:pPr>
                  <w:r>
                    <w:rPr>
                      <w:bCs/>
                      <w:szCs w:val="21"/>
                    </w:rPr>
                    <w:t>录</w:t>
                  </w:r>
                  <w:r>
                    <w:rPr>
                      <w:rFonts w:hint="eastAsia"/>
                      <w:bCs/>
                      <w:szCs w:val="21"/>
                    </w:rPr>
                    <w:t>”</w:t>
                  </w:r>
                  <w:r>
                    <w:rPr>
                      <w:bCs/>
                      <w:szCs w:val="21"/>
                    </w:rPr>
                    <w:t>中明令禁止的项目；</w:t>
                  </w:r>
                </w:p>
                <w:p>
                  <w:pPr>
                    <w:autoSpaceDE w:val="0"/>
                    <w:autoSpaceDN w:val="0"/>
                    <w:adjustRightInd w:val="0"/>
                    <w:jc w:val="left"/>
                    <w:textAlignment w:val="baseline"/>
                    <w:rPr>
                      <w:bCs/>
                      <w:szCs w:val="21"/>
                    </w:rPr>
                  </w:pPr>
                  <w:r>
                    <w:rPr>
                      <w:rFonts w:hint="eastAsia"/>
                      <w:bCs/>
                      <w:szCs w:val="21"/>
                    </w:rPr>
                    <w:t>(2)</w:t>
                  </w:r>
                  <w:r>
                    <w:rPr>
                      <w:bCs/>
                      <w:szCs w:val="21"/>
                    </w:rPr>
                    <w:t>污染量大、污染控制难度大和环保投资高的项目；</w:t>
                  </w:r>
                </w:p>
                <w:p>
                  <w:pPr>
                    <w:autoSpaceDE w:val="0"/>
                    <w:autoSpaceDN w:val="0"/>
                    <w:adjustRightInd w:val="0"/>
                    <w:jc w:val="left"/>
                    <w:textAlignment w:val="baseline"/>
                    <w:rPr>
                      <w:bCs/>
                      <w:szCs w:val="21"/>
                    </w:rPr>
                  </w:pPr>
                  <w:r>
                    <w:rPr>
                      <w:rFonts w:hint="eastAsia"/>
                      <w:bCs/>
                      <w:szCs w:val="21"/>
                    </w:rPr>
                    <w:t>(3)</w:t>
                  </w:r>
                  <w:r>
                    <w:rPr>
                      <w:bCs/>
                      <w:szCs w:val="21"/>
                    </w:rPr>
                    <w:t>达不到行业准入条件</w:t>
                  </w:r>
                  <w:r>
                    <w:rPr>
                      <w:rFonts w:hint="eastAsia"/>
                      <w:bCs/>
                      <w:szCs w:val="21"/>
                    </w:rPr>
                    <w:t>及清洁生产</w:t>
                  </w:r>
                  <w:r>
                    <w:rPr>
                      <w:bCs/>
                      <w:szCs w:val="21"/>
                    </w:rPr>
                    <w:t>的项目。</w:t>
                  </w:r>
                </w:p>
              </w:tc>
              <w:tc>
                <w:tcPr>
                  <w:tcW w:w="2119" w:type="pct"/>
                  <w:vAlign w:val="center"/>
                </w:tcPr>
                <w:p>
                  <w:pPr>
                    <w:autoSpaceDE w:val="0"/>
                    <w:autoSpaceDN w:val="0"/>
                    <w:adjustRightInd w:val="0"/>
                    <w:snapToGrid w:val="0"/>
                    <w:jc w:val="left"/>
                    <w:textAlignment w:val="baseline"/>
                    <w:rPr>
                      <w:bCs/>
                      <w:kern w:val="0"/>
                    </w:rPr>
                  </w:pPr>
                  <w:r>
                    <w:rPr>
                      <w:rFonts w:hint="eastAsia"/>
                      <w:bCs/>
                      <w:kern w:val="0"/>
                    </w:rPr>
                    <w:t>本项目为木质家具制造项目，不属于《产业结构调整指导目录（201</w:t>
                  </w:r>
                  <w:r>
                    <w:rPr>
                      <w:bCs/>
                      <w:kern w:val="0"/>
                    </w:rPr>
                    <w:t>9</w:t>
                  </w:r>
                  <w:r>
                    <w:rPr>
                      <w:rFonts w:hint="eastAsia"/>
                      <w:bCs/>
                      <w:kern w:val="0"/>
                    </w:rPr>
                    <w:t>本，2</w:t>
                  </w:r>
                  <w:r>
                    <w:rPr>
                      <w:bCs/>
                      <w:kern w:val="0"/>
                    </w:rPr>
                    <w:t>021</w:t>
                  </w:r>
                  <w:r>
                    <w:rPr>
                      <w:rFonts w:hint="eastAsia"/>
                      <w:bCs/>
                      <w:kern w:val="0"/>
                    </w:rPr>
                    <w:t>年修订）》中的限制、淘汰类项目，为允许类；项目污染物产生量较小，大气污染物、废水、固体废物经过处理，对周边环境影响较小；项目原辅料储存区域进行防风、防晒、防雨淋、防渗处理，废水、废气、噪声经治理后均能做到达标排放，固废可做到无害化处置，满足准入条件和清洁生产要求。</w:t>
                  </w:r>
                </w:p>
              </w:tc>
              <w:tc>
                <w:tcPr>
                  <w:tcW w:w="631" w:type="pct"/>
                  <w:vAlign w:val="center"/>
                </w:tcPr>
                <w:p>
                  <w:pPr>
                    <w:autoSpaceDE w:val="0"/>
                    <w:autoSpaceDN w:val="0"/>
                    <w:adjustRightInd w:val="0"/>
                    <w:snapToGrid w:val="0"/>
                    <w:jc w:val="center"/>
                    <w:textAlignment w:val="baseline"/>
                    <w:rPr>
                      <w:bCs/>
                      <w:kern w:val="0"/>
                    </w:rPr>
                  </w:pPr>
                  <w:r>
                    <w:rPr>
                      <w:rFonts w:hint="eastAsia"/>
                      <w:bCs/>
                      <w:kern w:val="0"/>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249" w:type="pct"/>
                  <w:vAlign w:val="center"/>
                </w:tcPr>
                <w:p>
                  <w:pPr>
                    <w:autoSpaceDE w:val="0"/>
                    <w:autoSpaceDN w:val="0"/>
                    <w:adjustRightInd w:val="0"/>
                    <w:snapToGrid w:val="0"/>
                    <w:jc w:val="left"/>
                    <w:textAlignment w:val="baseline"/>
                    <w:rPr>
                      <w:bCs/>
                      <w:kern w:val="0"/>
                    </w:rPr>
                  </w:pPr>
                  <w:r>
                    <w:rPr>
                      <w:bCs/>
                      <w:kern w:val="0"/>
                    </w:rPr>
                    <w:t>(1)国家产业政策限制的项目相关的产业政策包括：《产业结构调整指导目录(2019本)》中限制类项目；《外商投资产业指导目录(20</w:t>
                  </w:r>
                  <w:r>
                    <w:rPr>
                      <w:rFonts w:hint="eastAsia"/>
                      <w:bCs/>
                      <w:kern w:val="0"/>
                    </w:rPr>
                    <w:t>15</w:t>
                  </w:r>
                  <w:r>
                    <w:rPr>
                      <w:bCs/>
                      <w:kern w:val="0"/>
                    </w:rPr>
                    <w:t>年修订)》</w:t>
                  </w:r>
                  <w:r>
                    <w:rPr>
                      <w:rFonts w:hint="eastAsia"/>
                      <w:bCs/>
                      <w:kern w:val="0"/>
                    </w:rPr>
                    <w:t>“</w:t>
                  </w:r>
                  <w:r>
                    <w:rPr>
                      <w:bCs/>
                      <w:kern w:val="0"/>
                    </w:rPr>
                    <w:t>限制外商投资产业目录</w:t>
                  </w:r>
                  <w:r>
                    <w:rPr>
                      <w:rFonts w:hint="eastAsia"/>
                      <w:bCs/>
                      <w:kern w:val="0"/>
                    </w:rPr>
                    <w:t>”</w:t>
                  </w:r>
                  <w:r>
                    <w:rPr>
                      <w:bCs/>
                      <w:kern w:val="0"/>
                    </w:rPr>
                    <w:t>中限制引入的项目；</w:t>
                  </w:r>
                </w:p>
                <w:p>
                  <w:pPr>
                    <w:autoSpaceDE w:val="0"/>
                    <w:autoSpaceDN w:val="0"/>
                    <w:adjustRightInd w:val="0"/>
                    <w:jc w:val="left"/>
                    <w:textAlignment w:val="baseline"/>
                    <w:rPr>
                      <w:bCs/>
                      <w:szCs w:val="21"/>
                    </w:rPr>
                  </w:pPr>
                  <w:r>
                    <w:rPr>
                      <w:rFonts w:hint="eastAsia"/>
                      <w:bCs/>
                      <w:kern w:val="0"/>
                    </w:rPr>
                    <w:t>(2)</w:t>
                  </w:r>
                  <w:r>
                    <w:rPr>
                      <w:bCs/>
                      <w:kern w:val="0"/>
                    </w:rPr>
                    <w:t>与园区主导产业密切相关或园区产业链条上不可或缺的污染型项目。</w:t>
                  </w:r>
                </w:p>
              </w:tc>
              <w:tc>
                <w:tcPr>
                  <w:tcW w:w="2119" w:type="pct"/>
                  <w:vAlign w:val="center"/>
                </w:tcPr>
                <w:p>
                  <w:pPr>
                    <w:autoSpaceDE w:val="0"/>
                    <w:autoSpaceDN w:val="0"/>
                    <w:adjustRightInd w:val="0"/>
                    <w:snapToGrid w:val="0"/>
                    <w:jc w:val="left"/>
                    <w:textAlignment w:val="baseline"/>
                    <w:rPr>
                      <w:bCs/>
                      <w:kern w:val="0"/>
                    </w:rPr>
                  </w:pPr>
                  <w:r>
                    <w:rPr>
                      <w:rFonts w:hint="eastAsia"/>
                      <w:bCs/>
                      <w:kern w:val="0"/>
                    </w:rPr>
                    <w:t>本项目为木质家具制造项目，不属于《产业结构调整指导目录（2019本，2021年修订）》中的限制、淘汰类项目，为允许类；项目不属于外商投资；不属于限制准入项目。</w:t>
                  </w:r>
                </w:p>
              </w:tc>
              <w:tc>
                <w:tcPr>
                  <w:tcW w:w="631" w:type="pct"/>
                  <w:vAlign w:val="center"/>
                </w:tcPr>
                <w:p>
                  <w:pPr>
                    <w:autoSpaceDE w:val="0"/>
                    <w:autoSpaceDN w:val="0"/>
                    <w:adjustRightInd w:val="0"/>
                    <w:snapToGrid w:val="0"/>
                    <w:jc w:val="center"/>
                    <w:textAlignment w:val="baseline"/>
                    <w:rPr>
                      <w:bCs/>
                      <w:kern w:val="0"/>
                    </w:rPr>
                  </w:pPr>
                  <w:r>
                    <w:rPr>
                      <w:rFonts w:hint="eastAsia"/>
                      <w:bCs/>
                      <w:kern w:val="0"/>
                    </w:rPr>
                    <w:t>符合</w:t>
                  </w:r>
                </w:p>
              </w:tc>
            </w:tr>
          </w:tbl>
          <w:p>
            <w:pPr>
              <w:spacing w:line="360" w:lineRule="auto"/>
              <w:ind w:firstLine="480" w:firstLineChars="200"/>
              <w:rPr>
                <w:bCs/>
                <w:sz w:val="24"/>
              </w:rPr>
            </w:pPr>
            <w:r>
              <w:rPr>
                <w:rFonts w:hint="eastAsia"/>
                <w:bCs/>
                <w:sz w:val="24"/>
              </w:rPr>
              <w:t>⑤</w:t>
            </w:r>
            <w:r>
              <w:rPr>
                <w:sz w:val="24"/>
                <w:shd w:val="clear" w:color="auto" w:fill="FFFFFF"/>
              </w:rPr>
              <w:t>上饶市“三线一单”生态环境分区管控方案</w:t>
            </w:r>
          </w:p>
          <w:p>
            <w:pPr>
              <w:spacing w:line="360" w:lineRule="auto"/>
              <w:ind w:firstLine="480" w:firstLineChars="200"/>
              <w:rPr>
                <w:rFonts w:hint="eastAsia" w:eastAsia="宋体"/>
                <w:bCs/>
                <w:sz w:val="24"/>
                <w:lang w:eastAsia="zh-CN"/>
              </w:rPr>
            </w:pPr>
            <w:r>
              <w:rPr>
                <w:bCs/>
                <w:sz w:val="24"/>
              </w:rPr>
              <w:t>根据上饶市人民政府关于印发《上饶市“三线一单”生态环境分区管控方案》的通知（饶府发〔2020〕13号）文件中“分类实施生态环境准入清单，优先保护单元依法禁止或限制大规模、高强度的工业和城镇开发建设，管控单元内的开发建设活动在符合法律法规和相关规划的前提下，按照保护优先的原则，避免损害所在单元的生态服务功能和生态产品质量；涉及生态保护红线的，按照国家和省市相关规定进行管控；在功能受损的优先保护单元优先开展生态保护修复活动，恢复生态系统服务功能。重点管控单元应遵循长江经济带高质量发展战略，进一步优化空间和产业布局，结合生态环境质量达标情况以及经济社会发展水平等，按照差别化的生态环境准入要求，加强污染物排放控制和环境风险防控，不断提升资源利用效率，稳步改善生态环境质量。一般管控单元主要任务是永久基本农田保护及管理、农业农村污染治理和农村人居环境改善，执行生态环境保护的基本要求。各具体管控单元的生态环境准入清单，由市生态环境局印发实施。”对照上饶市环境管控单元分类图，本项目选址位于余干县</w:t>
            </w:r>
            <w:r>
              <w:rPr>
                <w:rFonts w:hint="eastAsia"/>
                <w:bCs/>
                <w:sz w:val="24"/>
              </w:rPr>
              <w:t>黄金埠工业园</w:t>
            </w:r>
            <w:r>
              <w:rPr>
                <w:bCs/>
                <w:sz w:val="24"/>
              </w:rPr>
              <w:t>，属于</w:t>
            </w:r>
            <w:r>
              <w:rPr>
                <w:rFonts w:hint="eastAsia"/>
                <w:bCs/>
                <w:sz w:val="24"/>
              </w:rPr>
              <w:t>重点</w:t>
            </w:r>
            <w:r>
              <w:rPr>
                <w:bCs/>
                <w:sz w:val="24"/>
              </w:rPr>
              <w:t>管控单元3（单元编码ZH3611273000</w:t>
            </w:r>
            <w:r>
              <w:rPr>
                <w:rFonts w:hint="eastAsia"/>
                <w:bCs/>
                <w:sz w:val="24"/>
              </w:rPr>
              <w:t>5黄金埠镇1（黄金埠工业园）</w:t>
            </w:r>
            <w:r>
              <w:rPr>
                <w:bCs/>
                <w:sz w:val="24"/>
              </w:rPr>
              <w:t>），根据《关于发布上饶市“三线一单”各管控单元生态环境准入清单的通知》（饶环字〔2021〕2号）文件要求，本项目与该文件相符</w:t>
            </w:r>
            <w:r>
              <w:rPr>
                <w:rFonts w:hint="eastAsia"/>
                <w:bCs/>
                <w:sz w:val="24"/>
              </w:rPr>
              <w:t>性见表1-4</w:t>
            </w:r>
            <w:r>
              <w:rPr>
                <w:rFonts w:hint="eastAsia"/>
                <w:bCs/>
                <w:sz w:val="24"/>
                <w:lang w:eastAsia="zh-CN"/>
              </w:rPr>
              <w:t>。</w:t>
            </w:r>
          </w:p>
          <w:p>
            <w:pPr>
              <w:autoSpaceDE w:val="0"/>
              <w:autoSpaceDN w:val="0"/>
              <w:adjustRightInd w:val="0"/>
              <w:snapToGrid w:val="0"/>
              <w:spacing w:before="120" w:beforeLines="50"/>
              <w:jc w:val="center"/>
              <w:rPr>
                <w:rFonts w:eastAsia="黑体"/>
                <w:kern w:val="0"/>
                <w:sz w:val="24"/>
              </w:rPr>
            </w:pPr>
            <w:r>
              <w:rPr>
                <w:rFonts w:eastAsia="黑体"/>
                <w:kern w:val="0"/>
                <w:sz w:val="24"/>
              </w:rPr>
              <w:t>表1</w:t>
            </w:r>
            <w:r>
              <w:rPr>
                <w:rFonts w:hint="eastAsia" w:eastAsia="黑体"/>
                <w:kern w:val="0"/>
                <w:sz w:val="24"/>
              </w:rPr>
              <w:t>-4</w:t>
            </w:r>
            <w:r>
              <w:rPr>
                <w:rFonts w:eastAsia="黑体"/>
                <w:kern w:val="0"/>
                <w:sz w:val="24"/>
              </w:rPr>
              <w:t xml:space="preserve"> 本项目与生态环境准入清单符合性分析</w:t>
            </w:r>
          </w:p>
          <w:tbl>
            <w:tblPr>
              <w:tblStyle w:val="33"/>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3909"/>
              <w:gridCol w:w="1614"/>
              <w:gridCol w:w="7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1" w:type="dxa"/>
                  <w:vAlign w:val="center"/>
                </w:tcPr>
                <w:p>
                  <w:pPr>
                    <w:snapToGrid w:val="0"/>
                    <w:jc w:val="center"/>
                  </w:pPr>
                  <w:r>
                    <w:t>管控领域</w:t>
                  </w:r>
                </w:p>
              </w:tc>
              <w:tc>
                <w:tcPr>
                  <w:tcW w:w="3608" w:type="dxa"/>
                  <w:vAlign w:val="center"/>
                </w:tcPr>
                <w:p>
                  <w:pPr>
                    <w:snapToGrid w:val="0"/>
                    <w:jc w:val="center"/>
                  </w:pPr>
                  <w:r>
                    <w:t>环境准入及管控要求</w:t>
                  </w:r>
                </w:p>
              </w:tc>
              <w:tc>
                <w:tcPr>
                  <w:tcW w:w="1490" w:type="dxa"/>
                  <w:vAlign w:val="center"/>
                </w:tcPr>
                <w:p>
                  <w:pPr>
                    <w:snapToGrid w:val="0"/>
                    <w:jc w:val="center"/>
                  </w:pPr>
                  <w:r>
                    <w:t>本项目情况</w:t>
                  </w:r>
                </w:p>
              </w:tc>
              <w:tc>
                <w:tcPr>
                  <w:tcW w:w="700" w:type="dxa"/>
                  <w:vAlign w:val="center"/>
                </w:tcPr>
                <w:p>
                  <w:pPr>
                    <w:snapToGrid w:val="0"/>
                    <w:jc w:val="center"/>
                  </w:pPr>
                  <w: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121" w:type="dxa"/>
                  <w:vAlign w:val="center"/>
                </w:tcPr>
                <w:p>
                  <w:pPr>
                    <w:snapToGrid w:val="0"/>
                    <w:jc w:val="center"/>
                  </w:pPr>
                  <w:r>
                    <w:t>空间布局约束</w:t>
                  </w:r>
                </w:p>
              </w:tc>
              <w:tc>
                <w:tcPr>
                  <w:tcW w:w="3608" w:type="dxa"/>
                  <w:vAlign w:val="center"/>
                </w:tcPr>
                <w:p>
                  <w:pPr>
                    <w:snapToGrid w:val="0"/>
                    <w:jc w:val="left"/>
                  </w:pPr>
                  <w:r>
                    <w:rPr>
                      <w:rFonts w:hint="eastAsia"/>
                    </w:rPr>
                    <w:t>1.信江1公里范围内禁止新建重化工项目。</w:t>
                  </w:r>
                </w:p>
                <w:p>
                  <w:pPr>
                    <w:snapToGrid w:val="0"/>
                    <w:jc w:val="left"/>
                  </w:pPr>
                  <w:r>
                    <w:rPr>
                      <w:rFonts w:hint="eastAsia"/>
                    </w:rPr>
                    <w:t>2.园区规划大气污染型行业片区与周边居民集中区之间留足缓冲地带，缓冲区域内不得新建该类项目。</w:t>
                  </w:r>
                </w:p>
                <w:p>
                  <w:pPr>
                    <w:snapToGrid w:val="0"/>
                    <w:jc w:val="left"/>
                  </w:pPr>
                  <w:r>
                    <w:rPr>
                      <w:rFonts w:hint="eastAsia"/>
                    </w:rPr>
                    <w:t>3.不得新建采用高磷生产工艺的工业项目。</w:t>
                  </w:r>
                </w:p>
              </w:tc>
              <w:tc>
                <w:tcPr>
                  <w:tcW w:w="1490" w:type="dxa"/>
                  <w:vAlign w:val="center"/>
                </w:tcPr>
                <w:p>
                  <w:pPr>
                    <w:snapToGrid w:val="0"/>
                    <w:jc w:val="left"/>
                  </w:pPr>
                  <w:r>
                    <w:t>项目不属于</w:t>
                  </w:r>
                  <w:r>
                    <w:rPr>
                      <w:rFonts w:hint="eastAsia"/>
                    </w:rPr>
                    <w:t>高磷生产工艺的工业</w:t>
                  </w:r>
                  <w:r>
                    <w:t>项目。</w:t>
                  </w:r>
                </w:p>
              </w:tc>
              <w:tc>
                <w:tcPr>
                  <w:tcW w:w="700" w:type="dxa"/>
                  <w:vAlign w:val="center"/>
                </w:tcPr>
                <w:p>
                  <w:pPr>
                    <w:snapToGrid w:val="0"/>
                    <w:jc w:val="center"/>
                  </w:pPr>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121" w:type="dxa"/>
                  <w:vMerge w:val="restart"/>
                  <w:vAlign w:val="center"/>
                </w:tcPr>
                <w:p>
                  <w:pPr>
                    <w:snapToGrid w:val="0"/>
                    <w:jc w:val="center"/>
                  </w:pPr>
                  <w:r>
                    <w:t>污染物排放管控</w:t>
                  </w:r>
                </w:p>
              </w:tc>
              <w:tc>
                <w:tcPr>
                  <w:tcW w:w="3608" w:type="dxa"/>
                  <w:vAlign w:val="center"/>
                </w:tcPr>
                <w:p>
                  <w:pPr>
                    <w:snapToGrid w:val="0"/>
                    <w:jc w:val="left"/>
                  </w:pPr>
                  <w:r>
                    <w:rPr>
                      <w:rFonts w:hint="eastAsia"/>
                    </w:rPr>
                    <w:t>1.新、改、扩建涉重金属重点行业建设项目重点重金属污染物排放减量置换或等量替换。</w:t>
                  </w:r>
                </w:p>
                <w:p>
                  <w:pPr>
                    <w:snapToGrid w:val="0"/>
                    <w:jc w:val="left"/>
                  </w:pPr>
                  <w:r>
                    <w:rPr>
                      <w:rFonts w:hint="eastAsia"/>
                    </w:rPr>
                    <w:t>2.若上一年度水环境质量不达标，相关污染物进行2倍削减替代</w:t>
                  </w:r>
                </w:p>
              </w:tc>
              <w:tc>
                <w:tcPr>
                  <w:tcW w:w="1490" w:type="dxa"/>
                  <w:vAlign w:val="center"/>
                </w:tcPr>
                <w:p>
                  <w:pPr>
                    <w:snapToGrid w:val="0"/>
                    <w:jc w:val="left"/>
                  </w:pPr>
                  <w:r>
                    <w:t>1.本项目不涉及金属重金属。</w:t>
                  </w:r>
                </w:p>
                <w:p>
                  <w:pPr>
                    <w:snapToGrid w:val="0"/>
                    <w:jc w:val="left"/>
                    <w:rPr>
                      <w:rFonts w:hint="eastAsia" w:eastAsia="宋体"/>
                      <w:lang w:eastAsia="zh-CN"/>
                    </w:rPr>
                  </w:pPr>
                  <w:r>
                    <w:t>2.本项目所在区域上一年度环境空气及水质量均达标</w:t>
                  </w:r>
                  <w:r>
                    <w:rPr>
                      <w:rFonts w:hint="eastAsia"/>
                      <w:lang w:eastAsia="zh-CN"/>
                    </w:rPr>
                    <w:t>。</w:t>
                  </w:r>
                </w:p>
              </w:tc>
              <w:tc>
                <w:tcPr>
                  <w:tcW w:w="700" w:type="dxa"/>
                  <w:vAlign w:val="center"/>
                </w:tcPr>
                <w:p>
                  <w:pPr>
                    <w:snapToGrid w:val="0"/>
                    <w:jc w:val="center"/>
                  </w:pPr>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121" w:type="dxa"/>
                  <w:vMerge w:val="continue"/>
                  <w:vAlign w:val="center"/>
                </w:tcPr>
                <w:p>
                  <w:pPr>
                    <w:snapToGrid w:val="0"/>
                    <w:jc w:val="center"/>
                  </w:pPr>
                </w:p>
              </w:tc>
              <w:tc>
                <w:tcPr>
                  <w:tcW w:w="3608" w:type="dxa"/>
                  <w:vAlign w:val="center"/>
                </w:tcPr>
                <w:p>
                  <w:pPr>
                    <w:snapToGrid w:val="0"/>
                  </w:pPr>
                  <w:r>
                    <w:rPr>
                      <w:rFonts w:hint="eastAsia"/>
                    </w:rPr>
                    <w:t>新建各类建设项目，其排放污染物应达到相应行业排放限值、《大气污染物综合排放标准》二级、《污水综合排放标准》一级、《城镇污水处理厂污染物排放标准》一级B等排放限值或集中污水处理厂纳管限值要求。</w:t>
                  </w:r>
                </w:p>
              </w:tc>
              <w:tc>
                <w:tcPr>
                  <w:tcW w:w="1490" w:type="dxa"/>
                  <w:vAlign w:val="center"/>
                </w:tcPr>
                <w:p>
                  <w:pPr>
                    <w:snapToGrid w:val="0"/>
                    <w:jc w:val="both"/>
                  </w:pPr>
                  <w:r>
                    <w:rPr>
                      <w:rFonts w:hint="eastAsia"/>
                    </w:rPr>
                    <w:t>本项目各项污染物达标排放。</w:t>
                  </w:r>
                </w:p>
              </w:tc>
              <w:tc>
                <w:tcPr>
                  <w:tcW w:w="700" w:type="dxa"/>
                  <w:vAlign w:val="center"/>
                </w:tcPr>
                <w:p>
                  <w:pPr>
                    <w:snapToGrid w:val="0"/>
                    <w:jc w:val="center"/>
                  </w:pPr>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121" w:type="dxa"/>
                  <w:vMerge w:val="continue"/>
                  <w:vAlign w:val="center"/>
                </w:tcPr>
                <w:p>
                  <w:pPr>
                    <w:snapToGrid w:val="0"/>
                    <w:jc w:val="center"/>
                  </w:pPr>
                </w:p>
              </w:tc>
              <w:tc>
                <w:tcPr>
                  <w:tcW w:w="3608" w:type="dxa"/>
                  <w:vAlign w:val="center"/>
                </w:tcPr>
                <w:p>
                  <w:pPr>
                    <w:snapToGrid w:val="0"/>
                    <w:jc w:val="left"/>
                  </w:pPr>
                  <w:r>
                    <w:rPr>
                      <w:rFonts w:hint="eastAsia"/>
                    </w:rPr>
                    <w:t>污染物排放绩效水平应达到国内先进水平。</w:t>
                  </w:r>
                </w:p>
              </w:tc>
              <w:tc>
                <w:tcPr>
                  <w:tcW w:w="1490" w:type="dxa"/>
                  <w:vAlign w:val="center"/>
                </w:tcPr>
                <w:p>
                  <w:pPr>
                    <w:snapToGrid w:val="0"/>
                    <w:jc w:val="left"/>
                  </w:pPr>
                  <w:r>
                    <w:rPr>
                      <w:rFonts w:hint="eastAsia"/>
                    </w:rPr>
                    <w:t>本项目污染物治理措施均使用国内先进技术。</w:t>
                  </w:r>
                </w:p>
              </w:tc>
              <w:tc>
                <w:tcPr>
                  <w:tcW w:w="700" w:type="dxa"/>
                  <w:vAlign w:val="center"/>
                </w:tcPr>
                <w:p>
                  <w:pPr>
                    <w:snapToGrid w:val="0"/>
                    <w:jc w:val="center"/>
                  </w:pPr>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121" w:type="dxa"/>
                  <w:vAlign w:val="center"/>
                </w:tcPr>
                <w:p>
                  <w:pPr>
                    <w:snapToGrid w:val="0"/>
                    <w:jc w:val="center"/>
                  </w:pPr>
                  <w:r>
                    <w:t>环境风险管控</w:t>
                  </w:r>
                </w:p>
              </w:tc>
              <w:tc>
                <w:tcPr>
                  <w:tcW w:w="3608" w:type="dxa"/>
                  <w:vAlign w:val="center"/>
                </w:tcPr>
                <w:p>
                  <w:pPr>
                    <w:snapToGrid w:val="0"/>
                    <w:jc w:val="left"/>
                  </w:pPr>
                  <w:r>
                    <w:rPr>
                      <w:rFonts w:hint="eastAsia"/>
                    </w:rPr>
                    <w:t>1.生产、存储危险化学品及产生大量废水的企业，应配套有效措施，防止因渗漏污染地下水、土壤，以及因事故废水直排污染地表水体。</w:t>
                  </w:r>
                </w:p>
                <w:p>
                  <w:pPr>
                    <w:snapToGrid w:val="0"/>
                    <w:jc w:val="left"/>
                  </w:pPr>
                  <w:r>
                    <w:rPr>
                      <w:rFonts w:hint="eastAsia"/>
                    </w:rPr>
                    <w:t>2.产生、利用或处置固体废物（含危险废物）的企业，在贮存、转移、利用、处置固体废物（含危险废物）过程中，应配套防扬散、防流失、防渗漏及其他防止污染环境的措施。</w:t>
                  </w:r>
                </w:p>
              </w:tc>
              <w:tc>
                <w:tcPr>
                  <w:tcW w:w="1490" w:type="dxa"/>
                  <w:vAlign w:val="center"/>
                </w:tcPr>
                <w:p>
                  <w:pPr>
                    <w:jc w:val="left"/>
                    <w:rPr>
                      <w:szCs w:val="21"/>
                    </w:rPr>
                  </w:pPr>
                  <w:r>
                    <w:rPr>
                      <w:rFonts w:hint="eastAsia"/>
                      <w:szCs w:val="21"/>
                    </w:rPr>
                    <w:t>1.本项目涂料原料仓库进行重点防渗处理，生产水不外排。</w:t>
                  </w:r>
                </w:p>
                <w:p>
                  <w:pPr>
                    <w:snapToGrid w:val="0"/>
                    <w:jc w:val="left"/>
                  </w:pPr>
                  <w:r>
                    <w:rPr>
                      <w:rFonts w:hint="eastAsia"/>
                      <w:szCs w:val="21"/>
                    </w:rPr>
                    <w:t>2.本项目设有独立危废间，并严格按照要求建设管理。</w:t>
                  </w:r>
                </w:p>
              </w:tc>
              <w:tc>
                <w:tcPr>
                  <w:tcW w:w="700" w:type="dxa"/>
                  <w:vAlign w:val="center"/>
                </w:tcPr>
                <w:p>
                  <w:pPr>
                    <w:snapToGrid w:val="0"/>
                    <w:jc w:val="center"/>
                  </w:pPr>
                  <w:r>
                    <w:t>符合</w:t>
                  </w:r>
                </w:p>
              </w:tc>
            </w:tr>
          </w:tbl>
          <w:p>
            <w:pPr>
              <w:spacing w:line="360" w:lineRule="auto"/>
              <w:ind w:firstLine="480" w:firstLineChars="200"/>
              <w:rPr>
                <w:bCs/>
                <w:sz w:val="24"/>
              </w:rPr>
            </w:pPr>
            <w:r>
              <w:rPr>
                <w:bCs/>
                <w:sz w:val="24"/>
                <w:szCs w:val="22"/>
              </w:rPr>
              <w:t>综上所述，本项目符合</w:t>
            </w:r>
            <w:r>
              <w:rPr>
                <w:bCs/>
                <w:sz w:val="24"/>
              </w:rPr>
              <w:t>《上饶市“三线一单"生态环境分区管控方案》要求。</w:t>
            </w:r>
          </w:p>
          <w:p>
            <w:pPr>
              <w:tabs>
                <w:tab w:val="left" w:pos="317"/>
              </w:tabs>
              <w:spacing w:line="360" w:lineRule="auto"/>
              <w:ind w:firstLine="480" w:firstLineChars="200"/>
              <w:rPr>
                <w:sz w:val="24"/>
              </w:rPr>
            </w:pPr>
            <w:r>
              <w:rPr>
                <w:rFonts w:hint="eastAsia"/>
                <w:kern w:val="0"/>
                <w:sz w:val="24"/>
              </w:rPr>
              <w:t>（</w:t>
            </w:r>
            <w:r>
              <w:rPr>
                <w:rFonts w:hint="eastAsia"/>
                <w:kern w:val="0"/>
                <w:sz w:val="24"/>
                <w:lang w:val="en-US" w:eastAsia="zh-CN"/>
              </w:rPr>
              <w:t>4</w:t>
            </w:r>
            <w:r>
              <w:rPr>
                <w:rFonts w:hint="eastAsia"/>
                <w:kern w:val="0"/>
                <w:sz w:val="24"/>
              </w:rPr>
              <w:t>）</w:t>
            </w:r>
            <w:r>
              <w:rPr>
                <w:sz w:val="24"/>
              </w:rPr>
              <w:t>与《江西省长江经济带发展负面清单实施细则(试行，2022年版)》（赣长江办</w:t>
            </w:r>
            <w:r>
              <w:rPr>
                <w:rFonts w:hint="eastAsia" w:ascii="宋体" w:hAnsi="宋体"/>
                <w:sz w:val="24"/>
              </w:rPr>
              <w:t>〔</w:t>
            </w:r>
            <w:r>
              <w:rPr>
                <w:sz w:val="24"/>
              </w:rPr>
              <w:t>2022</w:t>
            </w:r>
            <w:r>
              <w:rPr>
                <w:rFonts w:hint="eastAsia" w:ascii="宋体" w:hAnsi="宋体"/>
                <w:sz w:val="24"/>
              </w:rPr>
              <w:t>〕</w:t>
            </w:r>
            <w:r>
              <w:rPr>
                <w:sz w:val="24"/>
              </w:rPr>
              <w:t>7号）相符性分析</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表1-</w:t>
            </w:r>
            <w:r>
              <w:rPr>
                <w:rFonts w:hint="eastAsia" w:eastAsia="黑体"/>
                <w:kern w:val="0"/>
                <w:sz w:val="24"/>
                <w:lang w:val="en-US" w:eastAsia="zh-CN"/>
              </w:rPr>
              <w:t>5</w:t>
            </w:r>
            <w:r>
              <w:rPr>
                <w:rFonts w:hint="eastAsia" w:eastAsia="黑体"/>
                <w:kern w:val="0"/>
                <w:sz w:val="24"/>
              </w:rPr>
              <w:t xml:space="preserve"> 与《江西省长江经济带发展负面清单实施细则(试行，2022年版)》（赣长江办</w:t>
            </w:r>
            <w:r>
              <w:rPr>
                <w:rFonts w:hint="eastAsia" w:ascii="黑体" w:hAnsi="黑体" w:eastAsia="黑体"/>
                <w:kern w:val="0"/>
                <w:sz w:val="24"/>
              </w:rPr>
              <w:t>〔</w:t>
            </w:r>
            <w:r>
              <w:rPr>
                <w:rFonts w:hint="eastAsia" w:eastAsia="黑体"/>
                <w:kern w:val="0"/>
                <w:sz w:val="24"/>
              </w:rPr>
              <w:t>2022</w:t>
            </w:r>
            <w:r>
              <w:rPr>
                <w:rFonts w:hint="eastAsia" w:ascii="黑体" w:hAnsi="黑体" w:eastAsia="黑体"/>
                <w:kern w:val="0"/>
                <w:sz w:val="24"/>
              </w:rPr>
              <w:t>〕</w:t>
            </w:r>
            <w:r>
              <w:rPr>
                <w:rFonts w:hint="eastAsia" w:eastAsia="黑体"/>
                <w:kern w:val="0"/>
                <w:sz w:val="24"/>
              </w:rPr>
              <w:t>7号）符合性分析一览表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66"/>
              <w:gridCol w:w="4460"/>
              <w:gridCol w:w="1884"/>
              <w:gridCol w:w="66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373"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项目</w:t>
                  </w: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具体要求</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本项目情况</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restar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负面清单</w:t>
                  </w: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1.禁止建设不符合</w:t>
                  </w:r>
                  <w:r>
                    <w:rPr>
                      <w:rFonts w:hint="eastAsia"/>
                      <w:color w:val="000000"/>
                    </w:rPr>
                    <w:t>国家</w:t>
                  </w:r>
                  <w:r>
                    <w:rPr>
                      <w:color w:val="000000"/>
                    </w:rPr>
                    <w:t>和省级港口布局规划以及港口</w:t>
                  </w:r>
                  <w:r>
                    <w:rPr>
                      <w:rFonts w:hint="eastAsia"/>
                      <w:color w:val="000000"/>
                    </w:rPr>
                    <w:t>总体规划</w:t>
                  </w:r>
                  <w:r>
                    <w:rPr>
                      <w:color w:val="000000"/>
                    </w:rPr>
                    <w:t>的码头项目，禁止建设不符合《长江干线过江通道市局规划》的过长江通道项目</w:t>
                  </w:r>
                  <w:r>
                    <w:rPr>
                      <w:rFonts w:hint="eastAsia"/>
                      <w:color w:val="000000"/>
                    </w:rPr>
                    <w:t>。</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项目不为此类项目</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2.禁止在自然保护区核心区、缓冲区的岸线和河段范围内投资建设旅游和生产经营项目</w:t>
                  </w:r>
                  <w:r>
                    <w:rPr>
                      <w:rFonts w:hint="eastAsia"/>
                      <w:color w:val="000000"/>
                    </w:rPr>
                    <w:t>。</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项目不在自然保护区核心区、缓冲区的岸线和河段范围内、不在风景名胜区核心景区</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3禁止在风景名胜区核心景区的岸线和河段范围内开展以下行为：（一）开山、采石、开矿、开荒、修坟立碑等破坏景观、植被和地形地貌的活动；（二）修建储存爆炸性、易燃性、放射性、毒害性、腐蚀性物品的设施；（三）违反风景名胜区规划，建设与风景名胜资源保护无关的设施</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rFonts w:hint="eastAsia"/>
                      <w:color w:val="000000"/>
                    </w:rPr>
                    <w:t>项目不在风景名胜区内。</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4.禁止在饮用水水源</w:t>
                  </w:r>
                  <w:r>
                    <w:rPr>
                      <w:rFonts w:hint="eastAsia"/>
                      <w:color w:val="000000"/>
                    </w:rPr>
                    <w:t>二级保护区的岸线及河段范围内开展下列行为：（一）新建、改建、扩建排放污染物的建设项目；已建成的排放污染物的建设项目，由县级以上人民政府责令拆除或者关闭；（二）在饮用水水源二级保护区内从事网箱养殖、旅游等活动的，应当按照规定采取措施，防止污染饮用水水体。</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项目不位于饮用水源保护区范围内</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5.禁止在水产种质资源保护区的岸线和河段范围内新建围湖</w:t>
                  </w:r>
                  <w:r>
                    <w:rPr>
                      <w:rFonts w:hint="eastAsia"/>
                      <w:color w:val="000000"/>
                    </w:rPr>
                    <w:t>（河）</w:t>
                  </w:r>
                  <w:r>
                    <w:rPr>
                      <w:color w:val="000000"/>
                    </w:rPr>
                    <w:t>造田</w:t>
                  </w:r>
                  <w:r>
                    <w:rPr>
                      <w:rFonts w:hint="eastAsia"/>
                      <w:color w:val="000000"/>
                    </w:rPr>
                    <w:t>（地）</w:t>
                  </w:r>
                  <w:r>
                    <w:rPr>
                      <w:color w:val="000000"/>
                    </w:rPr>
                    <w:t>等投资建设项目，</w:t>
                  </w:r>
                  <w:r>
                    <w:rPr>
                      <w:rFonts w:hint="eastAsia"/>
                      <w:color w:val="000000"/>
                    </w:rPr>
                    <w:t>单位和个人在水产种质资源保护区内从事水生生物资源调查、科学研究、教学实习、参观游览、影视拍摄等活动，应当遵守有关法律法规和保护区管理制度，不得损害水产种质资源及其生存环境。</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项目不在水产种质资源保护区及国家湿地公园等范围内</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6</w:t>
                  </w:r>
                  <w:r>
                    <w:rPr>
                      <w:rFonts w:hint="eastAsia"/>
                      <w:color w:val="000000"/>
                    </w:rPr>
                    <w:t>除国家规定的外，禁止在国家湿地公园的岸线和河段范围内挖沙、采矿以及任何不符合主体功能定位的投资建设项目。</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rFonts w:hint="eastAsia"/>
                      <w:color w:val="000000"/>
                    </w:rPr>
                    <w:t>项目不在国家湿地公园岸线及河段范围内，且不属于挖沙采矿项目。</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7.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本项目不位于岸线保护区、保留区</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8禁止在《全国重要江河湖泊水功能区划》划定的河段及湖泊保护区、保留区内投资建设不利于水资源及自然生态保护的项目。</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rFonts w:hint="eastAsia"/>
                      <w:color w:val="000000"/>
                    </w:rPr>
                    <w:t>项目不为于</w:t>
                  </w:r>
                  <w:r>
                    <w:rPr>
                      <w:color w:val="000000"/>
                    </w:rPr>
                    <w:t>划定的河段及湖泊保护区、保留区内</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9禁止未经许可在长江干支流及湖泊新设、改设或扩大排污口</w:t>
                  </w:r>
                  <w:r>
                    <w:rPr>
                      <w:rFonts w:hint="eastAsia"/>
                      <w:color w:val="000000"/>
                    </w:rPr>
                    <w:t>。</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项目不位于长江干支流及湖泊</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rFonts w:hint="eastAsia"/>
                      <w:color w:val="000000"/>
                    </w:rPr>
                    <w:t>1</w:t>
                  </w:r>
                  <w:r>
                    <w:rPr>
                      <w:color w:val="000000"/>
                    </w:rPr>
                    <w:t>0</w:t>
                  </w:r>
                  <w:r>
                    <w:rPr>
                      <w:rFonts w:hint="eastAsia"/>
                      <w:color w:val="000000"/>
                    </w:rPr>
                    <w:t>禁止在长江干流江西段、鄱阳湖和《率先全面禁捕的长江流域水生生物保护区名录》中的水生生物保护区开展生产性捕捞。</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rFonts w:hint="eastAsia"/>
                      <w:color w:val="000000"/>
                    </w:rPr>
                    <w:t>项目不进行水生生物捕捞。</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rFonts w:hint="eastAsia"/>
                      <w:color w:val="000000"/>
                    </w:rPr>
                    <w:t>1</w:t>
                  </w:r>
                  <w:r>
                    <w:rPr>
                      <w:color w:val="000000"/>
                    </w:rPr>
                    <w:t>1禁止在长江干支流、重要湖泊岸线一公里范围内新建、扩建化工园区和化工项目。</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项目不位于长江干支流、重要湖泊岸线一公里范围内</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rFonts w:hint="eastAsia"/>
                      <w:color w:val="000000"/>
                    </w:rPr>
                    <w:t>1</w:t>
                  </w:r>
                  <w:r>
                    <w:rPr>
                      <w:color w:val="000000"/>
                    </w:rPr>
                    <w:t>2禁止在长江干流岸线三公里范围内和重要支流岸线一公里范围内新建、改建、扩建尾矿库、冶炼渣库和磷石膏库，以提升安全、生态环境保护水平为目的的改建除外。</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不位于长江干流岸线三公里范围内和重要支流岸线一公里范围内</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13.禁止在合规园区外新建、扩建钢铁、石化、化工、焦化、建材、有色、</w:t>
                  </w:r>
                  <w:r>
                    <w:rPr>
                      <w:rFonts w:hint="eastAsia"/>
                      <w:color w:val="000000"/>
                    </w:rPr>
                    <w:t>制浆</w:t>
                  </w:r>
                  <w:r>
                    <w:rPr>
                      <w:color w:val="000000"/>
                    </w:rPr>
                    <w:t>造纸等高污染项目</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项目所在园区为合规园区</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14禁止新建、扩建不符合国家石化、现代煤化工等产业布局规划的项目</w:t>
                  </w:r>
                  <w:r>
                    <w:rPr>
                      <w:rFonts w:hint="eastAsia"/>
                      <w:color w:val="000000"/>
                    </w:rPr>
                    <w:t>。</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项目不属于石化、现代煤化工项目，符合国家石化、现代煤化工等产业布局规划</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15禁止新建、扩建法律法规和相关政策明令禁止的落后产能项目。</w:t>
                  </w:r>
                  <w:r>
                    <w:rPr>
                      <w:rFonts w:hint="eastAsia"/>
                      <w:color w:val="000000"/>
                    </w:rPr>
                    <w:t>严格执行《产业结构调整指导目录》中淘汰类和限制类有关规定，禁止开展投资建设属于淘汰类的项目及其相关活动，禁止开展投资建设</w:t>
                  </w:r>
                  <w:r>
                    <w:rPr>
                      <w:color w:val="000000"/>
                    </w:rPr>
                    <w:t>新建、扩建</w:t>
                  </w:r>
                  <w:r>
                    <w:rPr>
                      <w:rFonts w:hint="eastAsia"/>
                      <w:color w:val="000000"/>
                    </w:rPr>
                    <w:t>属于限制类的项目及其相关活动，对于属于限制类的现有生产能力，允许企业在一定期限内采取措施改造升级，严禁以改在为名扩大产能。</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color w:val="000000"/>
                    </w:rPr>
                    <w:t>本项目不属于法律法规和相关政策明令禁止的落后产能项目</w:t>
                  </w:r>
                  <w:r>
                    <w:rPr>
                      <w:rFonts w:hint="eastAsia"/>
                      <w:color w:val="000000"/>
                    </w:rPr>
                    <w:t>。</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color w:val="000000"/>
                    </w:rPr>
                    <w:t>16</w:t>
                  </w:r>
                  <w:r>
                    <w:rPr>
                      <w:rFonts w:hint="eastAsia"/>
                      <w:color w:val="000000"/>
                    </w:rPr>
                    <w:t>禁止新建、扩建不符合国家产能置换要求的钢铁、电解铝、水泥熟料、平板玻璃、船舶等严重过剩产能行业的项目。严格执行《国务院关于化解产能严重过剩矛盾的指导意见》，各地部门不得以任何名义、任何方式新增产能片；对确有必要建设的，必须严格执行产能置换实施办法，实施减量或等量置换，依法依规办理有关手续。</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left"/>
                    <w:rPr>
                      <w:rFonts w:eastAsiaTheme="minorEastAsia"/>
                      <w:color w:val="000000"/>
                    </w:rPr>
                  </w:pPr>
                  <w:r>
                    <w:rPr>
                      <w:rFonts w:hint="eastAsia"/>
                      <w:color w:val="000000"/>
                    </w:rPr>
                    <w:t>项目不属于产能严重过剩项目。</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color w:val="000000"/>
                    </w:rPr>
                    <w:t>相符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73" w:type="pct"/>
                  <w:vMerge w:val="continue"/>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p>
              </w:tc>
              <w:tc>
                <w:tcPr>
                  <w:tcW w:w="2945" w:type="pct"/>
                  <w:tcBorders>
                    <w:tl2br w:val="nil"/>
                    <w:tr2bl w:val="nil"/>
                  </w:tcBorders>
                  <w:shd w:val="clear" w:color="auto" w:fill="auto"/>
                  <w:vAlign w:val="center"/>
                </w:tcPr>
                <w:p>
                  <w:pPr>
                    <w:widowControl/>
                    <w:adjustRightInd w:val="0"/>
                    <w:snapToGrid w:val="0"/>
                    <w:spacing w:before="60" w:beforeLines="25" w:after="60" w:afterLines="25"/>
                    <w:jc w:val="left"/>
                    <w:rPr>
                      <w:color w:val="000000"/>
                    </w:rPr>
                  </w:pPr>
                  <w:r>
                    <w:rPr>
                      <w:rFonts w:hint="eastAsia"/>
                      <w:color w:val="000000"/>
                    </w:rPr>
                    <w:t>1</w:t>
                  </w:r>
                  <w:r>
                    <w:rPr>
                      <w:color w:val="000000"/>
                    </w:rPr>
                    <w:t>7</w:t>
                  </w:r>
                  <w:r>
                    <w:rPr>
                      <w:rFonts w:hint="eastAsia"/>
                      <w:color w:val="000000"/>
                    </w:rPr>
                    <w:t>禁止新建、扩建不符合要求的高耗能高排放项目。严格执行《江西省人民政府办公厅关于严格高耗能高排放项目准入管理的实施意见》（赣府厅发</w:t>
                  </w:r>
                  <w:r>
                    <w:rPr>
                      <w:rFonts w:hint="eastAsia" w:ascii="宋体" w:hAnsi="宋体"/>
                      <w:color w:val="000000"/>
                    </w:rPr>
                    <w:t>〔</w:t>
                  </w:r>
                  <w:r>
                    <w:rPr>
                      <w:rFonts w:hint="eastAsia"/>
                      <w:color w:val="000000"/>
                    </w:rPr>
                    <w:t>2</w:t>
                  </w:r>
                  <w:r>
                    <w:rPr>
                      <w:color w:val="000000"/>
                    </w:rPr>
                    <w:t>021</w:t>
                  </w:r>
                  <w:r>
                    <w:rPr>
                      <w:rFonts w:hint="eastAsia" w:ascii="宋体" w:hAnsi="宋体"/>
                      <w:color w:val="000000"/>
                    </w:rPr>
                    <w:t>〕</w:t>
                  </w:r>
                  <w:r>
                    <w:rPr>
                      <w:rFonts w:hint="eastAsia"/>
                      <w:color w:val="000000"/>
                    </w:rPr>
                    <w:t>3</w:t>
                  </w:r>
                  <w:r>
                    <w:rPr>
                      <w:color w:val="000000"/>
                    </w:rPr>
                    <w:t>3</w:t>
                  </w:r>
                  <w:r>
                    <w:rPr>
                      <w:rFonts w:hint="eastAsia"/>
                      <w:color w:val="000000"/>
                    </w:rPr>
                    <w:t>号），加强项目审查论证，落实等量、减量替代要求，规范项目行政审批。</w:t>
                  </w:r>
                </w:p>
              </w:tc>
              <w:tc>
                <w:tcPr>
                  <w:tcW w:w="1244" w:type="pct"/>
                  <w:tcBorders>
                    <w:tl2br w:val="nil"/>
                    <w:tr2bl w:val="nil"/>
                  </w:tcBorders>
                  <w:shd w:val="clear" w:color="auto" w:fill="auto"/>
                  <w:vAlign w:val="center"/>
                </w:tcPr>
                <w:p>
                  <w:pPr>
                    <w:widowControl/>
                    <w:adjustRightInd w:val="0"/>
                    <w:snapToGrid w:val="0"/>
                    <w:spacing w:before="60" w:beforeLines="25" w:after="60" w:afterLines="25"/>
                    <w:jc w:val="center"/>
                    <w:rPr>
                      <w:rFonts w:eastAsiaTheme="minorEastAsia"/>
                      <w:color w:val="000000"/>
                    </w:rPr>
                  </w:pPr>
                  <w:r>
                    <w:rPr>
                      <w:rFonts w:hint="eastAsia"/>
                      <w:color w:val="000000"/>
                    </w:rPr>
                    <w:t>项目不属于高能耗高排放项目。</w:t>
                  </w:r>
                </w:p>
              </w:tc>
              <w:tc>
                <w:tcPr>
                  <w:tcW w:w="438" w:type="pct"/>
                  <w:tcBorders>
                    <w:tl2br w:val="nil"/>
                    <w:tr2bl w:val="nil"/>
                  </w:tcBorders>
                  <w:shd w:val="clear" w:color="auto" w:fill="auto"/>
                  <w:vAlign w:val="center"/>
                </w:tcPr>
                <w:p>
                  <w:pPr>
                    <w:widowControl/>
                    <w:adjustRightInd w:val="0"/>
                    <w:snapToGrid w:val="0"/>
                    <w:spacing w:before="60" w:beforeLines="25" w:after="60" w:afterLines="25"/>
                    <w:jc w:val="center"/>
                    <w:rPr>
                      <w:color w:val="000000"/>
                    </w:rPr>
                  </w:pPr>
                  <w:r>
                    <w:rPr>
                      <w:rFonts w:hint="eastAsia"/>
                      <w:color w:val="000000"/>
                    </w:rPr>
                    <w:t>相符</w:t>
                  </w:r>
                </w:p>
              </w:tc>
            </w:tr>
          </w:tbl>
          <w:p>
            <w:pPr>
              <w:keepNext w:val="0"/>
              <w:keepLines w:val="0"/>
              <w:pageBreakBefore w:val="0"/>
              <w:kinsoku/>
              <w:wordWrap/>
              <w:overflowPunct/>
              <w:topLinePunct w:val="0"/>
              <w:autoSpaceDE/>
              <w:autoSpaceDN/>
              <w:bidi w:val="0"/>
              <w:adjustRightInd w:val="0"/>
              <w:snapToGrid w:val="0"/>
              <w:spacing w:line="360" w:lineRule="auto"/>
              <w:ind w:right="0" w:firstLine="480" w:firstLineChars="200"/>
              <w:textAlignment w:val="auto"/>
              <w:rPr>
                <w:rFonts w:hint="default" w:eastAsia="Times New Roman"/>
                <w:b w:val="0"/>
                <w:bCs w:val="0"/>
                <w:i w:val="0"/>
                <w:iCs w:val="0"/>
                <w:color w:val="0000FF"/>
                <w:sz w:val="24"/>
                <w:szCs w:val="24"/>
              </w:rPr>
            </w:pPr>
            <w:r>
              <w:rPr>
                <w:rFonts w:hint="eastAsia"/>
                <w:b w:val="0"/>
                <w:bCs w:val="0"/>
                <w:i w:val="0"/>
                <w:iCs w:val="0"/>
                <w:color w:val="0000FF"/>
                <w:kern w:val="0"/>
                <w:sz w:val="24"/>
              </w:rPr>
              <w:t>（</w:t>
            </w:r>
            <w:r>
              <w:rPr>
                <w:rFonts w:hint="eastAsia"/>
                <w:b w:val="0"/>
                <w:bCs w:val="0"/>
                <w:i w:val="0"/>
                <w:iCs w:val="0"/>
                <w:color w:val="0000FF"/>
                <w:kern w:val="0"/>
                <w:sz w:val="24"/>
                <w:lang w:val="en-US" w:eastAsia="zh-CN"/>
              </w:rPr>
              <w:t>5</w:t>
            </w:r>
            <w:r>
              <w:rPr>
                <w:rFonts w:hint="eastAsia"/>
                <w:b w:val="0"/>
                <w:bCs w:val="0"/>
                <w:i w:val="0"/>
                <w:iCs w:val="0"/>
                <w:color w:val="0000FF"/>
                <w:kern w:val="0"/>
                <w:sz w:val="24"/>
              </w:rPr>
              <w:t>）与</w:t>
            </w:r>
            <w:r>
              <w:rPr>
                <w:rFonts w:hint="default" w:ascii="宋体" w:hAnsi="宋体"/>
                <w:b w:val="0"/>
                <w:bCs w:val="0"/>
                <w:i w:val="0"/>
                <w:iCs w:val="0"/>
                <w:color w:val="0000FF"/>
                <w:sz w:val="24"/>
                <w:szCs w:val="22"/>
              </w:rPr>
              <w:t>《鄱阳湖生态经济区环境保护条例》（江西省人民代表大会</w:t>
            </w:r>
            <w:r>
              <w:rPr>
                <w:rFonts w:hint="default" w:ascii="宋体" w:hAnsi="宋体"/>
                <w:b w:val="0"/>
                <w:bCs w:val="0"/>
                <w:i w:val="0"/>
                <w:iCs w:val="0"/>
                <w:color w:val="0000FF"/>
                <w:sz w:val="24"/>
                <w:szCs w:val="24"/>
              </w:rPr>
              <w:t>常务委员会公告第</w:t>
            </w:r>
            <w:r>
              <w:rPr>
                <w:rFonts w:hint="default"/>
                <w:b w:val="0"/>
                <w:bCs w:val="0"/>
                <w:i w:val="0"/>
                <w:iCs w:val="0"/>
                <w:color w:val="0000FF"/>
                <w:sz w:val="24"/>
                <w:szCs w:val="24"/>
              </w:rPr>
              <w:t>96</w:t>
            </w:r>
            <w:r>
              <w:rPr>
                <w:rFonts w:hint="default" w:ascii="宋体" w:hAnsi="宋体"/>
                <w:b w:val="0"/>
                <w:bCs w:val="0"/>
                <w:i w:val="0"/>
                <w:iCs w:val="0"/>
                <w:color w:val="0000FF"/>
                <w:sz w:val="24"/>
                <w:szCs w:val="24"/>
              </w:rPr>
              <w:t>号）相符性分析</w:t>
            </w:r>
          </w:p>
          <w:p>
            <w:pPr>
              <w:pStyle w:val="161"/>
              <w:keepNext w:val="0"/>
              <w:keepLines w:val="0"/>
              <w:pageBreakBefore w:val="0"/>
              <w:kinsoku/>
              <w:wordWrap/>
              <w:overflowPunct/>
              <w:topLinePunct w:val="0"/>
              <w:autoSpaceDE/>
              <w:autoSpaceDN/>
              <w:bidi w:val="0"/>
              <w:adjustRightInd w:val="0"/>
              <w:snapToGrid w:val="0"/>
              <w:spacing w:line="360" w:lineRule="auto"/>
              <w:ind w:right="0"/>
              <w:textAlignment w:val="auto"/>
              <w:rPr>
                <w:rFonts w:hint="default" w:ascii="宋体" w:hAnsi="宋体"/>
                <w:color w:val="0000FF"/>
                <w:sz w:val="24"/>
                <w:szCs w:val="24"/>
              </w:rPr>
            </w:pPr>
            <w:r>
              <w:rPr>
                <w:rFonts w:hint="eastAsia" w:ascii="Times New Roman" w:hAnsi="Times New Roman"/>
                <w:b w:val="0"/>
                <w:bCs/>
                <w:color w:val="0000FF"/>
                <w:kern w:val="0"/>
                <w:sz w:val="24"/>
                <w:szCs w:val="24"/>
                <w:lang w:eastAsia="zh-CN" w:bidi="en-US"/>
              </w:rPr>
              <w:t>根据</w:t>
            </w:r>
            <w:r>
              <w:rPr>
                <w:rFonts w:hint="eastAsia" w:ascii="Times New Roman" w:hAnsi="Times New Roman"/>
                <w:b w:val="0"/>
                <w:bCs/>
                <w:color w:val="0000FF"/>
                <w:kern w:val="0"/>
                <w:sz w:val="24"/>
                <w:szCs w:val="24"/>
                <w:lang w:bidi="en-US"/>
              </w:rPr>
              <w:t>《鄱阳湖生态经济区规划》</w:t>
            </w:r>
            <w:r>
              <w:rPr>
                <w:rFonts w:ascii="Times New Roman" w:hAnsi="Times New Roman"/>
                <w:color w:val="0000FF"/>
                <w:kern w:val="0"/>
                <w:sz w:val="24"/>
                <w:szCs w:val="24"/>
                <w:lang w:bidi="en-US"/>
              </w:rPr>
              <w:t>，鄱阳湖生态经济区分为湖体核心保护区、湖滨控制开发带和高效集约发展区</w:t>
            </w:r>
            <w:r>
              <w:rPr>
                <w:rFonts w:hint="eastAsia" w:ascii="Times New Roman" w:hAnsi="Times New Roman"/>
                <w:b w:val="0"/>
                <w:bCs/>
                <w:color w:val="0000FF"/>
                <w:kern w:val="0"/>
                <w:sz w:val="24"/>
                <w:szCs w:val="24"/>
                <w:lang w:eastAsia="zh-CN" w:bidi="en-US"/>
              </w:rPr>
              <w:t>，</w:t>
            </w:r>
            <w:r>
              <w:rPr>
                <w:rFonts w:ascii="Times New Roman" w:hAnsi="Times New Roman"/>
                <w:b w:val="0"/>
                <w:bCs/>
                <w:color w:val="0000FF"/>
                <w:kern w:val="0"/>
                <w:sz w:val="24"/>
                <w:szCs w:val="24"/>
                <w:lang w:bidi="en-US"/>
              </w:rPr>
              <w:t>湖体核心保护区范围为鄱阳湖水体和湿地，以吴淞高程湖口水位22.48米为界</w:t>
            </w:r>
            <w:r>
              <w:rPr>
                <w:rFonts w:hint="eastAsia" w:ascii="Times New Roman" w:hAnsi="Times New Roman"/>
                <w:b w:val="0"/>
                <w:bCs/>
                <w:color w:val="0000FF"/>
                <w:kern w:val="0"/>
                <w:sz w:val="24"/>
                <w:szCs w:val="24"/>
                <w:lang w:eastAsia="zh-CN" w:bidi="en-US"/>
              </w:rPr>
              <w:t>；</w:t>
            </w:r>
            <w:r>
              <w:rPr>
                <w:rFonts w:ascii="Times New Roman" w:hAnsi="Times New Roman" w:eastAsia="宋体" w:cs="Times New Roman"/>
                <w:b w:val="0"/>
                <w:bCs/>
                <w:color w:val="0000FF"/>
                <w:kern w:val="0"/>
                <w:sz w:val="24"/>
                <w:szCs w:val="24"/>
                <w:lang w:bidi="en-US"/>
              </w:rPr>
              <w:t>湖滨</w:t>
            </w:r>
            <w:r>
              <w:rPr>
                <w:rFonts w:ascii="Times New Roman" w:hAnsi="Times New Roman"/>
                <w:b w:val="0"/>
                <w:bCs/>
                <w:color w:val="0000FF"/>
                <w:kern w:val="0"/>
                <w:sz w:val="24"/>
                <w:szCs w:val="24"/>
                <w:lang w:bidi="en-US"/>
              </w:rPr>
              <w:t>控制开发带范围</w:t>
            </w:r>
            <w:r>
              <w:rPr>
                <w:rFonts w:ascii="Times New Roman" w:hAnsi="Times New Roman"/>
                <w:color w:val="0000FF"/>
                <w:kern w:val="0"/>
                <w:sz w:val="24"/>
                <w:szCs w:val="24"/>
                <w:lang w:bidi="en-US"/>
              </w:rPr>
              <w:t>为沿湖岸线邻水区域</w:t>
            </w:r>
            <w:r>
              <w:rPr>
                <w:rFonts w:hint="eastAsia" w:ascii="Times New Roman" w:hAnsi="Times New Roman"/>
                <w:color w:val="0000FF"/>
                <w:kern w:val="0"/>
                <w:sz w:val="24"/>
                <w:szCs w:val="24"/>
                <w:lang w:eastAsia="zh-CN" w:bidi="en-US"/>
              </w:rPr>
              <w:t>，</w:t>
            </w:r>
            <w:r>
              <w:rPr>
                <w:rFonts w:ascii="Times New Roman" w:hAnsi="Times New Roman"/>
                <w:color w:val="0000FF"/>
                <w:kern w:val="0"/>
                <w:sz w:val="24"/>
                <w:szCs w:val="24"/>
                <w:lang w:bidi="en-US"/>
              </w:rPr>
              <w:t>以</w:t>
            </w:r>
            <w:r>
              <w:rPr>
                <w:rFonts w:hint="eastAsia" w:ascii="Times New Roman" w:hAnsi="Times New Roman"/>
                <w:color w:val="0000FF"/>
                <w:kern w:val="0"/>
                <w:sz w:val="24"/>
                <w:szCs w:val="24"/>
                <w:lang w:eastAsia="zh-CN" w:bidi="en-US"/>
              </w:rPr>
              <w:t>最高水位线</w:t>
            </w:r>
            <w:r>
              <w:rPr>
                <w:rFonts w:ascii="Times New Roman" w:hAnsi="Times New Roman"/>
                <w:color w:val="0000FF"/>
                <w:kern w:val="0"/>
                <w:sz w:val="24"/>
                <w:szCs w:val="24"/>
                <w:lang w:bidi="en-US"/>
              </w:rPr>
              <w:t>为界，原则上向陆地延伸三公里</w:t>
            </w:r>
            <w:r>
              <w:rPr>
                <w:rFonts w:hint="eastAsia" w:ascii="Times New Roman" w:hAnsi="Times New Roman"/>
                <w:color w:val="0000FF"/>
                <w:kern w:val="0"/>
                <w:sz w:val="24"/>
                <w:szCs w:val="24"/>
                <w:lang w:eastAsia="zh-CN" w:bidi="en-US"/>
              </w:rPr>
              <w:t>；</w:t>
            </w:r>
            <w:r>
              <w:rPr>
                <w:rFonts w:ascii="Times New Roman" w:hAnsi="Times New Roman"/>
                <w:b w:val="0"/>
                <w:bCs/>
                <w:color w:val="0000FF"/>
                <w:kern w:val="0"/>
                <w:sz w:val="24"/>
                <w:szCs w:val="24"/>
                <w:lang w:bidi="en-US"/>
              </w:rPr>
              <w:t>高效集约发展区范围为湖体核心保护区和湖滨控制开发带以外的鄱阳湖生态经济区内其他</w:t>
            </w:r>
            <w:r>
              <w:rPr>
                <w:rFonts w:ascii="Times New Roman" w:hAnsi="Times New Roman"/>
                <w:color w:val="0000FF"/>
                <w:kern w:val="0"/>
                <w:sz w:val="24"/>
                <w:szCs w:val="24"/>
                <w:lang w:bidi="en-US"/>
              </w:rPr>
              <w:t>区域。</w:t>
            </w:r>
          </w:p>
          <w:p>
            <w:pPr>
              <w:pStyle w:val="17"/>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宋体" w:hAnsi="宋体"/>
                <w:color w:val="0000FF"/>
                <w:sz w:val="24"/>
                <w:szCs w:val="24"/>
              </w:rPr>
            </w:pPr>
            <w:r>
              <w:rPr>
                <w:rFonts w:hint="default" w:ascii="宋体" w:hAnsi="宋体"/>
                <w:color w:val="0000FF"/>
                <w:sz w:val="24"/>
                <w:szCs w:val="24"/>
              </w:rPr>
              <w:t>根据《鄱阳湖生态经济区环境保护条例》中“第三节高效集约发展区保护的第三十一条、第三十二条、第三十三条”规定：“在高效集约发展区内，县级以上人民政府应当科学划分生态保护、农业发展、城镇建设和产业集聚区域。在高效集约发展区内进行开发建设活动，不得影响自然保护区、自然和文化遗产、风景名胜区、森林公园、湿地公园、地质公园以及饮用水源地、水源涵养区的生态环境和安全。…新建工业项目应当进入工业园区。工业园区应当加强环境保护设施建设及绿化工程建设。…建设项目需要配套建设的环境保护设施，必须与主体工程同时设计、同时施工、同时投入使用。”</w:t>
            </w:r>
          </w:p>
          <w:p>
            <w:pPr>
              <w:pStyle w:val="17"/>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eastAsia"/>
                <w:color w:val="0000FF"/>
                <w:kern w:val="0"/>
                <w:sz w:val="24"/>
              </w:rPr>
            </w:pPr>
            <w:r>
              <w:rPr>
                <w:rFonts w:hint="default" w:ascii="宋体" w:hAnsi="宋体"/>
                <w:color w:val="0000FF"/>
                <w:sz w:val="24"/>
                <w:szCs w:val="24"/>
              </w:rPr>
              <w:t>本项目位于江西余干高新技术产业园区黄金埠园区，为木质家具制造项目，项目</w:t>
            </w:r>
            <w:r>
              <w:rPr>
                <w:rFonts w:hint="eastAsia" w:ascii="宋体" w:hAnsi="宋体"/>
                <w:color w:val="0000FF"/>
                <w:sz w:val="24"/>
                <w:szCs w:val="24"/>
                <w:lang w:eastAsia="zh-CN"/>
              </w:rPr>
              <w:t>所在地</w:t>
            </w:r>
            <w:r>
              <w:rPr>
                <w:rFonts w:hint="default" w:ascii="宋体" w:hAnsi="宋体"/>
                <w:color w:val="0000FF"/>
                <w:sz w:val="24"/>
                <w:szCs w:val="24"/>
              </w:rPr>
              <w:t>不属于自然保护区、自然和文化遗产</w:t>
            </w:r>
            <w:r>
              <w:rPr>
                <w:rFonts w:hint="eastAsia" w:ascii="宋体" w:hAnsi="宋体"/>
                <w:color w:val="0000FF"/>
                <w:sz w:val="24"/>
                <w:szCs w:val="24"/>
                <w:lang w:eastAsia="zh-CN"/>
              </w:rPr>
              <w:t>地</w:t>
            </w:r>
            <w:r>
              <w:rPr>
                <w:rFonts w:hint="default" w:ascii="宋体" w:hAnsi="宋体"/>
                <w:color w:val="0000FF"/>
                <w:sz w:val="24"/>
                <w:szCs w:val="24"/>
              </w:rPr>
              <w:t>、风景名胜区、森林公园、湿地公园、地质公园以及饮用水源地、水源涵养区，项目</w:t>
            </w:r>
            <w:r>
              <w:rPr>
                <w:rFonts w:hint="eastAsia" w:ascii="宋体" w:hAnsi="宋体"/>
                <w:color w:val="0000FF"/>
                <w:sz w:val="24"/>
                <w:szCs w:val="24"/>
                <w:lang w:eastAsia="zh-CN"/>
              </w:rPr>
              <w:t>生产</w:t>
            </w:r>
            <w:r>
              <w:rPr>
                <w:rFonts w:hint="default" w:ascii="宋体" w:hAnsi="宋体"/>
                <w:color w:val="0000FF"/>
                <w:sz w:val="24"/>
                <w:szCs w:val="24"/>
              </w:rPr>
              <w:t>配套的环境保护设施按要求与主体工程同时设计、同时施工、同时投入使用，</w:t>
            </w:r>
            <w:r>
              <w:rPr>
                <w:rFonts w:hint="eastAsia" w:ascii="宋体" w:hAnsi="宋体"/>
                <w:color w:val="0000FF"/>
                <w:sz w:val="24"/>
                <w:szCs w:val="24"/>
                <w:lang w:eastAsia="zh-CN"/>
              </w:rPr>
              <w:t>即本项目</w:t>
            </w:r>
            <w:r>
              <w:rPr>
                <w:rFonts w:hint="default" w:ascii="宋体" w:hAnsi="宋体"/>
                <w:color w:val="0000FF"/>
                <w:sz w:val="24"/>
                <w:szCs w:val="24"/>
              </w:rPr>
              <w:t>与《鄱阳湖生态经济区环境保护条例》是相符合的。</w:t>
            </w:r>
          </w:p>
          <w:p>
            <w:pPr>
              <w:spacing w:line="360" w:lineRule="auto"/>
              <w:ind w:firstLine="480" w:firstLineChars="200"/>
              <w:rPr>
                <w:sz w:val="24"/>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rPr>
              <w:t>与《国务院关于印发打赢蓝天保卫战三年行动计划的通知》（国发〔2018〕22号）相符性分析</w:t>
            </w:r>
          </w:p>
          <w:p>
            <w:pPr>
              <w:pStyle w:val="29"/>
              <w:adjustRightInd w:val="0"/>
              <w:snapToGrid w:val="0"/>
              <w:spacing w:before="0" w:beforeAutospacing="0" w:after="0" w:afterAutospacing="0" w:line="360" w:lineRule="auto"/>
              <w:ind w:firstLine="480" w:firstLineChars="200"/>
              <w:rPr>
                <w:szCs w:val="24"/>
              </w:rPr>
            </w:pPr>
            <w:r>
              <w:rPr>
                <w:szCs w:val="24"/>
              </w:rPr>
              <w:t>根据《国务院关于印发打赢蓝天保卫战三年行动计划的通知》（国发</w:t>
            </w:r>
            <w:r>
              <w:rPr>
                <w:rFonts w:hint="default" w:ascii="Times New Roman" w:hAnsi="Times New Roman" w:cs="Times New Roman"/>
                <w:szCs w:val="24"/>
              </w:rPr>
              <w:t>〔2018〕22</w:t>
            </w:r>
            <w:r>
              <w:rPr>
                <w:szCs w:val="24"/>
              </w:rPr>
              <w:t>号）第二十五条：实施</w:t>
            </w:r>
            <w:r>
              <w:rPr>
                <w:rFonts w:hint="eastAsia"/>
                <w:szCs w:val="24"/>
              </w:rPr>
              <w:t>TVOC</w:t>
            </w:r>
            <w:r>
              <w:rPr>
                <w:szCs w:val="24"/>
              </w:rPr>
              <w:t>专项整治方案，制定石化、化工、工业涂装、包装印刷等</w:t>
            </w:r>
            <w:r>
              <w:rPr>
                <w:rFonts w:hint="eastAsia"/>
                <w:szCs w:val="24"/>
              </w:rPr>
              <w:t>TVOC</w:t>
            </w:r>
            <w:r>
              <w:rPr>
                <w:szCs w:val="24"/>
              </w:rPr>
              <w:t>排放重点行业和油品储运销综合整治方案，出台泄漏检测与修复标准，编制</w:t>
            </w:r>
            <w:r>
              <w:rPr>
                <w:rFonts w:hint="eastAsia"/>
                <w:szCs w:val="24"/>
              </w:rPr>
              <w:t>TVOC</w:t>
            </w:r>
            <w:r>
              <w:rPr>
                <w:szCs w:val="24"/>
              </w:rPr>
              <w:t>治理技术指南。重点区域禁止建设生产和使用高</w:t>
            </w:r>
            <w:r>
              <w:rPr>
                <w:rFonts w:hint="eastAsia"/>
                <w:szCs w:val="24"/>
              </w:rPr>
              <w:t>TVOC</w:t>
            </w:r>
            <w:r>
              <w:rPr>
                <w:szCs w:val="24"/>
              </w:rPr>
              <w:t>含量的溶剂型涂料、油墨、胶粘剂等项目，加大餐饮油烟治理力度。开展</w:t>
            </w:r>
            <w:r>
              <w:rPr>
                <w:rFonts w:hint="eastAsia"/>
                <w:szCs w:val="24"/>
              </w:rPr>
              <w:t>TVOC</w:t>
            </w:r>
            <w:r>
              <w:rPr>
                <w:szCs w:val="24"/>
              </w:rPr>
              <w:t>整治专项执法行动，严厉打击违法排污行为，对治理效果差、技术服务能力弱、运营管理水平低的治理单位，公布名单，实行联合惩戒，扶持培育</w:t>
            </w:r>
            <w:r>
              <w:rPr>
                <w:rFonts w:hint="eastAsia"/>
                <w:szCs w:val="24"/>
              </w:rPr>
              <w:t>TVOC</w:t>
            </w:r>
            <w:r>
              <w:rPr>
                <w:szCs w:val="24"/>
              </w:rPr>
              <w:t>治理和服务专业化规模化龙头企业。</w:t>
            </w:r>
            <w:r>
              <w:rPr>
                <w:rFonts w:hint="default" w:ascii="Times New Roman" w:hAnsi="Times New Roman" w:cs="Times New Roman"/>
                <w:szCs w:val="24"/>
              </w:rPr>
              <w:t>2020</w:t>
            </w:r>
            <w:r>
              <w:rPr>
                <w:szCs w:val="24"/>
              </w:rPr>
              <w:t>年，</w:t>
            </w:r>
            <w:r>
              <w:rPr>
                <w:rFonts w:hint="default" w:ascii="Times New Roman" w:hAnsi="Times New Roman" w:cs="Times New Roman"/>
                <w:szCs w:val="24"/>
              </w:rPr>
              <w:t>TVOC</w:t>
            </w:r>
            <w:r>
              <w:rPr>
                <w:szCs w:val="24"/>
              </w:rPr>
              <w:t>排放总量较</w:t>
            </w:r>
            <w:r>
              <w:rPr>
                <w:rFonts w:hint="default" w:ascii="Times New Roman" w:hAnsi="Times New Roman" w:cs="Times New Roman"/>
                <w:szCs w:val="24"/>
              </w:rPr>
              <w:t>2015</w:t>
            </w:r>
            <w:r>
              <w:rPr>
                <w:szCs w:val="24"/>
              </w:rPr>
              <w:t>年下降</w:t>
            </w:r>
            <w:r>
              <w:rPr>
                <w:rFonts w:hint="default" w:ascii="Times New Roman" w:hAnsi="Times New Roman" w:cs="Times New Roman"/>
                <w:szCs w:val="24"/>
              </w:rPr>
              <w:t>10%</w:t>
            </w:r>
            <w:r>
              <w:rPr>
                <w:szCs w:val="24"/>
              </w:rPr>
              <w:t>以上。</w:t>
            </w:r>
          </w:p>
          <w:p>
            <w:pPr>
              <w:pStyle w:val="29"/>
              <w:adjustRightInd w:val="0"/>
              <w:snapToGrid w:val="0"/>
              <w:spacing w:before="0" w:beforeAutospacing="0" w:after="0" w:afterAutospacing="0" w:line="360" w:lineRule="auto"/>
              <w:ind w:firstLine="480" w:firstLineChars="200"/>
              <w:rPr>
                <w:szCs w:val="24"/>
              </w:rPr>
            </w:pPr>
            <w:r>
              <w:rPr>
                <w:szCs w:val="24"/>
              </w:rPr>
              <w:t>本</w:t>
            </w:r>
            <w:r>
              <w:rPr>
                <w:rFonts w:hint="eastAsia"/>
                <w:szCs w:val="24"/>
              </w:rPr>
              <w:t>项目使用溶剂漆，项目位于</w:t>
            </w:r>
            <w:r>
              <w:rPr>
                <w:rFonts w:hint="eastAsia" w:cs="宋体"/>
              </w:rPr>
              <w:t>江西余干高新技术产业园区内（余干黄金埠园区）</w:t>
            </w:r>
            <w:r>
              <w:rPr>
                <w:rFonts w:hint="eastAsia"/>
                <w:szCs w:val="24"/>
              </w:rPr>
              <w:t>，不属于禁止建设区域，项目喷漆工艺采用了末端处理工艺-水帘机+二级活性炭吸附，</w:t>
            </w:r>
            <w:r>
              <w:rPr>
                <w:rFonts w:hint="default" w:ascii="Times New Roman" w:hAnsi="Times New Roman" w:cs="Times New Roman"/>
                <w:szCs w:val="24"/>
              </w:rPr>
              <w:t>UV</w:t>
            </w:r>
            <w:r>
              <w:rPr>
                <w:rFonts w:hint="eastAsia"/>
                <w:szCs w:val="24"/>
              </w:rPr>
              <w:t>漆</w:t>
            </w:r>
            <w:r>
              <w:rPr>
                <w:rFonts w:hint="default" w:ascii="Times New Roman" w:hAnsi="Times New Roman" w:cs="Times New Roman"/>
                <w:szCs w:val="24"/>
              </w:rPr>
              <w:t>TVOC</w:t>
            </w:r>
            <w:r>
              <w:rPr>
                <w:rFonts w:hint="eastAsia"/>
                <w:szCs w:val="24"/>
              </w:rPr>
              <w:t>挥发系数分别为</w:t>
            </w:r>
            <w:r>
              <w:rPr>
                <w:rFonts w:hint="default" w:ascii="Times New Roman" w:hAnsi="Times New Roman" w:cs="Times New Roman"/>
                <w:szCs w:val="24"/>
              </w:rPr>
              <w:t>2.39%、1.5%，</w:t>
            </w:r>
            <w:r>
              <w:rPr>
                <w:rFonts w:hint="eastAsia"/>
                <w:szCs w:val="24"/>
              </w:rPr>
              <w:t>为低含量</w:t>
            </w:r>
            <w:r>
              <w:rPr>
                <w:rFonts w:hint="default" w:ascii="Times New Roman" w:hAnsi="Times New Roman" w:cs="Times New Roman"/>
                <w:szCs w:val="24"/>
              </w:rPr>
              <w:t>TVOC</w:t>
            </w:r>
            <w:r>
              <w:rPr>
                <w:rFonts w:hint="eastAsia"/>
                <w:szCs w:val="24"/>
              </w:rPr>
              <w:t>涂料，拼板胶总</w:t>
            </w:r>
            <w:r>
              <w:rPr>
                <w:rFonts w:hint="default" w:ascii="Times New Roman" w:hAnsi="Times New Roman" w:cs="Times New Roman"/>
                <w:szCs w:val="24"/>
              </w:rPr>
              <w:t>TVOC</w:t>
            </w:r>
            <w:r>
              <w:rPr>
                <w:rFonts w:hint="eastAsia"/>
                <w:szCs w:val="24"/>
              </w:rPr>
              <w:t>挥发系数为</w:t>
            </w:r>
            <w:r>
              <w:rPr>
                <w:rFonts w:hint="default" w:ascii="Times New Roman" w:hAnsi="Times New Roman" w:cs="Times New Roman"/>
                <w:szCs w:val="24"/>
              </w:rPr>
              <w:t>5.6%</w:t>
            </w:r>
            <w:r>
              <w:rPr>
                <w:szCs w:val="24"/>
              </w:rPr>
              <w:t>，</w:t>
            </w:r>
            <w:r>
              <w:rPr>
                <w:rFonts w:hint="eastAsia"/>
                <w:szCs w:val="24"/>
              </w:rPr>
              <w:t>为低含量</w:t>
            </w:r>
            <w:r>
              <w:rPr>
                <w:rFonts w:hint="default" w:ascii="Times New Roman" w:hAnsi="Times New Roman" w:cs="Times New Roman"/>
                <w:szCs w:val="24"/>
              </w:rPr>
              <w:t>TVOC</w:t>
            </w:r>
            <w:r>
              <w:rPr>
                <w:rFonts w:hint="eastAsia"/>
                <w:szCs w:val="24"/>
              </w:rPr>
              <w:t>胶黏剂，</w:t>
            </w:r>
            <w:r>
              <w:rPr>
                <w:szCs w:val="24"/>
              </w:rPr>
              <w:t>因此本项目与《国务院关于印发打赢蓝天保卫战三年行动计划的通知》（国发</w:t>
            </w:r>
            <w:r>
              <w:rPr>
                <w:rFonts w:hint="default" w:ascii="Times New Roman" w:hAnsi="Times New Roman" w:cs="Times New Roman"/>
                <w:szCs w:val="24"/>
              </w:rPr>
              <w:t>〔2018〕22号）</w:t>
            </w:r>
            <w:r>
              <w:rPr>
                <w:szCs w:val="24"/>
              </w:rPr>
              <w:t>相符。</w:t>
            </w:r>
          </w:p>
          <w:p>
            <w:pPr>
              <w:spacing w:line="360" w:lineRule="auto"/>
              <w:ind w:firstLine="480" w:firstLineChars="200"/>
              <w:rPr>
                <w:sz w:val="24"/>
              </w:rPr>
            </w:pPr>
            <w:r>
              <w:rPr>
                <w:rFonts w:hint="eastAsia"/>
                <w:kern w:val="0"/>
                <w:sz w:val="24"/>
              </w:rPr>
              <w:t>（</w:t>
            </w:r>
            <w:r>
              <w:rPr>
                <w:rFonts w:hint="eastAsia"/>
                <w:kern w:val="0"/>
                <w:sz w:val="24"/>
                <w:lang w:val="en-US" w:eastAsia="zh-CN"/>
              </w:rPr>
              <w:t>7</w:t>
            </w:r>
            <w:r>
              <w:rPr>
                <w:rFonts w:hint="eastAsia"/>
                <w:kern w:val="0"/>
                <w:sz w:val="24"/>
              </w:rPr>
              <w:t>）</w:t>
            </w:r>
            <w:r>
              <w:rPr>
                <w:rFonts w:hint="eastAsia"/>
                <w:sz w:val="24"/>
              </w:rPr>
              <w:t>与《江西省生态环境厅关于印发江西省重点行业挥发性有机物综合治理方案的通知》（赣环大气</w:t>
            </w:r>
            <w:r>
              <w:rPr>
                <w:rFonts w:hint="eastAsia" w:ascii="宋体" w:hAnsi="宋体"/>
                <w:sz w:val="24"/>
              </w:rPr>
              <w:t>〔</w:t>
            </w:r>
            <w:r>
              <w:rPr>
                <w:rFonts w:hint="eastAsia"/>
                <w:sz w:val="24"/>
              </w:rPr>
              <w:t>2019</w:t>
            </w:r>
            <w:r>
              <w:rPr>
                <w:rFonts w:hint="eastAsia" w:ascii="宋体" w:hAnsi="宋体"/>
                <w:sz w:val="24"/>
              </w:rPr>
              <w:t>〕</w:t>
            </w:r>
            <w:r>
              <w:rPr>
                <w:rFonts w:hint="eastAsia"/>
                <w:sz w:val="24"/>
              </w:rPr>
              <w:t>20号）相符性分析</w:t>
            </w:r>
          </w:p>
          <w:p>
            <w:pPr>
              <w:widowControl/>
              <w:spacing w:line="360" w:lineRule="auto"/>
              <w:ind w:firstLine="480" w:firstLineChars="200"/>
              <w:jc w:val="left"/>
              <w:rPr>
                <w:sz w:val="24"/>
              </w:rPr>
            </w:pPr>
            <w:r>
              <w:rPr>
                <w:rFonts w:hint="eastAsia"/>
                <w:sz w:val="24"/>
              </w:rPr>
              <w:t>各</w:t>
            </w:r>
            <w:r>
              <w:rPr>
                <w:sz w:val="24"/>
              </w:rPr>
              <w:t>企业</w:t>
            </w:r>
            <w:r>
              <w:rPr>
                <w:rFonts w:hint="eastAsia"/>
                <w:sz w:val="24"/>
              </w:rPr>
              <w:t>在满足TVOC排放标准前提下，企业</w:t>
            </w:r>
            <w:r>
              <w:rPr>
                <w:sz w:val="24"/>
              </w:rPr>
              <w:t>采用符合国家有关低</w:t>
            </w:r>
            <w:r>
              <w:rPr>
                <w:rFonts w:hint="eastAsia"/>
                <w:sz w:val="24"/>
              </w:rPr>
              <w:t>TVOC</w:t>
            </w:r>
            <w:r>
              <w:rPr>
                <w:sz w:val="24"/>
              </w:rPr>
              <w:t>含量产品规定的涂料、油</w:t>
            </w:r>
            <w:r>
              <w:rPr>
                <w:rFonts w:hint="eastAsia"/>
                <w:sz w:val="24"/>
              </w:rPr>
              <w:t>墨、胶粘剂等，排放浓度稳定达标且排放速率、排放绩效等满足相关规定的，相应生产工序可不要求建设末端治理设施。企业使用的原辅材料TVOC含量（质量比）低于 10%的工序，可不要求采取无组织排放收集措施。</w:t>
            </w:r>
          </w:p>
          <w:p>
            <w:pPr>
              <w:widowControl/>
              <w:spacing w:line="360" w:lineRule="auto"/>
              <w:ind w:firstLine="480" w:firstLineChars="200"/>
              <w:jc w:val="left"/>
              <w:rPr>
                <w:sz w:val="24"/>
              </w:rPr>
            </w:pPr>
            <w:r>
              <w:rPr>
                <w:rFonts w:hint="eastAsia"/>
                <w:sz w:val="24"/>
              </w:rPr>
              <w:t>车间或生产设施收集排放的废气TVOC</w:t>
            </w:r>
            <w:r>
              <w:rPr>
                <w:sz w:val="24"/>
              </w:rPr>
              <w:t xml:space="preserve"> 初始排放速率</w:t>
            </w:r>
            <w:r>
              <w:rPr>
                <w:rFonts w:hint="eastAsia"/>
                <w:sz w:val="24"/>
              </w:rPr>
              <w:t>≥</w:t>
            </w:r>
            <w:r>
              <w:rPr>
                <w:sz w:val="24"/>
              </w:rPr>
              <w:t>3</w:t>
            </w:r>
            <w:r>
              <w:rPr>
                <w:rFonts w:hint="eastAsia"/>
                <w:sz w:val="24"/>
              </w:rPr>
              <w:t>kg/h</w:t>
            </w:r>
            <w:r>
              <w:rPr>
                <w:sz w:val="24"/>
              </w:rPr>
              <w:t>时</w:t>
            </w:r>
            <w:r>
              <w:rPr>
                <w:rFonts w:hint="eastAsia"/>
                <w:sz w:val="24"/>
              </w:rPr>
              <w:t xml:space="preserve">，应加大控制力度，除确保排放浓度稳定达标外，还应实行去除效率控制，去除效率不低于80%；采用的原辅材料符合国家有关低 TVOC 含量产品规定的除外，有行业排放标准的按其相关规定执行。 </w:t>
            </w:r>
          </w:p>
          <w:p>
            <w:pPr>
              <w:widowControl/>
              <w:spacing w:line="360" w:lineRule="auto"/>
              <w:ind w:firstLine="480" w:firstLineChars="200"/>
              <w:jc w:val="left"/>
              <w:rPr>
                <w:sz w:val="24"/>
              </w:rPr>
            </w:pPr>
            <w:r>
              <w:rPr>
                <w:rFonts w:hint="eastAsia"/>
                <w:sz w:val="24"/>
              </w:rPr>
              <w:t xml:space="preserve">工业涂装TVOC综合治理：加大汽车、家具、集装箱、电子产品、工程机械等行业 TVOC 治理力度，重点区域应结合本地产业特征，加快实施其他行业涂装 TVOC 综合治理。 </w:t>
            </w:r>
          </w:p>
          <w:p>
            <w:pPr>
              <w:widowControl/>
              <w:spacing w:line="360" w:lineRule="auto"/>
              <w:ind w:firstLine="480" w:firstLineChars="200"/>
              <w:jc w:val="left"/>
              <w:rPr>
                <w:sz w:val="24"/>
              </w:rPr>
            </w:pPr>
            <w:r>
              <w:rPr>
                <w:rFonts w:hint="eastAsia"/>
                <w:sz w:val="24"/>
              </w:rPr>
              <w:t xml:space="preserve">强化源头控制，加快使用粉末、水性、高固体分、辐射固化等低 TVOC 含量的涂料替代溶剂型涂料，木质家具制造大力推广使用水性、辐射固化、粉末等涂料和水性胶粘剂；有效控制无组织排放。涂料、稀释剂、清洗剂等原辅材料应密闭存储，调配、 使用、回收等过程应采用密闭设备或在密闭空间内操作，采用密闭管道或密闭容器等输送。除大型工件外，禁止敞开式喷涂、晾（风）干作业。除工艺限制外， 原则上实行集中调配。调配、喷涂和干燥等 TVOC 排放工序应配备有效的废气收集系统。 </w:t>
            </w:r>
          </w:p>
          <w:p>
            <w:pPr>
              <w:widowControl/>
              <w:spacing w:line="360" w:lineRule="auto"/>
              <w:ind w:firstLine="480" w:firstLineChars="200"/>
              <w:jc w:val="left"/>
              <w:rPr>
                <w:sz w:val="24"/>
              </w:rPr>
            </w:pPr>
            <w:r>
              <w:rPr>
                <w:rFonts w:hint="eastAsia"/>
                <w:sz w:val="24"/>
              </w:rPr>
              <w:t xml:space="preserve">推进建设适宜高效的治污设施。喷涂废气应设置高效漆雾处理装置。喷涂、晾（风）干废气宜采用吸附浓缩+燃烧处理方式，小风量的可采用一次性活性炭吸附等工艺。调配、流平等废气可与喷涂、晾（风）干废气一并处理。 </w:t>
            </w:r>
          </w:p>
          <w:p>
            <w:pPr>
              <w:adjustRightInd w:val="0"/>
              <w:snapToGrid w:val="0"/>
              <w:spacing w:line="360" w:lineRule="auto"/>
              <w:ind w:firstLine="480" w:firstLineChars="200"/>
              <w:rPr>
                <w:sz w:val="24"/>
              </w:rPr>
            </w:pPr>
            <w:r>
              <w:rPr>
                <w:rFonts w:hint="eastAsia"/>
                <w:sz w:val="24"/>
              </w:rPr>
              <w:t>本项目采用溶剂漆，调漆、喷漆、晾干都在密闭车间内，油漆储存、输送均采用密闭储存，喷漆工艺需采取末端治理设施，本项目末端治理设施为水帘机+二级活性炭吸附，喷漆位于密闭空间内，采用局部集气罩，风速控制不低于0.3m/s，TVOC初始排放速率小于3kg/h，去除效率为50%，满足相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kern w:val="0"/>
                <w:sz w:val="24"/>
                <w:szCs w:val="20"/>
              </w:rPr>
            </w:pPr>
            <w:r>
              <w:rPr>
                <w:rFonts w:hint="eastAsia"/>
                <w:sz w:val="24"/>
              </w:rPr>
              <w:t>综上，本项目</w:t>
            </w:r>
            <w:r>
              <w:rPr>
                <w:sz w:val="24"/>
              </w:rPr>
              <w:t>与</w:t>
            </w:r>
            <w:r>
              <w:rPr>
                <w:rFonts w:hint="eastAsia"/>
                <w:sz w:val="24"/>
              </w:rPr>
              <w:t>江西省生态环境厅关于印发江西省</w:t>
            </w:r>
            <w:r>
              <w:rPr>
                <w:sz w:val="24"/>
              </w:rPr>
              <w:t>重点行业挥发性有机物综合治理方案</w:t>
            </w:r>
            <w:r>
              <w:rPr>
                <w:rFonts w:hint="eastAsia"/>
                <w:kern w:val="0"/>
                <w:sz w:val="24"/>
                <w:szCs w:val="20"/>
              </w:rPr>
              <w:t>的通知》（赣环大气</w:t>
            </w:r>
            <w:r>
              <w:rPr>
                <w:rFonts w:hint="eastAsia" w:ascii="宋体" w:hAnsi="宋体"/>
                <w:kern w:val="0"/>
                <w:sz w:val="24"/>
                <w:szCs w:val="20"/>
              </w:rPr>
              <w:t>〔</w:t>
            </w:r>
            <w:r>
              <w:rPr>
                <w:rFonts w:hint="eastAsia"/>
                <w:kern w:val="0"/>
                <w:sz w:val="24"/>
                <w:szCs w:val="20"/>
              </w:rPr>
              <w:t>2019</w:t>
            </w:r>
            <w:r>
              <w:rPr>
                <w:rFonts w:hint="eastAsia" w:ascii="宋体" w:hAnsi="宋体"/>
                <w:kern w:val="0"/>
                <w:sz w:val="24"/>
                <w:szCs w:val="20"/>
              </w:rPr>
              <w:t>〕</w:t>
            </w:r>
            <w:r>
              <w:rPr>
                <w:rFonts w:hint="eastAsia"/>
                <w:kern w:val="0"/>
                <w:sz w:val="24"/>
                <w:szCs w:val="20"/>
              </w:rPr>
              <w:t>20号）相符。</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pPr>
            <w:r>
              <w:rPr>
                <w:rFonts w:hint="eastAsia"/>
              </w:rPr>
              <w:t>（</w:t>
            </w:r>
            <w:r>
              <w:rPr>
                <w:rFonts w:hint="eastAsia"/>
                <w:lang w:val="en-US" w:eastAsia="zh-CN"/>
              </w:rPr>
              <w:t>8</w:t>
            </w:r>
            <w:r>
              <w:rPr>
                <w:rFonts w:hint="eastAsia"/>
              </w:rPr>
              <w:t>）与《江西省重点行业挥发性有机物综合治理方案》相符性分析</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pPr>
            <w:r>
              <w:rPr>
                <w:rFonts w:hint="eastAsia"/>
              </w:rPr>
              <w:t>该方案提出：木质家具制造行业应大力推广使用水性、辐射固化、粉末等涂料和水性胶粘剂。表面涂装行业应对喷涂废气设置高效漆雾处理装置，喷涂、晾（风）干废气宜采用吸附浓缩+燃烧处理技术，小风量的可采用一次性活性炭吸附等工艺。</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pPr>
            <w:r>
              <w:rPr>
                <w:rFonts w:hint="eastAsia"/>
              </w:rPr>
              <w:t>本项目属于木质家具制造项目，项目使用的白乳胶为水剂型粘合剂，对喷涂废气设置了水帘漆雾净化系统+二级活性炭吸附装置进行处理，与《江西省重点行业挥发性有机物综合治理方案》不冲突，满足要求。</w:t>
            </w:r>
          </w:p>
          <w:p>
            <w:pPr>
              <w:spacing w:line="360" w:lineRule="auto"/>
              <w:ind w:firstLine="480" w:firstLineChars="200"/>
              <w:rPr>
                <w:sz w:val="24"/>
              </w:rPr>
            </w:pPr>
          </w:p>
          <w:p>
            <w:pPr>
              <w:spacing w:line="360" w:lineRule="auto"/>
              <w:rPr>
                <w:sz w:val="24"/>
              </w:rPr>
            </w:pPr>
          </w:p>
          <w:p>
            <w:pPr>
              <w:spacing w:line="360" w:lineRule="auto"/>
              <w:rPr>
                <w:rFonts w:cs="宋体"/>
                <w:kern w:val="21"/>
                <w:sz w:val="24"/>
                <w:szCs w:val="21"/>
              </w:rPr>
            </w:pPr>
          </w:p>
        </w:tc>
      </w:tr>
    </w:tbl>
    <w:p>
      <w:pPr>
        <w:spacing w:line="360" w:lineRule="auto"/>
        <w:outlineLvl w:val="0"/>
        <w:rPr>
          <w:rFonts w:eastAsia="黑体"/>
          <w:color w:val="FF0000"/>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9"/>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8399"/>
        <w:gridCol w:w="2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8" w:type="dxa"/>
            <w:vAlign w:val="center"/>
          </w:tcPr>
          <w:p>
            <w:pPr>
              <w:pStyle w:val="29"/>
              <w:adjustRightInd w:val="0"/>
              <w:snapToGrid w:val="0"/>
              <w:spacing w:before="0" w:beforeAutospacing="0" w:after="0" w:afterAutospacing="0"/>
              <w:jc w:val="center"/>
              <w:rPr>
                <w:rFonts w:cs="宋体"/>
                <w:color w:val="FF0000"/>
                <w:szCs w:val="24"/>
              </w:rPr>
            </w:pPr>
            <w:r>
              <w:rPr>
                <w:rFonts w:hint="eastAsia" w:cs="宋体"/>
                <w:szCs w:val="24"/>
              </w:rPr>
              <w:t>建设内容</w:t>
            </w:r>
          </w:p>
        </w:tc>
        <w:tc>
          <w:tcPr>
            <w:tcW w:w="4415" w:type="dxa"/>
          </w:tcPr>
          <w:p>
            <w:pPr>
              <w:spacing w:line="360" w:lineRule="auto"/>
              <w:ind w:firstLine="440" w:firstLineChars="200"/>
              <w:rPr>
                <w:sz w:val="24"/>
              </w:rPr>
            </w:pPr>
            <w:r>
              <w:rPr>
                <w:rFonts w:hint="eastAsia"/>
                <w:bCs/>
                <w:spacing w:val="-10"/>
                <w:kern w:val="0"/>
                <w:sz w:val="24"/>
                <w:szCs w:val="20"/>
              </w:rPr>
              <w:t>原项目位于江西余干高新技术产业园(N28°28′1.629″，E116°49′55.966″)，年产</w:t>
            </w:r>
            <w:r>
              <w:rPr>
                <w:rFonts w:hint="eastAsia"/>
                <w:sz w:val="24"/>
              </w:rPr>
              <w:t>10.96万套锁架（含三角柜、锁柜、拉手板、展示柜等）</w:t>
            </w:r>
            <w:r>
              <w:rPr>
                <w:rFonts w:hint="eastAsia"/>
                <w:bCs/>
                <w:spacing w:val="-10"/>
                <w:kern w:val="0"/>
                <w:sz w:val="24"/>
                <w:szCs w:val="20"/>
              </w:rPr>
              <w:t>，项目占地面积为30406.82平方米。2019年3月28日已取得余干县环境保</w:t>
            </w:r>
            <w:r>
              <w:rPr>
                <w:rFonts w:hint="eastAsia"/>
                <w:sz w:val="24"/>
              </w:rPr>
              <w:t>护局《关于余干县豪士五金科技有限公司三角柜、锁柜、拉手板、展示柜建设项目环境影响报告表的批复》（干环环字</w:t>
            </w:r>
            <w:r>
              <w:rPr>
                <w:rFonts w:hint="eastAsia" w:ascii="宋体" w:hAnsi="宋体"/>
                <w:sz w:val="24"/>
              </w:rPr>
              <w:t>〔</w:t>
            </w:r>
            <w:r>
              <w:rPr>
                <w:rFonts w:hint="eastAsia"/>
                <w:sz w:val="24"/>
              </w:rPr>
              <w:t>2019</w:t>
            </w:r>
            <w:r>
              <w:rPr>
                <w:rFonts w:hint="eastAsia" w:ascii="宋体" w:hAnsi="宋体"/>
                <w:sz w:val="24"/>
              </w:rPr>
              <w:t>〕</w:t>
            </w:r>
            <w:r>
              <w:rPr>
                <w:rFonts w:hint="eastAsia"/>
                <w:sz w:val="24"/>
              </w:rPr>
              <w:t>22号），见附件四。</w:t>
            </w:r>
          </w:p>
          <w:p>
            <w:pPr>
              <w:spacing w:line="360" w:lineRule="auto"/>
              <w:ind w:firstLine="480" w:firstLineChars="200"/>
              <w:rPr>
                <w:bCs/>
                <w:spacing w:val="-10"/>
                <w:kern w:val="0"/>
                <w:sz w:val="24"/>
                <w:szCs w:val="20"/>
              </w:rPr>
            </w:pPr>
            <w:r>
              <w:rPr>
                <w:rFonts w:hint="eastAsia"/>
                <w:sz w:val="24"/>
                <w:lang w:eastAsia="zh-CN"/>
              </w:rPr>
              <w:t>为适应市场需求</w:t>
            </w:r>
            <w:r>
              <w:rPr>
                <w:rFonts w:hint="eastAsia"/>
                <w:sz w:val="24"/>
              </w:rPr>
              <w:t>，</w:t>
            </w:r>
            <w:r>
              <w:rPr>
                <w:rFonts w:hint="eastAsia"/>
                <w:sz w:val="24"/>
                <w:lang w:eastAsia="zh-CN"/>
              </w:rPr>
              <w:t>企业对现有项目生产工艺</w:t>
            </w:r>
            <w:r>
              <w:rPr>
                <w:rFonts w:hint="eastAsia"/>
                <w:sz w:val="24"/>
              </w:rPr>
              <w:t>进行技术改造，</w:t>
            </w:r>
            <w:r>
              <w:rPr>
                <w:rFonts w:hint="eastAsia"/>
                <w:sz w:val="24"/>
                <w:lang w:eastAsia="zh-CN"/>
              </w:rPr>
              <w:t>将</w:t>
            </w:r>
            <w:r>
              <w:rPr>
                <w:rFonts w:hint="eastAsia"/>
                <w:sz w:val="24"/>
              </w:rPr>
              <w:t>原</w:t>
            </w:r>
            <w:r>
              <w:rPr>
                <w:rFonts w:hint="eastAsia"/>
                <w:sz w:val="24"/>
                <w:lang w:eastAsia="zh-CN"/>
              </w:rPr>
              <w:t>生产</w:t>
            </w:r>
            <w:r>
              <w:rPr>
                <w:rFonts w:hint="eastAsia"/>
                <w:sz w:val="24"/>
              </w:rPr>
              <w:t>工艺中滚涂PU漆改为喷涂</w:t>
            </w:r>
            <w:r>
              <w:rPr>
                <w:rFonts w:hint="eastAsia"/>
                <w:sz w:val="24"/>
                <w:lang w:eastAsia="zh-CN"/>
              </w:rPr>
              <w:t>方式</w:t>
            </w:r>
            <w:r>
              <w:rPr>
                <w:rFonts w:hint="eastAsia"/>
                <w:sz w:val="24"/>
              </w:rPr>
              <w:t>，</w:t>
            </w:r>
            <w:r>
              <w:rPr>
                <w:rFonts w:hint="eastAsia"/>
                <w:sz w:val="24"/>
                <w:lang w:eastAsia="zh-CN"/>
              </w:rPr>
              <w:t>并取消丝印工序，</w:t>
            </w:r>
            <w:r>
              <w:rPr>
                <w:rFonts w:hint="eastAsia"/>
                <w:sz w:val="24"/>
              </w:rPr>
              <w:t>其它工艺基本不变，</w:t>
            </w:r>
            <w:r>
              <w:rPr>
                <w:rFonts w:hint="eastAsia"/>
                <w:sz w:val="24"/>
                <w:lang w:eastAsia="zh-CN"/>
              </w:rPr>
              <w:t>项目变动后新增</w:t>
            </w:r>
            <w:r>
              <w:rPr>
                <w:rFonts w:hint="eastAsia"/>
                <w:sz w:val="24"/>
              </w:rPr>
              <w:t>3</w:t>
            </w:r>
            <w:r>
              <w:rPr>
                <w:rFonts w:hint="eastAsia"/>
                <w:sz w:val="24"/>
                <w:lang w:eastAsia="zh-CN"/>
              </w:rPr>
              <w:t>间</w:t>
            </w:r>
            <w:r>
              <w:rPr>
                <w:rFonts w:hint="eastAsia"/>
                <w:sz w:val="24"/>
              </w:rPr>
              <w:t>喷漆房及</w:t>
            </w:r>
            <w:r>
              <w:rPr>
                <w:rFonts w:hint="eastAsia"/>
                <w:sz w:val="24"/>
                <w:lang w:eastAsia="zh-CN"/>
              </w:rPr>
              <w:t>喷漆房相应配套</w:t>
            </w:r>
            <w:r>
              <w:rPr>
                <w:rFonts w:hint="eastAsia"/>
                <w:sz w:val="24"/>
              </w:rPr>
              <w:t>环保设施（水帘柜+二级活性炭+15m高排气筒），产品方案由</w:t>
            </w:r>
            <w:r>
              <w:rPr>
                <w:rFonts w:hint="eastAsia"/>
                <w:bCs/>
                <w:spacing w:val="-10"/>
                <w:kern w:val="0"/>
                <w:sz w:val="24"/>
                <w:szCs w:val="20"/>
              </w:rPr>
              <w:t>年产</w:t>
            </w:r>
            <w:r>
              <w:rPr>
                <w:rFonts w:hint="eastAsia"/>
                <w:sz w:val="24"/>
              </w:rPr>
              <w:t>10.96万套锁架（含三角柜、锁柜、拉手板、展示柜等）变更为年产10.96万套木质家具（含锁架、木门、衣柜、锁柜、拉手板、展示柜等）。根据《中华人民共和国环</w:t>
            </w:r>
            <w:r>
              <w:rPr>
                <w:rFonts w:hint="eastAsia"/>
                <w:bCs/>
                <w:spacing w:val="-10"/>
                <w:kern w:val="0"/>
                <w:sz w:val="24"/>
                <w:szCs w:val="20"/>
              </w:rPr>
              <w:t>境影响评价法》第二十四条，建设项目的环境影响评价文件经批准后，建设项目的性质、规模、地点、采用的生产工艺或者防治污染、防止生态破坏的措施发生重大变动的，建设单位应当重新报批建设项目的环境影响评价文件。</w:t>
            </w:r>
          </w:p>
          <w:p>
            <w:pPr>
              <w:spacing w:line="360" w:lineRule="auto"/>
              <w:ind w:firstLine="440" w:firstLineChars="200"/>
              <w:rPr>
                <w:bCs/>
                <w:spacing w:val="-10"/>
                <w:kern w:val="0"/>
                <w:sz w:val="24"/>
                <w:szCs w:val="20"/>
              </w:rPr>
            </w:pPr>
            <w:r>
              <w:rPr>
                <w:rFonts w:hint="eastAsia"/>
                <w:bCs/>
                <w:spacing w:val="-10"/>
                <w:kern w:val="0"/>
                <w:sz w:val="24"/>
                <w:szCs w:val="20"/>
              </w:rPr>
              <w:t>根据《中华人民共和国环境保护法》、《中华人民共和国环境影响评价法》中有关规定和要求，</w:t>
            </w:r>
            <w:r>
              <w:rPr>
                <w:rFonts w:hint="eastAsia"/>
                <w:bCs/>
                <w:spacing w:val="-10"/>
                <w:kern w:val="0"/>
                <w:sz w:val="24"/>
                <w:szCs w:val="20"/>
                <w:lang w:eastAsia="zh-CN"/>
              </w:rPr>
              <w:t>并</w:t>
            </w:r>
            <w:r>
              <w:rPr>
                <w:rFonts w:hint="eastAsia"/>
                <w:bCs/>
                <w:spacing w:val="-10"/>
                <w:kern w:val="0"/>
                <w:sz w:val="24"/>
                <w:szCs w:val="20"/>
              </w:rPr>
              <w:t>对照《建设项目环境影响评价分类管理名录》（2021年版），本项目属于“十八、家具制造业—36木质家具制造211—其他（仅分割、组装的除外；年用非溶剂型低TVOC含量涂料10吨以下的除外）”，应编制环境影响报告表。</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表2-1   环评变更内容一览表</w:t>
            </w:r>
          </w:p>
          <w:tbl>
            <w:tblPr>
              <w:tblStyle w:val="33"/>
              <w:tblW w:w="48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1215"/>
              <w:gridCol w:w="580"/>
              <w:gridCol w:w="562"/>
              <w:gridCol w:w="1579"/>
              <w:gridCol w:w="1941"/>
              <w:gridCol w:w="150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tcBorders>
                    <w:top w:val="single" w:color="auto" w:sz="12" w:space="0"/>
                    <w:left w:val="nil"/>
                  </w:tcBorders>
                  <w:vAlign w:val="center"/>
                </w:tcPr>
                <w:p>
                  <w:pPr>
                    <w:autoSpaceDE w:val="0"/>
                    <w:autoSpaceDN w:val="0"/>
                    <w:adjustRightInd w:val="0"/>
                    <w:spacing w:line="340" w:lineRule="exact"/>
                    <w:jc w:val="center"/>
                    <w:rPr>
                      <w:szCs w:val="21"/>
                    </w:rPr>
                  </w:pPr>
                  <w:r>
                    <w:rPr>
                      <w:szCs w:val="21"/>
                    </w:rPr>
                    <w:t>序号</w:t>
                  </w:r>
                </w:p>
              </w:tc>
              <w:tc>
                <w:tcPr>
                  <w:tcW w:w="581" w:type="dxa"/>
                  <w:tcBorders>
                    <w:top w:val="single" w:color="auto" w:sz="12" w:space="0"/>
                  </w:tcBorders>
                  <w:vAlign w:val="center"/>
                </w:tcPr>
                <w:p>
                  <w:pPr>
                    <w:autoSpaceDE w:val="0"/>
                    <w:autoSpaceDN w:val="0"/>
                    <w:adjustRightInd w:val="0"/>
                    <w:spacing w:line="340" w:lineRule="exact"/>
                    <w:jc w:val="center"/>
                    <w:rPr>
                      <w:szCs w:val="21"/>
                    </w:rPr>
                  </w:pPr>
                  <w:r>
                    <w:rPr>
                      <w:szCs w:val="21"/>
                    </w:rPr>
                    <w:t>变更类型</w:t>
                  </w:r>
                </w:p>
              </w:tc>
              <w:tc>
                <w:tcPr>
                  <w:tcW w:w="563" w:type="dxa"/>
                  <w:tcBorders>
                    <w:top w:val="single" w:color="auto" w:sz="12" w:space="0"/>
                  </w:tcBorders>
                  <w:vAlign w:val="center"/>
                </w:tcPr>
                <w:p>
                  <w:pPr>
                    <w:autoSpaceDE w:val="0"/>
                    <w:autoSpaceDN w:val="0"/>
                    <w:adjustRightInd w:val="0"/>
                    <w:spacing w:line="340" w:lineRule="exact"/>
                    <w:jc w:val="center"/>
                    <w:rPr>
                      <w:szCs w:val="21"/>
                    </w:rPr>
                  </w:pPr>
                  <w:r>
                    <w:rPr>
                      <w:szCs w:val="21"/>
                    </w:rPr>
                    <w:t>变更内容</w:t>
                  </w:r>
                </w:p>
              </w:tc>
              <w:tc>
                <w:tcPr>
                  <w:tcW w:w="1584" w:type="dxa"/>
                  <w:tcBorders>
                    <w:top w:val="single" w:color="auto" w:sz="12" w:space="0"/>
                  </w:tcBorders>
                  <w:vAlign w:val="center"/>
                </w:tcPr>
                <w:p>
                  <w:pPr>
                    <w:autoSpaceDE w:val="0"/>
                    <w:autoSpaceDN w:val="0"/>
                    <w:adjustRightInd w:val="0"/>
                    <w:spacing w:line="340" w:lineRule="exact"/>
                    <w:jc w:val="center"/>
                    <w:rPr>
                      <w:szCs w:val="21"/>
                    </w:rPr>
                  </w:pPr>
                  <w:r>
                    <w:rPr>
                      <w:szCs w:val="21"/>
                    </w:rPr>
                    <w:t>原环评内容</w:t>
                  </w:r>
                </w:p>
              </w:tc>
              <w:tc>
                <w:tcPr>
                  <w:tcW w:w="1941" w:type="dxa"/>
                  <w:tcBorders>
                    <w:top w:val="single" w:color="auto" w:sz="12" w:space="0"/>
                  </w:tcBorders>
                  <w:vAlign w:val="center"/>
                </w:tcPr>
                <w:p>
                  <w:pPr>
                    <w:autoSpaceDE w:val="0"/>
                    <w:autoSpaceDN w:val="0"/>
                    <w:adjustRightInd w:val="0"/>
                    <w:spacing w:line="340" w:lineRule="exact"/>
                    <w:jc w:val="center"/>
                    <w:rPr>
                      <w:szCs w:val="21"/>
                    </w:rPr>
                  </w:pPr>
                  <w:r>
                    <w:rPr>
                      <w:szCs w:val="21"/>
                    </w:rPr>
                    <w:t>变更后</w:t>
                  </w:r>
                </w:p>
              </w:tc>
              <w:tc>
                <w:tcPr>
                  <w:tcW w:w="1514" w:type="dxa"/>
                  <w:tcBorders>
                    <w:top w:val="single" w:color="auto" w:sz="12" w:space="0"/>
                    <w:right w:val="nil"/>
                  </w:tcBorders>
                  <w:vAlign w:val="center"/>
                </w:tcPr>
                <w:p>
                  <w:pPr>
                    <w:autoSpaceDE w:val="0"/>
                    <w:autoSpaceDN w:val="0"/>
                    <w:adjustRightInd w:val="0"/>
                    <w:spacing w:line="340" w:lineRule="exact"/>
                    <w:jc w:val="center"/>
                    <w:rPr>
                      <w:szCs w:val="21"/>
                    </w:rPr>
                  </w:pPr>
                  <w:r>
                    <w:rPr>
                      <w:szCs w:val="21"/>
                    </w:rPr>
                    <w:t>变化说明</w:t>
                  </w:r>
                </w:p>
              </w:tc>
              <w:tc>
                <w:tcPr>
                  <w:tcW w:w="519" w:type="dxa"/>
                  <w:tcBorders>
                    <w:top w:val="single" w:color="auto" w:sz="12" w:space="0"/>
                    <w:right w:val="nil"/>
                  </w:tcBorders>
                  <w:vAlign w:val="center"/>
                </w:tcPr>
                <w:p>
                  <w:pPr>
                    <w:autoSpaceDE w:val="0"/>
                    <w:autoSpaceDN w:val="0"/>
                    <w:adjustRightInd w:val="0"/>
                    <w:spacing w:line="340" w:lineRule="exact"/>
                    <w:jc w:val="center"/>
                    <w:rPr>
                      <w:szCs w:val="21"/>
                    </w:rPr>
                  </w:pPr>
                  <w:r>
                    <w:rPr>
                      <w:szCs w:val="21"/>
                    </w:rPr>
                    <w:t>重大变动判定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tcBorders>
                    <w:left w:val="nil"/>
                  </w:tcBorders>
                  <w:vAlign w:val="center"/>
                </w:tcPr>
                <w:p>
                  <w:pPr>
                    <w:autoSpaceDE w:val="0"/>
                    <w:autoSpaceDN w:val="0"/>
                    <w:adjustRightInd w:val="0"/>
                    <w:spacing w:line="340" w:lineRule="exact"/>
                    <w:jc w:val="center"/>
                    <w:rPr>
                      <w:szCs w:val="21"/>
                    </w:rPr>
                  </w:pPr>
                  <w:r>
                    <w:rPr>
                      <w:szCs w:val="21"/>
                    </w:rPr>
                    <w:t>1</w:t>
                  </w:r>
                </w:p>
              </w:tc>
              <w:tc>
                <w:tcPr>
                  <w:tcW w:w="581" w:type="dxa"/>
                  <w:vAlign w:val="center"/>
                </w:tcPr>
                <w:p>
                  <w:pPr>
                    <w:autoSpaceDE w:val="0"/>
                    <w:autoSpaceDN w:val="0"/>
                    <w:adjustRightInd w:val="0"/>
                    <w:spacing w:line="340" w:lineRule="exact"/>
                    <w:jc w:val="center"/>
                    <w:rPr>
                      <w:szCs w:val="21"/>
                    </w:rPr>
                  </w:pPr>
                  <w:r>
                    <w:rPr>
                      <w:szCs w:val="21"/>
                    </w:rPr>
                    <w:t>性质</w:t>
                  </w:r>
                </w:p>
              </w:tc>
              <w:tc>
                <w:tcPr>
                  <w:tcW w:w="563" w:type="dxa"/>
                  <w:vAlign w:val="center"/>
                </w:tcPr>
                <w:p>
                  <w:pPr>
                    <w:autoSpaceDE w:val="0"/>
                    <w:autoSpaceDN w:val="0"/>
                    <w:adjustRightInd w:val="0"/>
                    <w:spacing w:line="340" w:lineRule="exact"/>
                    <w:jc w:val="center"/>
                    <w:rPr>
                      <w:szCs w:val="21"/>
                    </w:rPr>
                  </w:pPr>
                  <w:r>
                    <w:rPr>
                      <w:szCs w:val="21"/>
                    </w:rPr>
                    <w:t>-</w:t>
                  </w:r>
                </w:p>
              </w:tc>
              <w:tc>
                <w:tcPr>
                  <w:tcW w:w="1584" w:type="dxa"/>
                  <w:vAlign w:val="center"/>
                </w:tcPr>
                <w:p>
                  <w:pPr>
                    <w:autoSpaceDE w:val="0"/>
                    <w:autoSpaceDN w:val="0"/>
                    <w:adjustRightInd w:val="0"/>
                    <w:spacing w:line="340" w:lineRule="exact"/>
                    <w:jc w:val="center"/>
                    <w:rPr>
                      <w:szCs w:val="21"/>
                    </w:rPr>
                  </w:pPr>
                  <w:r>
                    <w:rPr>
                      <w:rFonts w:hint="eastAsia"/>
                      <w:szCs w:val="21"/>
                    </w:rPr>
                    <w:t>C2110木质家具制造</w:t>
                  </w:r>
                </w:p>
              </w:tc>
              <w:tc>
                <w:tcPr>
                  <w:tcW w:w="1941" w:type="dxa"/>
                  <w:vAlign w:val="center"/>
                </w:tcPr>
                <w:p>
                  <w:pPr>
                    <w:autoSpaceDE w:val="0"/>
                    <w:autoSpaceDN w:val="0"/>
                    <w:adjustRightInd w:val="0"/>
                    <w:spacing w:line="340" w:lineRule="exact"/>
                    <w:jc w:val="center"/>
                    <w:rPr>
                      <w:szCs w:val="21"/>
                    </w:rPr>
                  </w:pPr>
                  <w:r>
                    <w:rPr>
                      <w:rFonts w:hint="eastAsia"/>
                      <w:szCs w:val="21"/>
                    </w:rPr>
                    <w:t>C2110木质家具制造</w:t>
                  </w:r>
                </w:p>
              </w:tc>
              <w:tc>
                <w:tcPr>
                  <w:tcW w:w="1514" w:type="dxa"/>
                  <w:tcBorders>
                    <w:right w:val="nil"/>
                  </w:tcBorders>
                  <w:vAlign w:val="center"/>
                </w:tcPr>
                <w:p>
                  <w:pPr>
                    <w:autoSpaceDE w:val="0"/>
                    <w:autoSpaceDN w:val="0"/>
                    <w:adjustRightInd w:val="0"/>
                    <w:spacing w:line="340" w:lineRule="exact"/>
                    <w:jc w:val="center"/>
                    <w:rPr>
                      <w:szCs w:val="21"/>
                    </w:rPr>
                  </w:pPr>
                  <w:r>
                    <w:rPr>
                      <w:rFonts w:hint="eastAsia"/>
                      <w:szCs w:val="21"/>
                    </w:rPr>
                    <w:t>无变化</w:t>
                  </w:r>
                </w:p>
              </w:tc>
              <w:tc>
                <w:tcPr>
                  <w:tcW w:w="519" w:type="dxa"/>
                  <w:tcBorders>
                    <w:right w:val="nil"/>
                  </w:tcBorders>
                  <w:vAlign w:val="center"/>
                </w:tcPr>
                <w:p>
                  <w:pPr>
                    <w:autoSpaceDE w:val="0"/>
                    <w:autoSpaceDN w:val="0"/>
                    <w:adjustRightInd w:val="0"/>
                    <w:spacing w:line="340" w:lineRule="exact"/>
                    <w:jc w:val="center"/>
                    <w:rPr>
                      <w:szCs w:val="21"/>
                    </w:rPr>
                  </w:pPr>
                  <w:r>
                    <w:rPr>
                      <w:rFonts w:hint="eastAsia"/>
                      <w:szCs w:val="21"/>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tcBorders>
                    <w:left w:val="nil"/>
                  </w:tcBorders>
                  <w:vAlign w:val="center"/>
                </w:tcPr>
                <w:p>
                  <w:pPr>
                    <w:autoSpaceDE w:val="0"/>
                    <w:autoSpaceDN w:val="0"/>
                    <w:adjustRightInd w:val="0"/>
                    <w:spacing w:line="340" w:lineRule="exact"/>
                    <w:jc w:val="center"/>
                    <w:rPr>
                      <w:szCs w:val="21"/>
                    </w:rPr>
                  </w:pPr>
                  <w:r>
                    <w:rPr>
                      <w:szCs w:val="21"/>
                    </w:rPr>
                    <w:t>2</w:t>
                  </w:r>
                </w:p>
              </w:tc>
              <w:tc>
                <w:tcPr>
                  <w:tcW w:w="581" w:type="dxa"/>
                  <w:vAlign w:val="center"/>
                </w:tcPr>
                <w:p>
                  <w:pPr>
                    <w:autoSpaceDE w:val="0"/>
                    <w:autoSpaceDN w:val="0"/>
                    <w:adjustRightInd w:val="0"/>
                    <w:spacing w:line="340" w:lineRule="exact"/>
                    <w:jc w:val="center"/>
                    <w:rPr>
                      <w:szCs w:val="21"/>
                    </w:rPr>
                  </w:pPr>
                  <w:r>
                    <w:rPr>
                      <w:szCs w:val="21"/>
                    </w:rPr>
                    <w:t>规模</w:t>
                  </w:r>
                </w:p>
              </w:tc>
              <w:tc>
                <w:tcPr>
                  <w:tcW w:w="563" w:type="dxa"/>
                  <w:vAlign w:val="center"/>
                </w:tcPr>
                <w:p>
                  <w:pPr>
                    <w:autoSpaceDE w:val="0"/>
                    <w:autoSpaceDN w:val="0"/>
                    <w:adjustRightInd w:val="0"/>
                    <w:spacing w:line="340" w:lineRule="exact"/>
                    <w:jc w:val="center"/>
                    <w:rPr>
                      <w:szCs w:val="21"/>
                    </w:rPr>
                  </w:pPr>
                  <w:r>
                    <w:rPr>
                      <w:szCs w:val="21"/>
                    </w:rPr>
                    <w:t>-</w:t>
                  </w:r>
                </w:p>
              </w:tc>
              <w:tc>
                <w:tcPr>
                  <w:tcW w:w="1584" w:type="dxa"/>
                  <w:vAlign w:val="center"/>
                </w:tcPr>
                <w:p>
                  <w:pPr>
                    <w:autoSpaceDE w:val="0"/>
                    <w:autoSpaceDN w:val="0"/>
                    <w:adjustRightInd w:val="0"/>
                    <w:spacing w:line="340" w:lineRule="exact"/>
                    <w:jc w:val="center"/>
                    <w:rPr>
                      <w:szCs w:val="21"/>
                    </w:rPr>
                  </w:pPr>
                  <w:r>
                    <w:rPr>
                      <w:rFonts w:hint="eastAsia"/>
                      <w:szCs w:val="21"/>
                    </w:rPr>
                    <w:t>年产10.96万套锁架（含三角柜、锁柜、拉手板、展示柜等）</w:t>
                  </w:r>
                </w:p>
              </w:tc>
              <w:tc>
                <w:tcPr>
                  <w:tcW w:w="1941" w:type="dxa"/>
                  <w:vAlign w:val="center"/>
                </w:tcPr>
                <w:p>
                  <w:pPr>
                    <w:autoSpaceDE w:val="0"/>
                    <w:autoSpaceDN w:val="0"/>
                    <w:adjustRightInd w:val="0"/>
                    <w:spacing w:line="340" w:lineRule="exact"/>
                    <w:jc w:val="center"/>
                    <w:rPr>
                      <w:szCs w:val="21"/>
                    </w:rPr>
                  </w:pPr>
                  <w:r>
                    <w:rPr>
                      <w:rFonts w:hint="eastAsia"/>
                      <w:szCs w:val="21"/>
                    </w:rPr>
                    <w:t>10.96万套木质家具（含锁架、木门、衣柜、锁柜、拉手板、展示柜等）</w:t>
                  </w:r>
                </w:p>
              </w:tc>
              <w:tc>
                <w:tcPr>
                  <w:tcW w:w="1514" w:type="dxa"/>
                  <w:tcBorders>
                    <w:right w:val="nil"/>
                  </w:tcBorders>
                  <w:vAlign w:val="center"/>
                </w:tcPr>
                <w:p>
                  <w:pPr>
                    <w:autoSpaceDE w:val="0"/>
                    <w:autoSpaceDN w:val="0"/>
                    <w:adjustRightInd w:val="0"/>
                    <w:spacing w:line="340" w:lineRule="exact"/>
                    <w:jc w:val="center"/>
                    <w:rPr>
                      <w:szCs w:val="21"/>
                    </w:rPr>
                  </w:pPr>
                  <w:r>
                    <w:rPr>
                      <w:rFonts w:hint="eastAsia"/>
                      <w:szCs w:val="21"/>
                    </w:rPr>
                    <w:t>三角柜不生产，新增木门、衣柜等产品</w:t>
                  </w:r>
                </w:p>
              </w:tc>
              <w:tc>
                <w:tcPr>
                  <w:tcW w:w="519" w:type="dxa"/>
                  <w:tcBorders>
                    <w:right w:val="nil"/>
                  </w:tcBorders>
                  <w:vAlign w:val="center"/>
                </w:tcPr>
                <w:p>
                  <w:pPr>
                    <w:autoSpaceDE w:val="0"/>
                    <w:autoSpaceDN w:val="0"/>
                    <w:adjustRightInd w:val="0"/>
                    <w:spacing w:line="340" w:lineRule="exact"/>
                    <w:jc w:val="center"/>
                    <w:rPr>
                      <w:rFonts w:hint="eastAsia" w:eastAsia="宋体"/>
                      <w:szCs w:val="21"/>
                      <w:lang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tcBorders>
                    <w:left w:val="nil"/>
                  </w:tcBorders>
                  <w:vAlign w:val="center"/>
                </w:tcPr>
                <w:p>
                  <w:pPr>
                    <w:autoSpaceDE w:val="0"/>
                    <w:autoSpaceDN w:val="0"/>
                    <w:adjustRightInd w:val="0"/>
                    <w:spacing w:line="340" w:lineRule="exact"/>
                    <w:jc w:val="center"/>
                    <w:rPr>
                      <w:szCs w:val="21"/>
                    </w:rPr>
                  </w:pPr>
                  <w:r>
                    <w:rPr>
                      <w:rFonts w:hint="eastAsia"/>
                      <w:szCs w:val="21"/>
                    </w:rPr>
                    <w:t>3</w:t>
                  </w:r>
                </w:p>
              </w:tc>
              <w:tc>
                <w:tcPr>
                  <w:tcW w:w="581" w:type="dxa"/>
                  <w:vAlign w:val="center"/>
                </w:tcPr>
                <w:p>
                  <w:pPr>
                    <w:autoSpaceDE w:val="0"/>
                    <w:autoSpaceDN w:val="0"/>
                    <w:adjustRightInd w:val="0"/>
                    <w:spacing w:line="340" w:lineRule="exact"/>
                    <w:jc w:val="center"/>
                    <w:rPr>
                      <w:szCs w:val="21"/>
                    </w:rPr>
                  </w:pPr>
                  <w:r>
                    <w:rPr>
                      <w:rFonts w:hint="eastAsia"/>
                      <w:szCs w:val="21"/>
                    </w:rPr>
                    <w:t>地点</w:t>
                  </w:r>
                </w:p>
              </w:tc>
              <w:tc>
                <w:tcPr>
                  <w:tcW w:w="563" w:type="dxa"/>
                  <w:vAlign w:val="center"/>
                </w:tcPr>
                <w:p>
                  <w:pPr>
                    <w:autoSpaceDE w:val="0"/>
                    <w:autoSpaceDN w:val="0"/>
                    <w:adjustRightInd w:val="0"/>
                    <w:spacing w:line="340" w:lineRule="exact"/>
                    <w:jc w:val="center"/>
                    <w:rPr>
                      <w:szCs w:val="21"/>
                    </w:rPr>
                  </w:pPr>
                  <w:r>
                    <w:rPr>
                      <w:rFonts w:hint="eastAsia"/>
                      <w:szCs w:val="21"/>
                    </w:rPr>
                    <w:t>厂址</w:t>
                  </w:r>
                </w:p>
              </w:tc>
              <w:tc>
                <w:tcPr>
                  <w:tcW w:w="1584" w:type="dxa"/>
                  <w:vAlign w:val="center"/>
                </w:tcPr>
                <w:p>
                  <w:pPr>
                    <w:autoSpaceDE w:val="0"/>
                    <w:autoSpaceDN w:val="0"/>
                    <w:adjustRightInd w:val="0"/>
                    <w:spacing w:line="340" w:lineRule="exact"/>
                    <w:jc w:val="center"/>
                    <w:rPr>
                      <w:szCs w:val="21"/>
                    </w:rPr>
                  </w:pPr>
                  <w:r>
                    <w:rPr>
                      <w:rFonts w:hint="eastAsia"/>
                      <w:szCs w:val="21"/>
                    </w:rPr>
                    <w:t>江西省上饶市余干县高新技术产业园区内（余干黄金埠园区）</w:t>
                  </w:r>
                </w:p>
              </w:tc>
              <w:tc>
                <w:tcPr>
                  <w:tcW w:w="1941" w:type="dxa"/>
                  <w:vAlign w:val="center"/>
                </w:tcPr>
                <w:p>
                  <w:pPr>
                    <w:autoSpaceDE w:val="0"/>
                    <w:autoSpaceDN w:val="0"/>
                    <w:adjustRightInd w:val="0"/>
                    <w:spacing w:line="340" w:lineRule="exact"/>
                    <w:jc w:val="center"/>
                    <w:rPr>
                      <w:szCs w:val="21"/>
                    </w:rPr>
                  </w:pPr>
                  <w:r>
                    <w:rPr>
                      <w:rFonts w:hint="eastAsia"/>
                      <w:szCs w:val="21"/>
                    </w:rPr>
                    <w:t>江西余干高新技术产业园区黄金埠园区</w:t>
                  </w:r>
                </w:p>
              </w:tc>
              <w:tc>
                <w:tcPr>
                  <w:tcW w:w="1514" w:type="dxa"/>
                  <w:tcBorders>
                    <w:right w:val="nil"/>
                  </w:tcBorders>
                  <w:vAlign w:val="center"/>
                </w:tcPr>
                <w:p>
                  <w:pPr>
                    <w:autoSpaceDE w:val="0"/>
                    <w:autoSpaceDN w:val="0"/>
                    <w:adjustRightInd w:val="0"/>
                    <w:spacing w:line="340" w:lineRule="exact"/>
                    <w:jc w:val="center"/>
                    <w:rPr>
                      <w:szCs w:val="21"/>
                    </w:rPr>
                  </w:pPr>
                  <w:r>
                    <w:rPr>
                      <w:rFonts w:hint="eastAsia"/>
                      <w:szCs w:val="21"/>
                    </w:rPr>
                    <w:t>无变化</w:t>
                  </w:r>
                </w:p>
              </w:tc>
              <w:tc>
                <w:tcPr>
                  <w:tcW w:w="519" w:type="dxa"/>
                  <w:tcBorders>
                    <w:right w:val="nil"/>
                  </w:tcBorders>
                  <w:vAlign w:val="center"/>
                </w:tcPr>
                <w:p>
                  <w:pPr>
                    <w:autoSpaceDE w:val="0"/>
                    <w:autoSpaceDN w:val="0"/>
                    <w:adjustRightInd w:val="0"/>
                    <w:spacing w:line="340" w:lineRule="exact"/>
                    <w:jc w:val="center"/>
                    <w:rPr>
                      <w:szCs w:val="21"/>
                    </w:rPr>
                  </w:pPr>
                  <w:r>
                    <w:rPr>
                      <w:rFonts w:hint="eastAsia"/>
                      <w:szCs w:val="21"/>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jc w:val="center"/>
              </w:trPr>
              <w:tc>
                <w:tcPr>
                  <w:tcW w:w="1211" w:type="dxa"/>
                  <w:tcBorders>
                    <w:left w:val="nil"/>
                  </w:tcBorders>
                  <w:vAlign w:val="center"/>
                </w:tcPr>
                <w:p>
                  <w:pPr>
                    <w:autoSpaceDE w:val="0"/>
                    <w:autoSpaceDN w:val="0"/>
                    <w:adjustRightInd w:val="0"/>
                    <w:spacing w:line="340" w:lineRule="exact"/>
                    <w:jc w:val="center"/>
                    <w:rPr>
                      <w:szCs w:val="21"/>
                    </w:rPr>
                  </w:pPr>
                  <w:r>
                    <w:rPr>
                      <w:szCs w:val="21"/>
                    </w:rPr>
                    <w:t>4</w:t>
                  </w:r>
                </w:p>
              </w:tc>
              <w:tc>
                <w:tcPr>
                  <w:tcW w:w="581" w:type="dxa"/>
                  <w:vAlign w:val="center"/>
                </w:tcPr>
                <w:p>
                  <w:pPr>
                    <w:autoSpaceDE w:val="0"/>
                    <w:autoSpaceDN w:val="0"/>
                    <w:adjustRightInd w:val="0"/>
                    <w:spacing w:line="340" w:lineRule="exact"/>
                    <w:jc w:val="center"/>
                    <w:rPr>
                      <w:szCs w:val="21"/>
                    </w:rPr>
                  </w:pPr>
                  <w:r>
                    <w:rPr>
                      <w:szCs w:val="21"/>
                    </w:rPr>
                    <w:t>生产工艺</w:t>
                  </w:r>
                </w:p>
              </w:tc>
              <w:tc>
                <w:tcPr>
                  <w:tcW w:w="563" w:type="dxa"/>
                  <w:vAlign w:val="center"/>
                </w:tcPr>
                <w:p>
                  <w:pPr>
                    <w:autoSpaceDE w:val="0"/>
                    <w:autoSpaceDN w:val="0"/>
                    <w:adjustRightInd w:val="0"/>
                    <w:spacing w:line="340" w:lineRule="exact"/>
                    <w:jc w:val="center"/>
                    <w:rPr>
                      <w:szCs w:val="21"/>
                    </w:rPr>
                  </w:pPr>
                  <w:r>
                    <w:rPr>
                      <w:szCs w:val="21"/>
                    </w:rPr>
                    <w:t>-</w:t>
                  </w:r>
                </w:p>
              </w:tc>
              <w:tc>
                <w:tcPr>
                  <w:tcW w:w="1584" w:type="dxa"/>
                  <w:vAlign w:val="center"/>
                </w:tcPr>
                <w:p>
                  <w:pPr>
                    <w:autoSpaceDE w:val="0"/>
                    <w:autoSpaceDN w:val="0"/>
                    <w:adjustRightInd w:val="0"/>
                    <w:spacing w:line="340" w:lineRule="exact"/>
                    <w:jc w:val="left"/>
                    <w:rPr>
                      <w:szCs w:val="21"/>
                    </w:rPr>
                  </w:pPr>
                  <w:r>
                    <w:rPr>
                      <w:rFonts w:hint="eastAsia"/>
                      <w:szCs w:val="21"/>
                    </w:rPr>
                    <w:t>原料密度板、压合机加工、砂光、滚涂、丝印、检验、包装。</w:t>
                  </w:r>
                </w:p>
              </w:tc>
              <w:tc>
                <w:tcPr>
                  <w:tcW w:w="1941" w:type="dxa"/>
                  <w:vAlign w:val="center"/>
                </w:tcPr>
                <w:p>
                  <w:pPr>
                    <w:autoSpaceDE w:val="0"/>
                    <w:autoSpaceDN w:val="0"/>
                    <w:adjustRightInd w:val="0"/>
                    <w:spacing w:line="340" w:lineRule="exact"/>
                    <w:jc w:val="left"/>
                    <w:rPr>
                      <w:szCs w:val="21"/>
                    </w:rPr>
                  </w:pPr>
                  <w:r>
                    <w:rPr>
                      <w:rFonts w:hint="eastAsia"/>
                      <w:szCs w:val="21"/>
                    </w:rPr>
                    <w:t>原料密度板、压合机加工、砂光、UV滚涂、PU漆喷涂、晾干、</w:t>
                  </w:r>
                  <w:r>
                    <w:rPr>
                      <w:rFonts w:hint="eastAsia"/>
                      <w:szCs w:val="21"/>
                      <w:lang w:eastAsia="zh-CN"/>
                    </w:rPr>
                    <w:t>装配、</w:t>
                  </w:r>
                  <w:r>
                    <w:rPr>
                      <w:rFonts w:hint="eastAsia"/>
                      <w:szCs w:val="21"/>
                    </w:rPr>
                    <w:t>检验、包装。</w:t>
                  </w:r>
                </w:p>
              </w:tc>
              <w:tc>
                <w:tcPr>
                  <w:tcW w:w="1514" w:type="dxa"/>
                  <w:tcBorders>
                    <w:right w:val="nil"/>
                  </w:tcBorders>
                  <w:vAlign w:val="center"/>
                </w:tcPr>
                <w:p>
                  <w:pPr>
                    <w:autoSpaceDE w:val="0"/>
                    <w:autoSpaceDN w:val="0"/>
                    <w:adjustRightInd w:val="0"/>
                    <w:spacing w:line="340" w:lineRule="exact"/>
                    <w:jc w:val="left"/>
                    <w:rPr>
                      <w:rFonts w:hint="eastAsia"/>
                      <w:color w:val="0000FF"/>
                      <w:szCs w:val="21"/>
                    </w:rPr>
                  </w:pPr>
                  <w:r>
                    <w:rPr>
                      <w:rFonts w:hint="eastAsia"/>
                      <w:color w:val="0000FF"/>
                      <w:szCs w:val="21"/>
                      <w:lang w:val="en-US" w:eastAsia="zh-CN"/>
                    </w:rPr>
                    <w:t>UV漆不变，仍为滚涂，</w:t>
                  </w:r>
                  <w:r>
                    <w:rPr>
                      <w:rFonts w:hint="eastAsia"/>
                      <w:color w:val="0000FF"/>
                      <w:szCs w:val="21"/>
                    </w:rPr>
                    <w:t>PU漆变更为喷涂</w:t>
                  </w:r>
                  <w:r>
                    <w:rPr>
                      <w:rFonts w:hint="eastAsia"/>
                      <w:color w:val="0000FF"/>
                      <w:szCs w:val="21"/>
                      <w:lang w:eastAsia="zh-CN"/>
                    </w:rPr>
                    <w:t>，</w:t>
                  </w:r>
                  <w:r>
                    <w:rPr>
                      <w:rFonts w:hint="eastAsia"/>
                      <w:color w:val="0000FF"/>
                      <w:szCs w:val="21"/>
                    </w:rPr>
                    <w:t>丝印工序已取</w:t>
                  </w:r>
                </w:p>
                <w:p>
                  <w:pPr>
                    <w:autoSpaceDE w:val="0"/>
                    <w:autoSpaceDN w:val="0"/>
                    <w:adjustRightInd w:val="0"/>
                    <w:spacing w:line="340" w:lineRule="exact"/>
                    <w:jc w:val="left"/>
                    <w:rPr>
                      <w:rFonts w:hint="eastAsia" w:eastAsia="宋体"/>
                      <w:szCs w:val="21"/>
                      <w:lang w:eastAsia="zh-CN"/>
                    </w:rPr>
                  </w:pPr>
                  <w:r>
                    <w:rPr>
                      <w:rFonts w:hint="eastAsia"/>
                      <w:color w:val="0000FF"/>
                      <w:szCs w:val="21"/>
                    </w:rPr>
                    <w:t>消</w:t>
                  </w:r>
                  <w:r>
                    <w:rPr>
                      <w:rFonts w:hint="eastAsia"/>
                      <w:color w:val="0000FF"/>
                      <w:szCs w:val="21"/>
                      <w:lang w:eastAsia="zh-CN"/>
                    </w:rPr>
                    <w:t>；生产工艺改变导致污染物排放量增加10%以上。项目原料使用量增加，导致污染物排放量增加10%以上</w:t>
                  </w:r>
                </w:p>
              </w:tc>
              <w:tc>
                <w:tcPr>
                  <w:tcW w:w="519" w:type="dxa"/>
                  <w:tcBorders>
                    <w:right w:val="nil"/>
                  </w:tcBorders>
                  <w:vAlign w:val="center"/>
                </w:tcPr>
                <w:p>
                  <w:pPr>
                    <w:autoSpaceDE w:val="0"/>
                    <w:autoSpaceDN w:val="0"/>
                    <w:adjustRightInd w:val="0"/>
                    <w:spacing w:line="340" w:lineRule="exact"/>
                    <w:jc w:val="center"/>
                    <w:rPr>
                      <w:szCs w:val="21"/>
                    </w:rPr>
                  </w:pPr>
                  <w:r>
                    <w:rPr>
                      <w:color w:val="0000FF"/>
                      <w:szCs w:val="21"/>
                    </w:rPr>
                    <w:t>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vMerge w:val="restart"/>
                  <w:tcBorders>
                    <w:left w:val="nil"/>
                  </w:tcBorders>
                  <w:vAlign w:val="center"/>
                </w:tcPr>
                <w:p>
                  <w:pPr>
                    <w:autoSpaceDE w:val="0"/>
                    <w:autoSpaceDN w:val="0"/>
                    <w:adjustRightInd w:val="0"/>
                    <w:spacing w:line="340" w:lineRule="exact"/>
                    <w:jc w:val="center"/>
                    <w:rPr>
                      <w:szCs w:val="21"/>
                    </w:rPr>
                  </w:pPr>
                  <w:r>
                    <w:rPr>
                      <w:szCs w:val="21"/>
                    </w:rPr>
                    <w:t>5</w:t>
                  </w:r>
                </w:p>
              </w:tc>
              <w:tc>
                <w:tcPr>
                  <w:tcW w:w="581" w:type="dxa"/>
                  <w:vMerge w:val="restart"/>
                  <w:vAlign w:val="center"/>
                </w:tcPr>
                <w:p>
                  <w:pPr>
                    <w:autoSpaceDE w:val="0"/>
                    <w:autoSpaceDN w:val="0"/>
                    <w:adjustRightInd w:val="0"/>
                    <w:spacing w:line="340" w:lineRule="exact"/>
                    <w:jc w:val="center"/>
                    <w:rPr>
                      <w:szCs w:val="21"/>
                    </w:rPr>
                  </w:pPr>
                  <w:r>
                    <w:rPr>
                      <w:szCs w:val="21"/>
                    </w:rPr>
                    <w:t>污染治理措施</w:t>
                  </w:r>
                </w:p>
              </w:tc>
              <w:tc>
                <w:tcPr>
                  <w:tcW w:w="563" w:type="dxa"/>
                  <w:vAlign w:val="center"/>
                </w:tcPr>
                <w:p>
                  <w:pPr>
                    <w:autoSpaceDE w:val="0"/>
                    <w:autoSpaceDN w:val="0"/>
                    <w:adjustRightInd w:val="0"/>
                    <w:spacing w:line="340" w:lineRule="exact"/>
                    <w:jc w:val="center"/>
                    <w:rPr>
                      <w:szCs w:val="21"/>
                    </w:rPr>
                  </w:pPr>
                  <w:r>
                    <w:rPr>
                      <w:rFonts w:hint="eastAsia"/>
                      <w:szCs w:val="21"/>
                    </w:rPr>
                    <w:t>废气</w:t>
                  </w:r>
                </w:p>
              </w:tc>
              <w:tc>
                <w:tcPr>
                  <w:tcW w:w="1584" w:type="dxa"/>
                  <w:vAlign w:val="center"/>
                </w:tcPr>
                <w:p>
                  <w:pPr>
                    <w:autoSpaceDE w:val="0"/>
                    <w:autoSpaceDN w:val="0"/>
                    <w:adjustRightInd w:val="0"/>
                    <w:spacing w:line="340" w:lineRule="exact"/>
                    <w:jc w:val="left"/>
                    <w:rPr>
                      <w:szCs w:val="21"/>
                    </w:rPr>
                  </w:pPr>
                  <w:r>
                    <w:rPr>
                      <w:rFonts w:hint="eastAsia"/>
                      <w:szCs w:val="21"/>
                    </w:rPr>
                    <w:t>①压合工序、UV滚涂工序、丝印工序产生的有机废气采用活性炭吸附装置吸附经1根15m高的排气筒（1#排气筒）排放；</w:t>
                  </w:r>
                </w:p>
                <w:p>
                  <w:pPr>
                    <w:autoSpaceDE w:val="0"/>
                    <w:autoSpaceDN w:val="0"/>
                    <w:adjustRightInd w:val="0"/>
                    <w:spacing w:line="340" w:lineRule="exact"/>
                    <w:jc w:val="left"/>
                    <w:rPr>
                      <w:szCs w:val="21"/>
                    </w:rPr>
                  </w:pPr>
                  <w:r>
                    <w:rPr>
                      <w:rFonts w:hint="eastAsia"/>
                      <w:szCs w:val="21"/>
                    </w:rPr>
                    <w:t>②本项目开料、机加工过程中会产生一定量的粉尘</w:t>
                  </w:r>
                  <w:r>
                    <w:rPr>
                      <w:rFonts w:hint="eastAsia"/>
                      <w:szCs w:val="21"/>
                      <w:lang w:eastAsia="zh-CN"/>
                    </w:rPr>
                    <w:t>，</w:t>
                  </w:r>
                  <w:r>
                    <w:rPr>
                      <w:rFonts w:hint="eastAsia"/>
                      <w:szCs w:val="21"/>
                    </w:rPr>
                    <w:t>经设置集气罩+</w:t>
                  </w:r>
                  <w:r>
                    <w:rPr>
                      <w:rFonts w:hint="eastAsia"/>
                    </w:rPr>
                    <w:fldChar w:fldCharType="begin"/>
                  </w:r>
                  <w:r>
                    <w:instrText xml:space="preserve"> HYPERLINK "https://baike.baidu.com/item/%E4%B8%AD%E5%A4%AE%E9%99%A4%E5%B0%98%E7%B3%BB%E7%BB%9F/5863157" \t "_blank" </w:instrText>
                  </w:r>
                  <w:r>
                    <w:rPr>
                      <w:rFonts w:hint="eastAsia"/>
                    </w:rPr>
                    <w:fldChar w:fldCharType="separate"/>
                  </w:r>
                  <w:r>
                    <w:rPr>
                      <w:rFonts w:hint="eastAsia"/>
                      <w:szCs w:val="21"/>
                    </w:rPr>
                    <w:t>中央除尘系统</w:t>
                  </w:r>
                  <w:r>
                    <w:rPr>
                      <w:rFonts w:hint="eastAsia"/>
                      <w:szCs w:val="21"/>
                    </w:rPr>
                    <w:fldChar w:fldCharType="end"/>
                  </w:r>
                  <w:r>
                    <w:rPr>
                      <w:rFonts w:hint="eastAsia"/>
                      <w:szCs w:val="21"/>
                    </w:rPr>
                    <w:t xml:space="preserve"> +一根15m高排气筒（2#排气筒）排放。</w:t>
                  </w:r>
                </w:p>
              </w:tc>
              <w:tc>
                <w:tcPr>
                  <w:tcW w:w="1941" w:type="dxa"/>
                  <w:vAlign w:val="center"/>
                </w:tcPr>
                <w:p>
                  <w:pPr>
                    <w:autoSpaceDE w:val="0"/>
                    <w:autoSpaceDN w:val="0"/>
                    <w:adjustRightInd w:val="0"/>
                    <w:spacing w:line="340" w:lineRule="exact"/>
                    <w:jc w:val="left"/>
                    <w:rPr>
                      <w:szCs w:val="21"/>
                    </w:rPr>
                  </w:pPr>
                  <w:r>
                    <w:rPr>
                      <w:rFonts w:hint="eastAsia"/>
                      <w:szCs w:val="21"/>
                    </w:rPr>
                    <w:t>①</w:t>
                  </w:r>
                  <w:r>
                    <w:rPr>
                      <w:szCs w:val="21"/>
                    </w:rPr>
                    <w:t>木工</w:t>
                  </w:r>
                  <w:r>
                    <w:rPr>
                      <w:rFonts w:hint="eastAsia"/>
                      <w:szCs w:val="21"/>
                    </w:rPr>
                    <w:t>机加工</w:t>
                  </w:r>
                  <w:r>
                    <w:rPr>
                      <w:szCs w:val="21"/>
                    </w:rPr>
                    <w:t>过程产生的粉尘</w:t>
                  </w:r>
                  <w:r>
                    <w:rPr>
                      <w:rFonts w:hint="eastAsia"/>
                      <w:szCs w:val="21"/>
                    </w:rPr>
                    <w:t>经</w:t>
                  </w:r>
                  <w:r>
                    <w:rPr>
                      <w:szCs w:val="21"/>
                    </w:rPr>
                    <w:t>中央集尘除尘器处理通过厂房顶部1根15m高排气筒</w:t>
                  </w:r>
                  <w:r>
                    <w:rPr>
                      <w:rFonts w:hint="eastAsia"/>
                      <w:szCs w:val="21"/>
                    </w:rPr>
                    <w:t>（DA001）</w:t>
                  </w:r>
                  <w:r>
                    <w:rPr>
                      <w:szCs w:val="21"/>
                    </w:rPr>
                    <w:t>排放</w:t>
                  </w:r>
                  <w:r>
                    <w:rPr>
                      <w:rFonts w:hint="eastAsia"/>
                      <w:szCs w:val="21"/>
                    </w:rPr>
                    <w:t>；</w:t>
                  </w:r>
                </w:p>
                <w:p>
                  <w:pPr>
                    <w:autoSpaceDE w:val="0"/>
                    <w:autoSpaceDN w:val="0"/>
                    <w:adjustRightInd w:val="0"/>
                    <w:spacing w:line="340" w:lineRule="exact"/>
                    <w:jc w:val="left"/>
                    <w:rPr>
                      <w:szCs w:val="21"/>
                    </w:rPr>
                  </w:pPr>
                  <w:r>
                    <w:rPr>
                      <w:rFonts w:hint="eastAsia"/>
                      <w:szCs w:val="21"/>
                    </w:rPr>
                    <w:t>②3个喷漆房</w:t>
                  </w:r>
                  <w:r>
                    <w:rPr>
                      <w:szCs w:val="21"/>
                    </w:rPr>
                    <w:t>排出的有机废气</w:t>
                  </w:r>
                  <w:r>
                    <w:rPr>
                      <w:rFonts w:hint="eastAsia"/>
                      <w:szCs w:val="21"/>
                    </w:rPr>
                    <w:t>分别</w:t>
                  </w:r>
                  <w:r>
                    <w:rPr>
                      <w:szCs w:val="21"/>
                    </w:rPr>
                    <w:t>进入</w:t>
                  </w:r>
                  <w:r>
                    <w:rPr>
                      <w:rFonts w:hint="eastAsia"/>
                      <w:szCs w:val="21"/>
                    </w:rPr>
                    <w:t>3套</w:t>
                  </w:r>
                  <w:r>
                    <w:rPr>
                      <w:szCs w:val="21"/>
                    </w:rPr>
                    <w:t>水帘柜+</w:t>
                  </w:r>
                  <w:r>
                    <w:rPr>
                      <w:rFonts w:hint="eastAsia"/>
                      <w:szCs w:val="21"/>
                    </w:rPr>
                    <w:t>二级</w:t>
                  </w:r>
                  <w:r>
                    <w:rPr>
                      <w:szCs w:val="21"/>
                    </w:rPr>
                    <w:t>活性炭吸附装置</w:t>
                  </w:r>
                  <w:r>
                    <w:rPr>
                      <w:rFonts w:hint="eastAsia"/>
                      <w:szCs w:val="21"/>
                    </w:rPr>
                    <w:t>+15m高排气筒（DA002~DA004）排放；</w:t>
                  </w:r>
                </w:p>
                <w:p>
                  <w:pPr>
                    <w:autoSpaceDE w:val="0"/>
                    <w:autoSpaceDN w:val="0"/>
                    <w:adjustRightInd w:val="0"/>
                    <w:spacing w:line="340" w:lineRule="exact"/>
                    <w:jc w:val="left"/>
                    <w:rPr>
                      <w:szCs w:val="21"/>
                    </w:rPr>
                  </w:pPr>
                  <w:r>
                    <w:rPr>
                      <w:rFonts w:hint="eastAsia"/>
                      <w:szCs w:val="21"/>
                    </w:rPr>
                    <w:t>③</w:t>
                  </w:r>
                  <w:r>
                    <w:rPr>
                      <w:szCs w:val="21"/>
                    </w:rPr>
                    <w:t>木工</w:t>
                  </w:r>
                  <w:r>
                    <w:rPr>
                      <w:rFonts w:hint="eastAsia"/>
                      <w:szCs w:val="21"/>
                    </w:rPr>
                    <w:t>砂光</w:t>
                  </w:r>
                  <w:r>
                    <w:rPr>
                      <w:szCs w:val="21"/>
                    </w:rPr>
                    <w:t>过程产生的粉尘</w:t>
                  </w:r>
                  <w:r>
                    <w:rPr>
                      <w:rFonts w:hint="eastAsia"/>
                      <w:szCs w:val="21"/>
                    </w:rPr>
                    <w:t>经</w:t>
                  </w:r>
                  <w:r>
                    <w:rPr>
                      <w:szCs w:val="21"/>
                    </w:rPr>
                    <w:t>中央集尘器处理通过厂房顶部1根15m高排气筒</w:t>
                  </w:r>
                  <w:r>
                    <w:rPr>
                      <w:rFonts w:hint="eastAsia"/>
                      <w:szCs w:val="21"/>
                    </w:rPr>
                    <w:t>（DA005）</w:t>
                  </w:r>
                  <w:r>
                    <w:rPr>
                      <w:szCs w:val="21"/>
                    </w:rPr>
                    <w:t>排放</w:t>
                  </w:r>
                  <w:r>
                    <w:rPr>
                      <w:rFonts w:hint="eastAsia"/>
                      <w:szCs w:val="21"/>
                    </w:rPr>
                    <w:t>。</w:t>
                  </w:r>
                </w:p>
              </w:tc>
              <w:tc>
                <w:tcPr>
                  <w:tcW w:w="1514" w:type="dxa"/>
                  <w:tcBorders>
                    <w:right w:val="nil"/>
                  </w:tcBorders>
                  <w:vAlign w:val="center"/>
                </w:tcPr>
                <w:p>
                  <w:pPr>
                    <w:autoSpaceDE w:val="0"/>
                    <w:autoSpaceDN w:val="0"/>
                    <w:adjustRightInd w:val="0"/>
                    <w:spacing w:line="340" w:lineRule="exact"/>
                    <w:jc w:val="center"/>
                    <w:rPr>
                      <w:rFonts w:hint="eastAsia" w:eastAsia="宋体"/>
                      <w:color w:val="0000FF"/>
                      <w:szCs w:val="21"/>
                      <w:lang w:eastAsia="zh-CN"/>
                    </w:rPr>
                  </w:pPr>
                  <w:r>
                    <w:rPr>
                      <w:rFonts w:hint="eastAsia"/>
                      <w:color w:val="0000FF"/>
                      <w:szCs w:val="21"/>
                    </w:rPr>
                    <w:t>污染防治措施变化</w:t>
                  </w:r>
                  <w:r>
                    <w:rPr>
                      <w:rFonts w:hint="eastAsia"/>
                      <w:color w:val="0000FF"/>
                      <w:szCs w:val="21"/>
                      <w:lang w:eastAsia="zh-CN"/>
                    </w:rPr>
                    <w:t>，导致大气污染物有组织与无组织排放量均增加10%以上</w:t>
                  </w:r>
                </w:p>
              </w:tc>
              <w:tc>
                <w:tcPr>
                  <w:tcW w:w="519" w:type="dxa"/>
                  <w:tcBorders>
                    <w:right w:val="nil"/>
                  </w:tcBorders>
                  <w:vAlign w:val="center"/>
                </w:tcPr>
                <w:p>
                  <w:pPr>
                    <w:autoSpaceDE w:val="0"/>
                    <w:autoSpaceDN w:val="0"/>
                    <w:adjustRightInd w:val="0"/>
                    <w:spacing w:line="340" w:lineRule="exact"/>
                    <w:jc w:val="center"/>
                    <w:rPr>
                      <w:color w:val="0000FF"/>
                      <w:szCs w:val="21"/>
                    </w:rPr>
                  </w:pPr>
                  <w:r>
                    <w:rPr>
                      <w:color w:val="0000FF"/>
                      <w:szCs w:val="21"/>
                    </w:rPr>
                    <w:t>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vMerge w:val="continue"/>
                  <w:tcBorders>
                    <w:left w:val="nil"/>
                  </w:tcBorders>
                  <w:vAlign w:val="center"/>
                </w:tcPr>
                <w:p>
                  <w:pPr>
                    <w:autoSpaceDE w:val="0"/>
                    <w:autoSpaceDN w:val="0"/>
                    <w:adjustRightInd w:val="0"/>
                    <w:spacing w:line="340" w:lineRule="exact"/>
                    <w:jc w:val="center"/>
                    <w:rPr>
                      <w:color w:val="FF0000"/>
                      <w:szCs w:val="21"/>
                    </w:rPr>
                  </w:pPr>
                  <w:r>
                    <w:rPr>
                      <w:rFonts w:hint="eastAsia"/>
                      <w:color w:val="FF0000"/>
                      <w:szCs w:val="21"/>
                    </w:rPr>
                    <w:t>，新增打磨</w:t>
                  </w:r>
                </w:p>
              </w:tc>
              <w:tc>
                <w:tcPr>
                  <w:tcW w:w="581" w:type="dxa"/>
                  <w:vMerge w:val="continue"/>
                  <w:vAlign w:val="center"/>
                </w:tcPr>
                <w:p>
                  <w:pPr>
                    <w:autoSpaceDE w:val="0"/>
                    <w:autoSpaceDN w:val="0"/>
                    <w:adjustRightInd w:val="0"/>
                    <w:spacing w:line="340" w:lineRule="exact"/>
                    <w:jc w:val="center"/>
                    <w:rPr>
                      <w:szCs w:val="21"/>
                    </w:rPr>
                  </w:pPr>
                </w:p>
              </w:tc>
              <w:tc>
                <w:tcPr>
                  <w:tcW w:w="563" w:type="dxa"/>
                  <w:vAlign w:val="center"/>
                </w:tcPr>
                <w:p>
                  <w:pPr>
                    <w:autoSpaceDE w:val="0"/>
                    <w:autoSpaceDN w:val="0"/>
                    <w:adjustRightInd w:val="0"/>
                    <w:spacing w:line="340" w:lineRule="exact"/>
                    <w:jc w:val="center"/>
                    <w:rPr>
                      <w:szCs w:val="21"/>
                    </w:rPr>
                  </w:pPr>
                  <w:r>
                    <w:rPr>
                      <w:rFonts w:hint="eastAsia"/>
                      <w:szCs w:val="21"/>
                    </w:rPr>
                    <w:t>生活污水</w:t>
                  </w:r>
                </w:p>
              </w:tc>
              <w:tc>
                <w:tcPr>
                  <w:tcW w:w="1584" w:type="dxa"/>
                  <w:vAlign w:val="center"/>
                </w:tcPr>
                <w:p>
                  <w:pPr>
                    <w:autoSpaceDE w:val="0"/>
                    <w:autoSpaceDN w:val="0"/>
                    <w:adjustRightInd w:val="0"/>
                    <w:spacing w:line="340" w:lineRule="exact"/>
                    <w:jc w:val="left"/>
                    <w:rPr>
                      <w:szCs w:val="21"/>
                    </w:rPr>
                  </w:pPr>
                  <w:r>
                    <w:rPr>
                      <w:rFonts w:hint="eastAsia"/>
                      <w:szCs w:val="21"/>
                    </w:rPr>
                    <w:t>经化粪池处理后接入园区管网。</w:t>
                  </w:r>
                </w:p>
              </w:tc>
              <w:tc>
                <w:tcPr>
                  <w:tcW w:w="1941" w:type="dxa"/>
                  <w:vAlign w:val="center"/>
                </w:tcPr>
                <w:p>
                  <w:pPr>
                    <w:autoSpaceDE w:val="0"/>
                    <w:autoSpaceDN w:val="0"/>
                    <w:adjustRightInd w:val="0"/>
                    <w:spacing w:line="340" w:lineRule="exact"/>
                    <w:jc w:val="left"/>
                    <w:rPr>
                      <w:szCs w:val="21"/>
                    </w:rPr>
                  </w:pPr>
                  <w:r>
                    <w:rPr>
                      <w:rFonts w:hint="eastAsia"/>
                      <w:szCs w:val="21"/>
                    </w:rPr>
                    <w:t>经化粪池处理后接入园区管网</w:t>
                  </w:r>
                </w:p>
              </w:tc>
              <w:tc>
                <w:tcPr>
                  <w:tcW w:w="1514" w:type="dxa"/>
                  <w:tcBorders>
                    <w:right w:val="nil"/>
                  </w:tcBorders>
                  <w:vAlign w:val="center"/>
                </w:tcPr>
                <w:p>
                  <w:pPr>
                    <w:autoSpaceDE w:val="0"/>
                    <w:autoSpaceDN w:val="0"/>
                    <w:adjustRightInd w:val="0"/>
                    <w:spacing w:line="340" w:lineRule="exact"/>
                    <w:jc w:val="center"/>
                    <w:rPr>
                      <w:szCs w:val="21"/>
                    </w:rPr>
                  </w:pPr>
                  <w:r>
                    <w:rPr>
                      <w:rFonts w:hint="eastAsia"/>
                      <w:szCs w:val="21"/>
                    </w:rPr>
                    <w:t>无变化</w:t>
                  </w:r>
                </w:p>
              </w:tc>
              <w:tc>
                <w:tcPr>
                  <w:tcW w:w="519" w:type="dxa"/>
                  <w:tcBorders>
                    <w:right w:val="nil"/>
                  </w:tcBorders>
                  <w:vAlign w:val="center"/>
                </w:tcPr>
                <w:p>
                  <w:pPr>
                    <w:autoSpaceDE w:val="0"/>
                    <w:autoSpaceDN w:val="0"/>
                    <w:adjustRightInd w:val="0"/>
                    <w:spacing w:line="340" w:lineRule="exact"/>
                    <w:jc w:val="center"/>
                    <w:rPr>
                      <w:szCs w:val="21"/>
                    </w:rPr>
                  </w:pPr>
                  <w:r>
                    <w:rPr>
                      <w:rFonts w:hint="eastAsia"/>
                      <w:szCs w:val="21"/>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211" w:type="dxa"/>
                  <w:vMerge w:val="continue"/>
                  <w:tcBorders>
                    <w:left w:val="nil"/>
                    <w:bottom w:val="single" w:color="auto" w:sz="12" w:space="0"/>
                  </w:tcBorders>
                  <w:vAlign w:val="center"/>
                </w:tcPr>
                <w:p>
                  <w:pPr>
                    <w:autoSpaceDE w:val="0"/>
                    <w:autoSpaceDN w:val="0"/>
                    <w:adjustRightInd w:val="0"/>
                    <w:spacing w:line="340" w:lineRule="exact"/>
                    <w:jc w:val="center"/>
                    <w:rPr>
                      <w:color w:val="FF0000"/>
                      <w:szCs w:val="21"/>
                    </w:rPr>
                  </w:pPr>
                </w:p>
              </w:tc>
              <w:tc>
                <w:tcPr>
                  <w:tcW w:w="581" w:type="dxa"/>
                  <w:vMerge w:val="continue"/>
                  <w:tcBorders>
                    <w:bottom w:val="single" w:color="auto" w:sz="12" w:space="0"/>
                  </w:tcBorders>
                  <w:vAlign w:val="center"/>
                </w:tcPr>
                <w:p>
                  <w:pPr>
                    <w:autoSpaceDE w:val="0"/>
                    <w:autoSpaceDN w:val="0"/>
                    <w:adjustRightInd w:val="0"/>
                    <w:spacing w:line="340" w:lineRule="exact"/>
                    <w:jc w:val="center"/>
                    <w:rPr>
                      <w:szCs w:val="21"/>
                    </w:rPr>
                  </w:pPr>
                </w:p>
              </w:tc>
              <w:tc>
                <w:tcPr>
                  <w:tcW w:w="563" w:type="dxa"/>
                  <w:tcBorders>
                    <w:bottom w:val="single" w:color="auto" w:sz="12" w:space="0"/>
                  </w:tcBorders>
                  <w:vAlign w:val="center"/>
                </w:tcPr>
                <w:p>
                  <w:pPr>
                    <w:autoSpaceDE w:val="0"/>
                    <w:autoSpaceDN w:val="0"/>
                    <w:adjustRightInd w:val="0"/>
                    <w:spacing w:line="340" w:lineRule="exact"/>
                    <w:jc w:val="center"/>
                    <w:rPr>
                      <w:szCs w:val="21"/>
                    </w:rPr>
                  </w:pPr>
                  <w:r>
                    <w:rPr>
                      <w:rFonts w:hint="eastAsia"/>
                      <w:szCs w:val="21"/>
                    </w:rPr>
                    <w:t>固废</w:t>
                  </w:r>
                </w:p>
              </w:tc>
              <w:tc>
                <w:tcPr>
                  <w:tcW w:w="1584" w:type="dxa"/>
                  <w:tcBorders>
                    <w:bottom w:val="single" w:color="auto" w:sz="12" w:space="0"/>
                  </w:tcBorders>
                  <w:vAlign w:val="center"/>
                </w:tcPr>
                <w:p>
                  <w:pPr>
                    <w:autoSpaceDE w:val="0"/>
                    <w:autoSpaceDN w:val="0"/>
                    <w:adjustRightInd w:val="0"/>
                    <w:spacing w:line="340" w:lineRule="exact"/>
                    <w:jc w:val="left"/>
                    <w:rPr>
                      <w:szCs w:val="21"/>
                    </w:rPr>
                  </w:pPr>
                  <w:r>
                    <w:rPr>
                      <w:szCs w:val="21"/>
                    </w:rPr>
                    <w:t>边角料</w:t>
                  </w:r>
                  <w:r>
                    <w:rPr>
                      <w:rFonts w:hint="eastAsia"/>
                      <w:szCs w:val="21"/>
                    </w:rPr>
                    <w:t>、收集的</w:t>
                  </w:r>
                  <w:r>
                    <w:rPr>
                      <w:szCs w:val="21"/>
                    </w:rPr>
                    <w:t>粉尘</w:t>
                  </w:r>
                  <w:r>
                    <w:rPr>
                      <w:rFonts w:hint="eastAsia"/>
                      <w:szCs w:val="21"/>
                    </w:rPr>
                    <w:t>、</w:t>
                  </w:r>
                  <w:r>
                    <w:rPr>
                      <w:szCs w:val="21"/>
                    </w:rPr>
                    <w:t>废包装材料</w:t>
                  </w:r>
                  <w:r>
                    <w:rPr>
                      <w:rFonts w:hint="eastAsia"/>
                      <w:szCs w:val="21"/>
                    </w:rPr>
                    <w:t>、</w:t>
                  </w:r>
                  <w:r>
                    <w:rPr>
                      <w:szCs w:val="21"/>
                    </w:rPr>
                    <w:t>废活性炭</w:t>
                  </w:r>
                  <w:r>
                    <w:rPr>
                      <w:rFonts w:hint="eastAsia"/>
                      <w:szCs w:val="21"/>
                    </w:rPr>
                    <w:t>、废网版</w:t>
                  </w:r>
                </w:p>
              </w:tc>
              <w:tc>
                <w:tcPr>
                  <w:tcW w:w="1941" w:type="dxa"/>
                  <w:tcBorders>
                    <w:bottom w:val="single" w:color="auto" w:sz="12" w:space="0"/>
                  </w:tcBorders>
                  <w:vAlign w:val="center"/>
                </w:tcPr>
                <w:p>
                  <w:pPr>
                    <w:autoSpaceDE w:val="0"/>
                    <w:autoSpaceDN w:val="0"/>
                    <w:adjustRightInd w:val="0"/>
                    <w:spacing w:line="340" w:lineRule="exact"/>
                    <w:jc w:val="left"/>
                    <w:rPr>
                      <w:szCs w:val="21"/>
                    </w:rPr>
                  </w:pPr>
                  <w:r>
                    <w:rPr>
                      <w:szCs w:val="21"/>
                    </w:rPr>
                    <w:t>边角料</w:t>
                  </w:r>
                  <w:r>
                    <w:rPr>
                      <w:rFonts w:hint="eastAsia"/>
                      <w:szCs w:val="21"/>
                    </w:rPr>
                    <w:t>、收集的</w:t>
                  </w:r>
                  <w:r>
                    <w:rPr>
                      <w:szCs w:val="21"/>
                    </w:rPr>
                    <w:t>粉尘</w:t>
                  </w:r>
                  <w:r>
                    <w:rPr>
                      <w:rFonts w:hint="eastAsia"/>
                      <w:szCs w:val="21"/>
                    </w:rPr>
                    <w:t>等一般固废，水帘柜喷淋用水更换液、漆渣和除尘沉渣、废活性炭、废油漆桶、废抹布、喷枪清洗涂料渣。</w:t>
                  </w:r>
                </w:p>
              </w:tc>
              <w:tc>
                <w:tcPr>
                  <w:tcW w:w="1514" w:type="dxa"/>
                  <w:tcBorders>
                    <w:bottom w:val="single" w:color="auto" w:sz="12" w:space="0"/>
                    <w:right w:val="nil"/>
                  </w:tcBorders>
                  <w:vAlign w:val="center"/>
                </w:tcPr>
                <w:p>
                  <w:pPr>
                    <w:autoSpaceDE w:val="0"/>
                    <w:autoSpaceDN w:val="0"/>
                    <w:adjustRightInd w:val="0"/>
                    <w:spacing w:line="340" w:lineRule="exact"/>
                    <w:jc w:val="left"/>
                    <w:rPr>
                      <w:szCs w:val="21"/>
                    </w:rPr>
                  </w:pPr>
                  <w:r>
                    <w:rPr>
                      <w:rFonts w:hint="eastAsia"/>
                      <w:szCs w:val="21"/>
                    </w:rPr>
                    <w:t>新增水帘柜喷淋用水更换液、漆渣和除尘沉渣、废油漆桶、废抹布、喷枪清洗涂料渣。</w:t>
                  </w:r>
                </w:p>
              </w:tc>
              <w:tc>
                <w:tcPr>
                  <w:tcW w:w="519" w:type="dxa"/>
                  <w:tcBorders>
                    <w:bottom w:val="single" w:color="auto" w:sz="12" w:space="0"/>
                    <w:right w:val="nil"/>
                  </w:tcBorders>
                  <w:vAlign w:val="center"/>
                </w:tcPr>
                <w:p>
                  <w:pPr>
                    <w:autoSpaceDE w:val="0"/>
                    <w:autoSpaceDN w:val="0"/>
                    <w:adjustRightInd w:val="0"/>
                    <w:spacing w:line="340" w:lineRule="exact"/>
                    <w:jc w:val="center"/>
                    <w:rPr>
                      <w:rFonts w:hint="eastAsia" w:eastAsia="宋体"/>
                      <w:szCs w:val="21"/>
                      <w:lang w:eastAsia="zh-CN"/>
                    </w:rPr>
                  </w:pPr>
                  <w:r>
                    <w:rPr>
                      <w:rFonts w:hint="eastAsia"/>
                      <w:szCs w:val="21"/>
                      <w:lang w:val="en-US" w:eastAsia="zh-CN"/>
                    </w:rPr>
                    <w:t>/</w:t>
                  </w:r>
                </w:p>
              </w:tc>
            </w:tr>
          </w:tbl>
          <w:p>
            <w:pPr>
              <w:spacing w:line="360" w:lineRule="auto"/>
              <w:ind w:firstLine="480" w:firstLineChars="200"/>
              <w:rPr>
                <w:color w:val="0000FF"/>
                <w:sz w:val="24"/>
              </w:rPr>
            </w:pPr>
            <w:r>
              <w:rPr>
                <w:color w:val="0000FF"/>
                <w:sz w:val="24"/>
                <w:szCs w:val="22"/>
              </w:rPr>
              <w:t>依据表2-1可知，本项目属于重大变动项目。</w:t>
            </w:r>
          </w:p>
          <w:p>
            <w:pPr>
              <w:spacing w:line="360" w:lineRule="auto"/>
              <w:ind w:firstLine="482" w:firstLineChars="200"/>
              <w:rPr>
                <w:b/>
                <w:bCs/>
                <w:sz w:val="24"/>
              </w:rPr>
            </w:pPr>
            <w:r>
              <w:rPr>
                <w:b/>
                <w:bCs/>
                <w:sz w:val="24"/>
              </w:rPr>
              <w:t>1、项目建</w:t>
            </w:r>
            <w:r>
              <w:rPr>
                <w:rFonts w:hint="eastAsia"/>
                <w:b/>
                <w:bCs/>
                <w:sz w:val="24"/>
              </w:rPr>
              <w:t>设位置</w:t>
            </w:r>
          </w:p>
          <w:p>
            <w:pPr>
              <w:spacing w:line="360" w:lineRule="auto"/>
              <w:ind w:firstLine="480" w:firstLineChars="200"/>
              <w:rPr>
                <w:color w:val="FF0000"/>
                <w:sz w:val="24"/>
              </w:rPr>
            </w:pPr>
            <w:r>
              <w:rPr>
                <w:rFonts w:hint="eastAsia"/>
                <w:bCs/>
                <w:smallCaps/>
                <w:kern w:val="0"/>
                <w:sz w:val="24"/>
              </w:rPr>
              <w:t>项目位于</w:t>
            </w:r>
            <w:r>
              <w:rPr>
                <w:rFonts w:hint="eastAsia"/>
                <w:bCs/>
                <w:spacing w:val="-10"/>
                <w:kern w:val="0"/>
                <w:sz w:val="24"/>
                <w:szCs w:val="20"/>
              </w:rPr>
              <w:t>江西余干高新技术产业园区内（余干黄金埠园区）</w:t>
            </w:r>
            <w:r>
              <w:rPr>
                <w:sz w:val="24"/>
              </w:rPr>
              <w:t>，地理坐标为</w:t>
            </w:r>
            <w:r>
              <w:rPr>
                <w:rFonts w:hint="eastAsia"/>
                <w:bCs/>
                <w:spacing w:val="-10"/>
                <w:kern w:val="0"/>
                <w:sz w:val="24"/>
                <w:szCs w:val="20"/>
              </w:rPr>
              <w:t>N28°28′1.629″，E116°49′55.966″</w:t>
            </w:r>
            <w:r>
              <w:rPr>
                <w:bCs/>
                <w:sz w:val="24"/>
              </w:rPr>
              <w:t>。</w:t>
            </w:r>
            <w:r>
              <w:rPr>
                <w:rFonts w:hint="eastAsia"/>
                <w:bCs/>
                <w:smallCaps/>
                <w:kern w:val="0"/>
                <w:sz w:val="24"/>
              </w:rPr>
              <w:t>项目东面为余干县伯爵仕智能科技有限公司，南面为金电大道，西面为林地，北面为</w:t>
            </w:r>
            <w:r>
              <w:rPr>
                <w:rFonts w:hint="eastAsia" w:ascii="宋体" w:hAnsi="宋体" w:cs="宋体"/>
                <w:sz w:val="24"/>
              </w:rPr>
              <w:t>余干县乐泰五金有限公司，本项目最近的敏感点为东南侧57m居民房（临马路居民房）</w:t>
            </w:r>
            <w:r>
              <w:rPr>
                <w:rFonts w:hint="eastAsia"/>
                <w:bCs/>
                <w:smallCaps/>
                <w:kern w:val="0"/>
                <w:sz w:val="24"/>
              </w:rPr>
              <w:t>。</w:t>
            </w:r>
            <w:r>
              <w:rPr>
                <w:kern w:val="0"/>
                <w:sz w:val="24"/>
              </w:rPr>
              <w:t>项目周边环境详见图</w:t>
            </w:r>
            <w:r>
              <w:rPr>
                <w:rFonts w:hint="eastAsia"/>
                <w:kern w:val="0"/>
                <w:sz w:val="24"/>
              </w:rPr>
              <w:t>2</w:t>
            </w:r>
            <w:r>
              <w:rPr>
                <w:kern w:val="0"/>
                <w:sz w:val="24"/>
              </w:rPr>
              <w:t>-1~图</w:t>
            </w:r>
            <w:r>
              <w:rPr>
                <w:rFonts w:hint="eastAsia"/>
                <w:kern w:val="0"/>
                <w:sz w:val="24"/>
              </w:rPr>
              <w:t>2</w:t>
            </w:r>
            <w:r>
              <w:rPr>
                <w:kern w:val="0"/>
                <w:sz w:val="24"/>
              </w:rPr>
              <w:t>-4</w:t>
            </w:r>
            <w:r>
              <w:rPr>
                <w:sz w:val="24"/>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6"/>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1" w:type="dxa"/>
                  <w:vAlign w:val="center"/>
                </w:tcPr>
                <w:p>
                  <w:pPr>
                    <w:adjustRightInd w:val="0"/>
                    <w:snapToGrid w:val="0"/>
                    <w:spacing w:before="120" w:beforeLines="50"/>
                    <w:jc w:val="center"/>
                    <w:rPr>
                      <w:rFonts w:ascii="宋体" w:hAnsi="宋体" w:cs="宋体"/>
                      <w:bCs/>
                      <w:color w:val="FF0000"/>
                      <w:szCs w:val="21"/>
                    </w:rPr>
                  </w:pPr>
                  <w:r>
                    <w:rPr>
                      <w:rFonts w:eastAsia="黑体"/>
                      <w:sz w:val="24"/>
                    </w:rPr>
                    <w:drawing>
                      <wp:inline distT="0" distB="0" distL="114300" distR="114300">
                        <wp:extent cx="2417445" cy="1918335"/>
                        <wp:effectExtent l="0" t="0" r="1905" b="5715"/>
                        <wp:docPr id="17" name="图片 17" descr="IMG2023062611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20230626112624"/>
                                <pic:cNvPicPr>
                                  <a:picLocks noChangeAspect="1"/>
                                </pic:cNvPicPr>
                              </pic:nvPicPr>
                              <pic:blipFill>
                                <a:blip r:embed="rId10"/>
                                <a:srcRect t="26424" r="1460" b="21557"/>
                                <a:stretch>
                                  <a:fillRect/>
                                </a:stretch>
                              </pic:blipFill>
                              <pic:spPr>
                                <a:xfrm>
                                  <a:off x="0" y="0"/>
                                  <a:ext cx="2417445" cy="1918335"/>
                                </a:xfrm>
                                <a:prstGeom prst="rect">
                                  <a:avLst/>
                                </a:prstGeom>
                              </pic:spPr>
                            </pic:pic>
                          </a:graphicData>
                        </a:graphic>
                      </wp:inline>
                    </w:drawing>
                  </w:r>
                  <w:r>
                    <w:rPr>
                      <w:rFonts w:eastAsia="黑体"/>
                      <w:sz w:val="24"/>
                    </w:rPr>
                    <w:t>图</w:t>
                  </w:r>
                  <w:r>
                    <w:rPr>
                      <w:rFonts w:hint="eastAsia" w:eastAsia="黑体"/>
                      <w:sz w:val="24"/>
                    </w:rPr>
                    <w:t>2</w:t>
                  </w:r>
                  <w:r>
                    <w:rPr>
                      <w:rFonts w:eastAsia="黑体"/>
                      <w:sz w:val="24"/>
                    </w:rPr>
                    <w:t>-1  项目东面</w:t>
                  </w:r>
                </w:p>
              </w:tc>
              <w:tc>
                <w:tcPr>
                  <w:tcW w:w="4002" w:type="dxa"/>
                  <w:vAlign w:val="center"/>
                </w:tcPr>
                <w:p>
                  <w:pPr>
                    <w:adjustRightInd w:val="0"/>
                    <w:snapToGrid w:val="0"/>
                    <w:spacing w:before="120" w:beforeLines="50"/>
                    <w:jc w:val="center"/>
                    <w:rPr>
                      <w:rFonts w:ascii="宋体" w:hAnsi="宋体" w:cs="宋体"/>
                      <w:bCs/>
                      <w:color w:val="FF0000"/>
                      <w:szCs w:val="21"/>
                    </w:rPr>
                  </w:pPr>
                  <w:r>
                    <w:rPr>
                      <w:rFonts w:hint="eastAsia" w:ascii="宋体" w:hAnsi="宋体" w:cs="宋体"/>
                      <w:bCs/>
                      <w:color w:val="FF0000"/>
                      <w:szCs w:val="21"/>
                    </w:rPr>
                    <w:drawing>
                      <wp:inline distT="0" distB="0" distL="114300" distR="114300">
                        <wp:extent cx="2344420" cy="1836420"/>
                        <wp:effectExtent l="0" t="0" r="5080" b="5080"/>
                        <wp:docPr id="12" name="图片 12" descr="IMG202306261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20230626112344"/>
                                <pic:cNvPicPr>
                                  <a:picLocks noChangeAspect="1"/>
                                </pic:cNvPicPr>
                              </pic:nvPicPr>
                              <pic:blipFill>
                                <a:blip r:embed="rId11"/>
                                <a:srcRect t="13256" r="1415" b="14818"/>
                                <a:stretch>
                                  <a:fillRect/>
                                </a:stretch>
                              </pic:blipFill>
                              <pic:spPr>
                                <a:xfrm>
                                  <a:off x="0" y="0"/>
                                  <a:ext cx="2344420" cy="1836420"/>
                                </a:xfrm>
                                <a:prstGeom prst="rect">
                                  <a:avLst/>
                                </a:prstGeom>
                              </pic:spPr>
                            </pic:pic>
                          </a:graphicData>
                        </a:graphic>
                      </wp:inline>
                    </w:drawing>
                  </w:r>
                </w:p>
                <w:p>
                  <w:pPr>
                    <w:adjustRightInd w:val="0"/>
                    <w:snapToGrid w:val="0"/>
                    <w:spacing w:before="120" w:beforeLines="50"/>
                    <w:jc w:val="center"/>
                    <w:rPr>
                      <w:rFonts w:ascii="宋体" w:hAnsi="宋体" w:cs="宋体"/>
                      <w:bCs/>
                      <w:color w:val="FF0000"/>
                      <w:szCs w:val="21"/>
                    </w:rPr>
                  </w:pPr>
                  <w:r>
                    <w:rPr>
                      <w:rFonts w:eastAsia="黑体"/>
                      <w:sz w:val="24"/>
                    </w:rPr>
                    <w:t>图</w:t>
                  </w:r>
                  <w:r>
                    <w:rPr>
                      <w:rFonts w:hint="eastAsia" w:eastAsia="黑体"/>
                      <w:sz w:val="24"/>
                    </w:rPr>
                    <w:t>2</w:t>
                  </w:r>
                  <w:r>
                    <w:rPr>
                      <w:rFonts w:eastAsia="黑体"/>
                      <w:sz w:val="24"/>
                    </w:rPr>
                    <w:t>-2  项目南面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1" w:type="dxa"/>
                  <w:vAlign w:val="center"/>
                </w:tcPr>
                <w:p>
                  <w:pPr>
                    <w:adjustRightInd w:val="0"/>
                    <w:snapToGrid w:val="0"/>
                    <w:spacing w:before="120" w:beforeLines="50"/>
                    <w:jc w:val="center"/>
                    <w:rPr>
                      <w:rFonts w:ascii="宋体" w:hAnsi="宋体" w:cs="宋体"/>
                      <w:bCs/>
                      <w:color w:val="FF0000"/>
                      <w:szCs w:val="21"/>
                    </w:rPr>
                  </w:pPr>
                  <w:r>
                    <w:rPr>
                      <w:rFonts w:hint="eastAsia" w:ascii="宋体" w:hAnsi="宋体" w:cs="宋体"/>
                      <w:bCs/>
                      <w:color w:val="FF0000"/>
                      <w:szCs w:val="21"/>
                    </w:rPr>
                    <w:drawing>
                      <wp:inline distT="0" distB="0" distL="114300" distR="114300">
                        <wp:extent cx="2355215" cy="1794510"/>
                        <wp:effectExtent l="0" t="0" r="6985" b="15240"/>
                        <wp:docPr id="7" name="图片 7" descr="IMG2023062611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20230626112150"/>
                                <pic:cNvPicPr>
                                  <a:picLocks noChangeAspect="1"/>
                                </pic:cNvPicPr>
                              </pic:nvPicPr>
                              <pic:blipFill>
                                <a:blip r:embed="rId12"/>
                                <a:srcRect r="961" b="21706"/>
                                <a:stretch>
                                  <a:fillRect/>
                                </a:stretch>
                              </pic:blipFill>
                              <pic:spPr>
                                <a:xfrm>
                                  <a:off x="0" y="0"/>
                                  <a:ext cx="2355215" cy="1794510"/>
                                </a:xfrm>
                                <a:prstGeom prst="rect">
                                  <a:avLst/>
                                </a:prstGeom>
                              </pic:spPr>
                            </pic:pic>
                          </a:graphicData>
                        </a:graphic>
                      </wp:inline>
                    </w:drawing>
                  </w:r>
                </w:p>
                <w:p>
                  <w:pPr>
                    <w:adjustRightInd w:val="0"/>
                    <w:snapToGrid w:val="0"/>
                    <w:spacing w:before="120" w:beforeLines="50"/>
                    <w:jc w:val="center"/>
                    <w:rPr>
                      <w:rFonts w:ascii="宋体" w:hAnsi="宋体" w:cs="宋体"/>
                      <w:bCs/>
                      <w:color w:val="FF0000"/>
                      <w:szCs w:val="21"/>
                    </w:rPr>
                  </w:pPr>
                  <w:r>
                    <w:rPr>
                      <w:rFonts w:eastAsia="黑体"/>
                      <w:sz w:val="24"/>
                    </w:rPr>
                    <w:t>图</w:t>
                  </w:r>
                  <w:r>
                    <w:rPr>
                      <w:rFonts w:hint="eastAsia" w:eastAsia="黑体"/>
                      <w:sz w:val="24"/>
                    </w:rPr>
                    <w:t>2</w:t>
                  </w:r>
                  <w:r>
                    <w:rPr>
                      <w:rFonts w:eastAsia="黑体"/>
                      <w:sz w:val="24"/>
                    </w:rPr>
                    <w:t>-3  项目西面</w:t>
                  </w:r>
                </w:p>
              </w:tc>
              <w:tc>
                <w:tcPr>
                  <w:tcW w:w="4002" w:type="dxa"/>
                  <w:vAlign w:val="center"/>
                </w:tcPr>
                <w:p>
                  <w:pPr>
                    <w:adjustRightInd w:val="0"/>
                    <w:snapToGrid w:val="0"/>
                    <w:spacing w:before="120" w:beforeLines="50"/>
                    <w:jc w:val="center"/>
                    <w:rPr>
                      <w:rFonts w:ascii="宋体" w:hAnsi="宋体" w:cs="宋体"/>
                      <w:bCs/>
                      <w:color w:val="FF0000"/>
                      <w:szCs w:val="21"/>
                    </w:rPr>
                  </w:pPr>
                  <w:r>
                    <w:rPr>
                      <w:rFonts w:hint="eastAsia" w:ascii="宋体" w:hAnsi="宋体" w:cs="宋体"/>
                      <w:bCs/>
                      <w:color w:val="FF0000"/>
                      <w:szCs w:val="21"/>
                    </w:rPr>
                    <w:drawing>
                      <wp:inline distT="0" distB="0" distL="114300" distR="114300">
                        <wp:extent cx="2356485" cy="1825625"/>
                        <wp:effectExtent l="0" t="0" r="5715" b="3175"/>
                        <wp:docPr id="13" name="图片 13" descr="IMG2023062611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20230626112539"/>
                                <pic:cNvPicPr>
                                  <a:picLocks noChangeAspect="1"/>
                                </pic:cNvPicPr>
                              </pic:nvPicPr>
                              <pic:blipFill>
                                <a:blip r:embed="rId13"/>
                                <a:srcRect r="908" b="26752"/>
                                <a:stretch>
                                  <a:fillRect/>
                                </a:stretch>
                              </pic:blipFill>
                              <pic:spPr>
                                <a:xfrm>
                                  <a:off x="0" y="0"/>
                                  <a:ext cx="2356485" cy="1825625"/>
                                </a:xfrm>
                                <a:prstGeom prst="rect">
                                  <a:avLst/>
                                </a:prstGeom>
                              </pic:spPr>
                            </pic:pic>
                          </a:graphicData>
                        </a:graphic>
                      </wp:inline>
                    </w:drawing>
                  </w:r>
                </w:p>
                <w:p>
                  <w:pPr>
                    <w:adjustRightInd w:val="0"/>
                    <w:snapToGrid w:val="0"/>
                    <w:spacing w:before="120" w:beforeLines="50"/>
                    <w:jc w:val="center"/>
                    <w:rPr>
                      <w:rFonts w:ascii="宋体" w:hAnsi="宋体" w:cs="宋体"/>
                      <w:bCs/>
                      <w:color w:val="FF0000"/>
                      <w:szCs w:val="21"/>
                    </w:rPr>
                  </w:pPr>
                  <w:r>
                    <w:rPr>
                      <w:rFonts w:eastAsia="黑体"/>
                      <w:sz w:val="24"/>
                    </w:rPr>
                    <w:t>图</w:t>
                  </w:r>
                  <w:r>
                    <w:rPr>
                      <w:rFonts w:hint="eastAsia" w:eastAsia="黑体"/>
                      <w:sz w:val="24"/>
                    </w:rPr>
                    <w:t>2</w:t>
                  </w:r>
                  <w:r>
                    <w:rPr>
                      <w:rFonts w:eastAsia="黑体"/>
                      <w:sz w:val="24"/>
                    </w:rPr>
                    <w:t>-4  项目北面</w:t>
                  </w:r>
                </w:p>
              </w:tc>
            </w:tr>
          </w:tbl>
          <w:p>
            <w:pPr>
              <w:spacing w:line="360" w:lineRule="auto"/>
              <w:ind w:firstLine="480" w:firstLineChars="200"/>
              <w:rPr>
                <w:sz w:val="24"/>
              </w:rPr>
            </w:pPr>
            <w:r>
              <w:rPr>
                <w:rFonts w:hint="eastAsia"/>
                <w:sz w:val="24"/>
              </w:rPr>
              <w:t>余干县豪士五金科技有限公司</w:t>
            </w:r>
            <w:r>
              <w:rPr>
                <w:rFonts w:eastAsiaTheme="minorEastAsia"/>
                <w:sz w:val="24"/>
              </w:rPr>
              <w:t>拟投资1</w:t>
            </w:r>
            <w:r>
              <w:rPr>
                <w:rFonts w:hint="eastAsia" w:eastAsiaTheme="minorEastAsia"/>
                <w:sz w:val="24"/>
              </w:rPr>
              <w:t>2</w:t>
            </w:r>
            <w:r>
              <w:rPr>
                <w:rFonts w:eastAsiaTheme="minorEastAsia"/>
                <w:sz w:val="24"/>
              </w:rPr>
              <w:t>00万元</w:t>
            </w:r>
            <w:r>
              <w:rPr>
                <w:rFonts w:hint="eastAsia" w:eastAsiaTheme="minorEastAsia"/>
                <w:sz w:val="24"/>
                <w:lang w:eastAsia="zh-CN"/>
              </w:rPr>
              <w:t>建设</w:t>
            </w:r>
            <w:r>
              <w:rPr>
                <w:rFonts w:hint="eastAsia"/>
                <w:sz w:val="24"/>
              </w:rPr>
              <w:t>年产10.96万套木质家具建设项目</w:t>
            </w:r>
            <w:r>
              <w:rPr>
                <w:rFonts w:eastAsiaTheme="minorEastAsia"/>
                <w:color w:val="000000" w:themeColor="text1"/>
                <w:sz w:val="24"/>
                <w14:textFill>
                  <w14:solidFill>
                    <w14:schemeClr w14:val="tx1"/>
                  </w14:solidFill>
                </w14:textFill>
              </w:rPr>
              <w:t>，</w:t>
            </w:r>
            <w:r>
              <w:rPr>
                <w:rFonts w:hint="eastAsia" w:eastAsiaTheme="minorEastAsia"/>
                <w:color w:val="000000" w:themeColor="text1"/>
                <w:sz w:val="24"/>
                <w:lang w:eastAsia="zh-CN"/>
                <w14:textFill>
                  <w14:solidFill>
                    <w14:schemeClr w14:val="tx1"/>
                  </w14:solidFill>
                </w14:textFill>
              </w:rPr>
              <w:t>项目</w:t>
            </w:r>
            <w:r>
              <w:rPr>
                <w:rFonts w:eastAsiaTheme="minorEastAsia"/>
                <w:color w:val="000000" w:themeColor="text1"/>
                <w:sz w:val="24"/>
                <w14:textFill>
                  <w14:solidFill>
                    <w14:schemeClr w14:val="tx1"/>
                  </w14:solidFill>
                </w14:textFill>
              </w:rPr>
              <w:t>总占地面积</w:t>
            </w:r>
            <w:r>
              <w:rPr>
                <w:rFonts w:hint="eastAsia" w:eastAsiaTheme="minorEastAsia"/>
                <w:color w:val="000000" w:themeColor="text1"/>
                <w:sz w:val="24"/>
                <w:lang w:eastAsia="zh-CN"/>
                <w14:textFill>
                  <w14:solidFill>
                    <w14:schemeClr w14:val="tx1"/>
                  </w14:solidFill>
                </w14:textFill>
              </w:rPr>
              <w:t>为</w:t>
            </w:r>
            <w:r>
              <w:rPr>
                <w:rFonts w:hint="eastAsia"/>
                <w:sz w:val="24"/>
              </w:rPr>
              <w:t>30406.82</w:t>
            </w:r>
            <w:r>
              <w:rPr>
                <w:rFonts w:eastAsiaTheme="minorEastAsia"/>
                <w:color w:val="000000" w:themeColor="text1"/>
                <w:sz w:val="24"/>
                <w14:textFill>
                  <w14:solidFill>
                    <w14:schemeClr w14:val="tx1"/>
                  </w14:solidFill>
                </w14:textFill>
              </w:rPr>
              <w:t>m</w:t>
            </w:r>
            <w:r>
              <w:rPr>
                <w:rFonts w:eastAsiaTheme="minorEastAsia"/>
                <w:color w:val="000000" w:themeColor="text1"/>
                <w:sz w:val="24"/>
                <w:vertAlign w:val="superscript"/>
                <w14:textFill>
                  <w14:solidFill>
                    <w14:schemeClr w14:val="tx1"/>
                  </w14:solidFill>
                </w14:textFill>
              </w:rPr>
              <w:t>2</w:t>
            </w:r>
            <w:r>
              <w:rPr>
                <w:rFonts w:eastAsiaTheme="minorEastAsia"/>
                <w:color w:val="000000" w:themeColor="text1"/>
                <w:sz w:val="24"/>
                <w14:textFill>
                  <w14:solidFill>
                    <w14:schemeClr w14:val="tx1"/>
                  </w14:solidFill>
                </w14:textFill>
              </w:rPr>
              <w:t>，</w:t>
            </w:r>
            <w:r>
              <w:rPr>
                <w:rFonts w:hint="eastAsia" w:eastAsiaTheme="minorEastAsia"/>
                <w:color w:val="000000" w:themeColor="text1"/>
                <w:sz w:val="24"/>
                <w:lang w:eastAsia="zh-CN"/>
                <w14:textFill>
                  <w14:solidFill>
                    <w14:schemeClr w14:val="tx1"/>
                  </w14:solidFill>
                </w14:textFill>
              </w:rPr>
              <w:t>（用地文件见附件二）</w:t>
            </w:r>
            <w:r>
              <w:rPr>
                <w:rFonts w:hint="eastAsia"/>
                <w:sz w:val="24"/>
              </w:rPr>
              <w:t>。</w:t>
            </w:r>
          </w:p>
          <w:p>
            <w:pPr>
              <w:spacing w:line="360" w:lineRule="auto"/>
              <w:ind w:firstLine="480" w:firstLineChars="200"/>
              <w:rPr>
                <w:rFonts w:eastAsiaTheme="minorEastAsia"/>
                <w:color w:val="000000" w:themeColor="text1"/>
                <w:sz w:val="24"/>
                <w14:textFill>
                  <w14:solidFill>
                    <w14:schemeClr w14:val="tx1"/>
                  </w14:solidFill>
                </w14:textFill>
              </w:rPr>
            </w:pPr>
            <w:r>
              <w:rPr>
                <w:rFonts w:hint="eastAsia"/>
                <w:color w:val="0000FF"/>
                <w:sz w:val="24"/>
                <w:lang w:eastAsia="zh-CN"/>
              </w:rPr>
              <w:t>为适应市场需求</w:t>
            </w:r>
            <w:r>
              <w:rPr>
                <w:rFonts w:hint="eastAsia"/>
                <w:color w:val="0000FF"/>
                <w:sz w:val="24"/>
              </w:rPr>
              <w:t>，</w:t>
            </w:r>
            <w:r>
              <w:rPr>
                <w:rFonts w:hint="eastAsia"/>
                <w:color w:val="0000FF"/>
                <w:sz w:val="24"/>
                <w:lang w:eastAsia="zh-CN"/>
              </w:rPr>
              <w:t>企业对现有项目生产工艺</w:t>
            </w:r>
            <w:r>
              <w:rPr>
                <w:rFonts w:hint="eastAsia"/>
                <w:color w:val="0000FF"/>
                <w:sz w:val="24"/>
              </w:rPr>
              <w:t>进行技术改造，</w:t>
            </w:r>
            <w:r>
              <w:rPr>
                <w:rFonts w:hint="eastAsia"/>
                <w:color w:val="0000FF"/>
                <w:sz w:val="24"/>
                <w:lang w:eastAsia="zh-CN"/>
              </w:rPr>
              <w:t>将</w:t>
            </w:r>
            <w:r>
              <w:rPr>
                <w:rFonts w:hint="eastAsia"/>
                <w:color w:val="0000FF"/>
                <w:sz w:val="24"/>
              </w:rPr>
              <w:t>原</w:t>
            </w:r>
            <w:r>
              <w:rPr>
                <w:rFonts w:hint="eastAsia"/>
                <w:color w:val="0000FF"/>
                <w:sz w:val="24"/>
                <w:lang w:eastAsia="zh-CN"/>
              </w:rPr>
              <w:t>生产</w:t>
            </w:r>
            <w:r>
              <w:rPr>
                <w:rFonts w:hint="eastAsia"/>
                <w:color w:val="0000FF"/>
                <w:sz w:val="24"/>
              </w:rPr>
              <w:t>工艺中滚涂PU漆改为喷涂</w:t>
            </w:r>
            <w:r>
              <w:rPr>
                <w:rFonts w:hint="eastAsia"/>
                <w:color w:val="0000FF"/>
                <w:sz w:val="24"/>
                <w:lang w:eastAsia="zh-CN"/>
              </w:rPr>
              <w:t>方式</w:t>
            </w:r>
            <w:r>
              <w:rPr>
                <w:rFonts w:hint="eastAsia"/>
                <w:color w:val="0000FF"/>
                <w:sz w:val="24"/>
              </w:rPr>
              <w:t>，</w:t>
            </w:r>
            <w:r>
              <w:rPr>
                <w:rFonts w:hint="eastAsia"/>
                <w:color w:val="0000FF"/>
                <w:sz w:val="24"/>
                <w:lang w:eastAsia="zh-CN"/>
              </w:rPr>
              <w:t>并取消丝印工序，</w:t>
            </w:r>
            <w:r>
              <w:rPr>
                <w:rFonts w:hint="eastAsia"/>
                <w:color w:val="0000FF"/>
                <w:sz w:val="24"/>
              </w:rPr>
              <w:t>其它工艺基本不变，</w:t>
            </w:r>
            <w:r>
              <w:rPr>
                <w:rFonts w:hint="eastAsia"/>
                <w:color w:val="0000FF"/>
                <w:sz w:val="24"/>
                <w:lang w:eastAsia="zh-CN"/>
              </w:rPr>
              <w:t>项目变动后新增</w:t>
            </w:r>
            <w:r>
              <w:rPr>
                <w:rFonts w:hint="eastAsia"/>
                <w:color w:val="0000FF"/>
                <w:sz w:val="24"/>
              </w:rPr>
              <w:t>3</w:t>
            </w:r>
            <w:r>
              <w:rPr>
                <w:rFonts w:hint="eastAsia"/>
                <w:color w:val="0000FF"/>
                <w:sz w:val="24"/>
                <w:lang w:eastAsia="zh-CN"/>
              </w:rPr>
              <w:t>间</w:t>
            </w:r>
            <w:r>
              <w:rPr>
                <w:rFonts w:hint="eastAsia"/>
                <w:color w:val="0000FF"/>
                <w:sz w:val="24"/>
              </w:rPr>
              <w:t>喷漆房及</w:t>
            </w:r>
            <w:r>
              <w:rPr>
                <w:rFonts w:hint="eastAsia"/>
                <w:color w:val="0000FF"/>
                <w:sz w:val="24"/>
                <w:lang w:eastAsia="zh-CN"/>
              </w:rPr>
              <w:t>喷漆房相应配套</w:t>
            </w:r>
            <w:r>
              <w:rPr>
                <w:rFonts w:hint="eastAsia"/>
                <w:color w:val="0000FF"/>
                <w:sz w:val="24"/>
              </w:rPr>
              <w:t>环保设施（水帘柜+二级活性炭+15m高排气筒），产品方案由</w:t>
            </w:r>
            <w:r>
              <w:rPr>
                <w:rFonts w:hint="eastAsia"/>
                <w:bCs/>
                <w:color w:val="0000FF"/>
                <w:spacing w:val="-10"/>
                <w:kern w:val="0"/>
                <w:sz w:val="24"/>
                <w:szCs w:val="20"/>
              </w:rPr>
              <w:t>年产</w:t>
            </w:r>
            <w:r>
              <w:rPr>
                <w:rFonts w:hint="eastAsia"/>
                <w:color w:val="0000FF"/>
                <w:sz w:val="24"/>
              </w:rPr>
              <w:t>10.96万套锁架（含三角柜、锁柜、拉手板、展示柜等）变更为年产10.96万套木质家具（含锁架、木门、衣柜、锁柜、拉手板、展示柜等）</w:t>
            </w:r>
            <w:r>
              <w:rPr>
                <w:rFonts w:eastAsiaTheme="minorEastAsia"/>
                <w:color w:val="0000FF"/>
                <w:sz w:val="24"/>
              </w:rPr>
              <w:t>。</w:t>
            </w:r>
            <w:r>
              <w:rPr>
                <w:rFonts w:eastAsiaTheme="minorEastAsia"/>
                <w:color w:val="000000" w:themeColor="text1"/>
                <w:sz w:val="24"/>
                <w14:textFill>
                  <w14:solidFill>
                    <w14:schemeClr w14:val="tx1"/>
                  </w14:solidFill>
                </w14:textFill>
              </w:rPr>
              <w:t>主要建设内容详见表2-2</w:t>
            </w:r>
            <w:r>
              <w:rPr>
                <w:rFonts w:hint="eastAsia" w:eastAsiaTheme="minorEastAsia"/>
                <w:color w:val="000000" w:themeColor="text1"/>
                <w:sz w:val="24"/>
                <w14:textFill>
                  <w14:solidFill>
                    <w14:schemeClr w14:val="tx1"/>
                  </w14:solidFill>
                </w14:textFill>
              </w:rPr>
              <w:t>。</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lang w:eastAsia="zh-CN"/>
              </w:rPr>
            </w:pPr>
            <w:r>
              <w:rPr>
                <w:rFonts w:hint="eastAsia" w:eastAsia="黑体"/>
                <w:kern w:val="0"/>
                <w:sz w:val="24"/>
              </w:rPr>
              <w:t xml:space="preserve">表2-2  </w:t>
            </w:r>
            <w:r>
              <w:rPr>
                <w:rFonts w:hint="eastAsia" w:eastAsia="黑体"/>
                <w:color w:val="0000FF"/>
                <w:kern w:val="0"/>
                <w:sz w:val="24"/>
              </w:rPr>
              <w:t>建设项目工程分析</w:t>
            </w:r>
            <w:r>
              <w:rPr>
                <w:rFonts w:hint="eastAsia" w:eastAsia="黑体"/>
                <w:color w:val="0000FF"/>
                <w:kern w:val="0"/>
                <w:sz w:val="24"/>
                <w:lang w:eastAsia="zh-CN"/>
              </w:rPr>
              <w:t>表</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87"/>
              <w:gridCol w:w="1201"/>
              <w:gridCol w:w="4458"/>
              <w:gridCol w:w="17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tcBorders>
                    <w:tl2br w:val="nil"/>
                    <w:tr2bl w:val="nil"/>
                  </w:tcBorders>
                  <w:vAlign w:val="center"/>
                </w:tcPr>
                <w:p>
                  <w:pPr>
                    <w:spacing w:line="340" w:lineRule="exact"/>
                    <w:jc w:val="center"/>
                    <w:rPr>
                      <w:szCs w:val="21"/>
                    </w:rPr>
                  </w:pPr>
                  <w:r>
                    <w:rPr>
                      <w:szCs w:val="21"/>
                    </w:rPr>
                    <w:t>工程分类</w:t>
                  </w:r>
                </w:p>
              </w:tc>
              <w:tc>
                <w:tcPr>
                  <w:tcW w:w="1201" w:type="dxa"/>
                  <w:tcBorders>
                    <w:tl2br w:val="nil"/>
                    <w:tr2bl w:val="nil"/>
                  </w:tcBorders>
                  <w:vAlign w:val="center"/>
                </w:tcPr>
                <w:p>
                  <w:pPr>
                    <w:spacing w:line="340" w:lineRule="exact"/>
                    <w:jc w:val="center"/>
                    <w:rPr>
                      <w:szCs w:val="21"/>
                    </w:rPr>
                  </w:pPr>
                  <w:r>
                    <w:rPr>
                      <w:szCs w:val="21"/>
                    </w:rPr>
                    <w:t>名称</w:t>
                  </w:r>
                </w:p>
              </w:tc>
              <w:tc>
                <w:tcPr>
                  <w:tcW w:w="4458" w:type="dxa"/>
                  <w:tcBorders>
                    <w:tl2br w:val="nil"/>
                    <w:tr2bl w:val="nil"/>
                  </w:tcBorders>
                  <w:vAlign w:val="center"/>
                </w:tcPr>
                <w:p>
                  <w:pPr>
                    <w:spacing w:line="340" w:lineRule="exact"/>
                    <w:jc w:val="center"/>
                    <w:rPr>
                      <w:szCs w:val="21"/>
                    </w:rPr>
                  </w:pPr>
                  <w:r>
                    <w:rPr>
                      <w:rFonts w:hint="eastAsia"/>
                      <w:szCs w:val="21"/>
                    </w:rPr>
                    <w:t>工程规模</w:t>
                  </w:r>
                </w:p>
              </w:tc>
              <w:tc>
                <w:tcPr>
                  <w:tcW w:w="1734" w:type="dxa"/>
                  <w:tcBorders>
                    <w:tl2br w:val="nil"/>
                    <w:tr2bl w:val="nil"/>
                  </w:tcBorders>
                  <w:vAlign w:val="center"/>
                </w:tcPr>
                <w:p>
                  <w:pPr>
                    <w:spacing w:line="340" w:lineRule="exact"/>
                    <w:jc w:val="center"/>
                    <w:rPr>
                      <w:rFonts w:hint="eastAsia" w:eastAsia="宋体"/>
                      <w:color w:val="FF0000"/>
                      <w:szCs w:val="21"/>
                      <w:lang w:eastAsia="zh-CN"/>
                    </w:rPr>
                  </w:pPr>
                  <w:r>
                    <w:rPr>
                      <w:rFonts w:hint="eastAsia"/>
                      <w:color w:val="FF0000"/>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restart"/>
                  <w:tcBorders>
                    <w:tl2br w:val="nil"/>
                    <w:tr2bl w:val="nil"/>
                  </w:tcBorders>
                  <w:vAlign w:val="center"/>
                </w:tcPr>
                <w:p>
                  <w:pPr>
                    <w:spacing w:line="340" w:lineRule="exact"/>
                    <w:jc w:val="center"/>
                    <w:rPr>
                      <w:szCs w:val="21"/>
                    </w:rPr>
                  </w:pPr>
                  <w:r>
                    <w:rPr>
                      <w:rFonts w:hint="eastAsia"/>
                      <w:szCs w:val="21"/>
                    </w:rPr>
                    <w:t>主体工程</w:t>
                  </w:r>
                </w:p>
              </w:tc>
              <w:tc>
                <w:tcPr>
                  <w:tcW w:w="1201" w:type="dxa"/>
                  <w:tcBorders>
                    <w:tl2br w:val="nil"/>
                    <w:tr2bl w:val="nil"/>
                  </w:tcBorders>
                  <w:vAlign w:val="center"/>
                </w:tcPr>
                <w:p>
                  <w:pPr>
                    <w:spacing w:line="340" w:lineRule="exact"/>
                    <w:jc w:val="center"/>
                    <w:rPr>
                      <w:szCs w:val="21"/>
                    </w:rPr>
                  </w:pPr>
                  <w:r>
                    <w:rPr>
                      <w:rFonts w:hint="eastAsia"/>
                      <w:szCs w:val="21"/>
                    </w:rPr>
                    <w:t>生产车间</w:t>
                  </w:r>
                </w:p>
              </w:tc>
              <w:tc>
                <w:tcPr>
                  <w:tcW w:w="4458" w:type="dxa"/>
                  <w:tcBorders>
                    <w:tl2br w:val="nil"/>
                    <w:tr2bl w:val="nil"/>
                  </w:tcBorders>
                  <w:vAlign w:val="center"/>
                </w:tcPr>
                <w:p>
                  <w:pPr>
                    <w:jc w:val="left"/>
                    <w:rPr>
                      <w:rFonts w:hAnsi="宋体"/>
                    </w:rPr>
                  </w:pPr>
                  <w:r>
                    <w:rPr>
                      <w:rFonts w:hint="eastAsia" w:hAnsi="宋体"/>
                    </w:rPr>
                    <w:t>1F，建筑面积约5000m</w:t>
                  </w:r>
                  <w:r>
                    <w:rPr>
                      <w:rFonts w:hint="eastAsia" w:hAnsi="宋体"/>
                      <w:vertAlign w:val="superscript"/>
                    </w:rPr>
                    <w:t>2</w:t>
                  </w:r>
                  <w:r>
                    <w:rPr>
                      <w:rFonts w:hint="eastAsia" w:hAnsi="宋体"/>
                    </w:rPr>
                    <w:t>，设置压合、机加工、砂光、UV</w:t>
                  </w:r>
                  <w:r>
                    <w:rPr>
                      <w:rStyle w:val="39"/>
                      <w:rFonts w:hint="eastAsia"/>
                      <w:kern w:val="0"/>
                      <w:szCs w:val="20"/>
                      <w:lang w:eastAsia="zh-CN"/>
                    </w:rPr>
                    <w:t>滚涂</w:t>
                  </w:r>
                  <w:r>
                    <w:rPr>
                      <w:rFonts w:hint="eastAsia" w:hAnsi="宋体"/>
                    </w:rPr>
                    <w:t>、</w:t>
                  </w:r>
                  <w:r>
                    <w:rPr>
                      <w:rFonts w:hint="eastAsia" w:hAnsi="宋体"/>
                      <w:lang w:eastAsia="zh-CN"/>
                    </w:rPr>
                    <w:t>装配、</w:t>
                  </w:r>
                  <w:r>
                    <w:rPr>
                      <w:rFonts w:hint="eastAsia" w:hAnsi="宋体"/>
                    </w:rPr>
                    <w:t>检验包装</w:t>
                  </w:r>
                  <w:r>
                    <w:rPr>
                      <w:rFonts w:hint="eastAsia"/>
                      <w:bCs/>
                    </w:rPr>
                    <w:t>工序。</w:t>
                  </w:r>
                </w:p>
              </w:tc>
              <w:tc>
                <w:tcPr>
                  <w:tcW w:w="1734" w:type="dxa"/>
                  <w:tcBorders>
                    <w:tl2br w:val="nil"/>
                    <w:tr2bl w:val="nil"/>
                  </w:tcBorders>
                  <w:vAlign w:val="center"/>
                </w:tcPr>
                <w:p>
                  <w:pPr>
                    <w:jc w:val="center"/>
                    <w:rPr>
                      <w:rFonts w:hint="eastAsia" w:hAnsi="宋体" w:eastAsia="宋体"/>
                      <w:color w:val="FF0000"/>
                      <w:lang w:eastAsia="zh-CN"/>
                    </w:rPr>
                  </w:pPr>
                  <w:r>
                    <w:rPr>
                      <w:rFonts w:hint="eastAsia" w:hAnsi="宋体"/>
                      <w:color w:val="FF0000"/>
                      <w:lang w:eastAsia="zh-CN"/>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喷漆房</w:t>
                  </w:r>
                </w:p>
              </w:tc>
              <w:tc>
                <w:tcPr>
                  <w:tcW w:w="4458" w:type="dxa"/>
                  <w:tcBorders>
                    <w:tl2br w:val="nil"/>
                    <w:tr2bl w:val="nil"/>
                  </w:tcBorders>
                  <w:vAlign w:val="center"/>
                </w:tcPr>
                <w:p>
                  <w:pPr>
                    <w:jc w:val="center"/>
                    <w:rPr>
                      <w:rFonts w:hAnsi="宋体"/>
                    </w:rPr>
                  </w:pPr>
                  <w:r>
                    <w:rPr>
                      <w:rFonts w:hint="eastAsia" w:hAnsi="宋体"/>
                    </w:rPr>
                    <w:t>1F，3个喷漆房总建筑面积约150m</w:t>
                  </w:r>
                  <w:r>
                    <w:rPr>
                      <w:rFonts w:hint="eastAsia" w:hAnsi="宋体"/>
                      <w:vertAlign w:val="superscript"/>
                    </w:rPr>
                    <w:t>2</w:t>
                  </w:r>
                  <w:r>
                    <w:rPr>
                      <w:rFonts w:hint="eastAsia" w:hAnsi="宋体"/>
                    </w:rPr>
                    <w:t>，则每个喷漆房50m</w:t>
                  </w:r>
                  <w:r>
                    <w:rPr>
                      <w:rFonts w:hint="eastAsia" w:hAnsi="宋体"/>
                      <w:vertAlign w:val="superscript"/>
                    </w:rPr>
                    <w:t>2</w:t>
                  </w:r>
                  <w:r>
                    <w:rPr>
                      <w:rFonts w:hint="eastAsia" w:hAnsi="宋体"/>
                    </w:rPr>
                    <w:t>。</w:t>
                  </w:r>
                </w:p>
              </w:tc>
              <w:tc>
                <w:tcPr>
                  <w:tcW w:w="1734" w:type="dxa"/>
                  <w:tcBorders>
                    <w:tl2br w:val="nil"/>
                    <w:tr2bl w:val="nil"/>
                  </w:tcBorders>
                  <w:vAlign w:val="center"/>
                </w:tcPr>
                <w:p>
                  <w:pPr>
                    <w:jc w:val="center"/>
                    <w:rPr>
                      <w:rFonts w:hint="eastAsia" w:hAnsi="宋体" w:eastAsia="宋体"/>
                      <w:color w:val="FF0000"/>
                      <w:lang w:eastAsia="zh-CN"/>
                    </w:rPr>
                  </w:pPr>
                  <w:r>
                    <w:rPr>
                      <w:rFonts w:hint="eastAsia" w:hAnsi="宋体"/>
                      <w:color w:val="FF0000"/>
                      <w:lang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restart"/>
                  <w:tcBorders>
                    <w:tl2br w:val="nil"/>
                    <w:tr2bl w:val="nil"/>
                  </w:tcBorders>
                  <w:vAlign w:val="center"/>
                </w:tcPr>
                <w:p>
                  <w:pPr>
                    <w:spacing w:line="340" w:lineRule="exact"/>
                    <w:jc w:val="center"/>
                    <w:rPr>
                      <w:szCs w:val="21"/>
                    </w:rPr>
                  </w:pPr>
                  <w:r>
                    <w:rPr>
                      <w:rFonts w:hint="eastAsia"/>
                      <w:szCs w:val="21"/>
                    </w:rPr>
                    <w:t>辅助工程</w:t>
                  </w:r>
                </w:p>
              </w:tc>
              <w:tc>
                <w:tcPr>
                  <w:tcW w:w="1201" w:type="dxa"/>
                  <w:tcBorders>
                    <w:tl2br w:val="nil"/>
                    <w:tr2bl w:val="nil"/>
                  </w:tcBorders>
                  <w:vAlign w:val="center"/>
                </w:tcPr>
                <w:p>
                  <w:pPr>
                    <w:spacing w:line="340" w:lineRule="exact"/>
                    <w:jc w:val="center"/>
                    <w:rPr>
                      <w:szCs w:val="21"/>
                    </w:rPr>
                  </w:pPr>
                  <w:r>
                    <w:rPr>
                      <w:rFonts w:hint="eastAsia"/>
                      <w:szCs w:val="21"/>
                    </w:rPr>
                    <w:t>综合楼</w:t>
                  </w:r>
                </w:p>
              </w:tc>
              <w:tc>
                <w:tcPr>
                  <w:tcW w:w="4458" w:type="dxa"/>
                  <w:tcBorders>
                    <w:tl2br w:val="nil"/>
                    <w:tr2bl w:val="nil"/>
                  </w:tcBorders>
                  <w:vAlign w:val="center"/>
                </w:tcPr>
                <w:p>
                  <w:pPr>
                    <w:spacing w:line="340" w:lineRule="exact"/>
                    <w:jc w:val="center"/>
                    <w:rPr>
                      <w:szCs w:val="21"/>
                    </w:rPr>
                  </w:pPr>
                  <w:r>
                    <w:rPr>
                      <w:rFonts w:hint="eastAsia"/>
                      <w:szCs w:val="21"/>
                    </w:rPr>
                    <w:t>3F，建筑面积2200m</w:t>
                  </w:r>
                  <w:r>
                    <w:rPr>
                      <w:rFonts w:hint="eastAsia"/>
                      <w:szCs w:val="21"/>
                      <w:vertAlign w:val="superscript"/>
                    </w:rPr>
                    <w:t>2</w:t>
                  </w:r>
                  <w:r>
                    <w:rPr>
                      <w:rFonts w:hint="eastAsia"/>
                      <w:szCs w:val="21"/>
                    </w:rPr>
                    <w:t>，用于办公。</w:t>
                  </w:r>
                </w:p>
              </w:tc>
              <w:tc>
                <w:tcPr>
                  <w:tcW w:w="1734" w:type="dxa"/>
                  <w:tcBorders>
                    <w:tl2br w:val="nil"/>
                    <w:tr2bl w:val="nil"/>
                  </w:tcBorders>
                  <w:vAlign w:val="center"/>
                </w:tcPr>
                <w:p>
                  <w:pPr>
                    <w:spacing w:line="340" w:lineRule="exact"/>
                    <w:jc w:val="center"/>
                    <w:rPr>
                      <w:rFonts w:hint="eastAsia" w:eastAsia="宋体"/>
                      <w:color w:val="FF0000"/>
                      <w:szCs w:val="21"/>
                      <w:lang w:eastAsia="zh-CN"/>
                    </w:rPr>
                  </w:pPr>
                  <w:r>
                    <w:rPr>
                      <w:rFonts w:hint="eastAsia"/>
                      <w:color w:val="FF0000"/>
                      <w:szCs w:val="21"/>
                      <w:lang w:eastAsia="zh-CN"/>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原料仓库</w:t>
                  </w:r>
                </w:p>
              </w:tc>
              <w:tc>
                <w:tcPr>
                  <w:tcW w:w="4458" w:type="dxa"/>
                  <w:tcBorders>
                    <w:tl2br w:val="nil"/>
                    <w:tr2bl w:val="nil"/>
                  </w:tcBorders>
                  <w:vAlign w:val="center"/>
                </w:tcPr>
                <w:p>
                  <w:pPr>
                    <w:spacing w:line="340" w:lineRule="exact"/>
                    <w:jc w:val="center"/>
                    <w:rPr>
                      <w:szCs w:val="21"/>
                    </w:rPr>
                  </w:pPr>
                  <w:r>
                    <w:rPr>
                      <w:rFonts w:hint="eastAsia"/>
                      <w:szCs w:val="21"/>
                    </w:rPr>
                    <w:t>1F，建筑面积300m</w:t>
                  </w:r>
                  <w:r>
                    <w:rPr>
                      <w:rFonts w:hint="eastAsia"/>
                      <w:szCs w:val="21"/>
                      <w:vertAlign w:val="superscript"/>
                    </w:rPr>
                    <w:t>2</w:t>
                  </w:r>
                  <w:r>
                    <w:rPr>
                      <w:rFonts w:hint="eastAsia"/>
                      <w:szCs w:val="21"/>
                    </w:rPr>
                    <w:t>。</w:t>
                  </w:r>
                </w:p>
              </w:tc>
              <w:tc>
                <w:tcPr>
                  <w:tcW w:w="1734" w:type="dxa"/>
                  <w:tcBorders>
                    <w:tl2br w:val="nil"/>
                    <w:tr2bl w:val="nil"/>
                  </w:tcBorders>
                  <w:vAlign w:val="center"/>
                </w:tcPr>
                <w:p>
                  <w:pPr>
                    <w:spacing w:line="340" w:lineRule="exact"/>
                    <w:jc w:val="center"/>
                    <w:rPr>
                      <w:rFonts w:hint="eastAsia"/>
                      <w:color w:val="FF0000"/>
                      <w:szCs w:val="21"/>
                    </w:rPr>
                  </w:pPr>
                  <w:r>
                    <w:rPr>
                      <w:rFonts w:hint="eastAsia" w:hAnsi="宋体"/>
                      <w:color w:val="FF0000"/>
                      <w:lang w:eastAsia="zh-CN"/>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restart"/>
                  <w:tcBorders>
                    <w:tl2br w:val="nil"/>
                    <w:tr2bl w:val="nil"/>
                  </w:tcBorders>
                  <w:vAlign w:val="center"/>
                </w:tcPr>
                <w:p>
                  <w:pPr>
                    <w:spacing w:line="340" w:lineRule="exact"/>
                    <w:jc w:val="center"/>
                    <w:rPr>
                      <w:szCs w:val="21"/>
                    </w:rPr>
                  </w:pPr>
                  <w:r>
                    <w:rPr>
                      <w:rFonts w:hint="eastAsia"/>
                      <w:szCs w:val="21"/>
                    </w:rPr>
                    <w:t>公用工程</w:t>
                  </w:r>
                </w:p>
              </w:tc>
              <w:tc>
                <w:tcPr>
                  <w:tcW w:w="1201" w:type="dxa"/>
                  <w:tcBorders>
                    <w:tl2br w:val="nil"/>
                    <w:tr2bl w:val="nil"/>
                  </w:tcBorders>
                  <w:vAlign w:val="center"/>
                </w:tcPr>
                <w:p>
                  <w:pPr>
                    <w:spacing w:line="340" w:lineRule="exact"/>
                    <w:jc w:val="center"/>
                    <w:rPr>
                      <w:szCs w:val="21"/>
                    </w:rPr>
                  </w:pPr>
                  <w:r>
                    <w:rPr>
                      <w:rFonts w:hint="eastAsia"/>
                      <w:szCs w:val="21"/>
                    </w:rPr>
                    <w:t>供水系统</w:t>
                  </w:r>
                </w:p>
              </w:tc>
              <w:tc>
                <w:tcPr>
                  <w:tcW w:w="4458" w:type="dxa"/>
                  <w:tcBorders>
                    <w:tl2br w:val="nil"/>
                    <w:tr2bl w:val="nil"/>
                  </w:tcBorders>
                  <w:vAlign w:val="center"/>
                </w:tcPr>
                <w:p>
                  <w:pPr>
                    <w:spacing w:line="340" w:lineRule="exact"/>
                    <w:jc w:val="center"/>
                    <w:rPr>
                      <w:szCs w:val="21"/>
                    </w:rPr>
                  </w:pPr>
                  <w:r>
                    <w:rPr>
                      <w:rFonts w:hint="eastAsia"/>
                      <w:szCs w:val="21"/>
                    </w:rPr>
                    <w:t>由园区管网供给</w:t>
                  </w:r>
                </w:p>
              </w:tc>
              <w:tc>
                <w:tcPr>
                  <w:tcW w:w="1734" w:type="dxa"/>
                  <w:tcBorders>
                    <w:tl2br w:val="nil"/>
                    <w:tr2bl w:val="nil"/>
                  </w:tcBorders>
                  <w:vAlign w:val="center"/>
                </w:tcPr>
                <w:p>
                  <w:pPr>
                    <w:spacing w:line="340" w:lineRule="exact"/>
                    <w:jc w:val="center"/>
                    <w:rPr>
                      <w:rFonts w:hint="eastAsia"/>
                      <w:color w:val="FF0000"/>
                      <w:szCs w:val="21"/>
                    </w:rPr>
                  </w:pPr>
                  <w:r>
                    <w:rPr>
                      <w:rFonts w:hint="eastAsia" w:hAnsi="宋体"/>
                      <w:color w:val="FF0000"/>
                      <w:lang w:eastAsia="zh-CN"/>
                    </w:rPr>
                    <w:t>依托园区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排水系统</w:t>
                  </w:r>
                </w:p>
              </w:tc>
              <w:tc>
                <w:tcPr>
                  <w:tcW w:w="4458" w:type="dxa"/>
                  <w:tcBorders>
                    <w:tl2br w:val="nil"/>
                    <w:tr2bl w:val="nil"/>
                  </w:tcBorders>
                  <w:vAlign w:val="center"/>
                </w:tcPr>
                <w:p>
                  <w:pPr>
                    <w:spacing w:line="340" w:lineRule="exact"/>
                    <w:jc w:val="left"/>
                    <w:rPr>
                      <w:szCs w:val="21"/>
                    </w:rPr>
                  </w:pPr>
                  <w:r>
                    <w:rPr>
                      <w:rFonts w:hint="eastAsia"/>
                      <w:szCs w:val="21"/>
                    </w:rPr>
                    <w:t>采用雨污分流制，生活污水经化粪池预处理后通过园区管网进入江西余干工业园区（黄金埠）污水处理厂进行深度处理后达标排放至信江；本项目生产废水循环使用，只补充，不外排。</w:t>
                  </w:r>
                </w:p>
              </w:tc>
              <w:tc>
                <w:tcPr>
                  <w:tcW w:w="1734" w:type="dxa"/>
                  <w:tcBorders>
                    <w:tl2br w:val="nil"/>
                    <w:tr2bl w:val="nil"/>
                  </w:tcBorders>
                  <w:vAlign w:val="center"/>
                </w:tcPr>
                <w:p>
                  <w:pPr>
                    <w:spacing w:line="340" w:lineRule="exact"/>
                    <w:jc w:val="center"/>
                    <w:rPr>
                      <w:rFonts w:hint="eastAsia"/>
                      <w:color w:val="FF0000"/>
                      <w:szCs w:val="21"/>
                    </w:rPr>
                  </w:pPr>
                  <w:r>
                    <w:rPr>
                      <w:rFonts w:hint="eastAsia" w:hAnsi="宋体"/>
                      <w:color w:val="FF0000"/>
                      <w:lang w:eastAsia="zh-CN"/>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供电系统</w:t>
                  </w:r>
                </w:p>
              </w:tc>
              <w:tc>
                <w:tcPr>
                  <w:tcW w:w="4458" w:type="dxa"/>
                  <w:tcBorders>
                    <w:tl2br w:val="nil"/>
                    <w:tr2bl w:val="nil"/>
                  </w:tcBorders>
                  <w:vAlign w:val="center"/>
                </w:tcPr>
                <w:p>
                  <w:pPr>
                    <w:spacing w:line="340" w:lineRule="exact"/>
                    <w:jc w:val="center"/>
                    <w:rPr>
                      <w:szCs w:val="21"/>
                    </w:rPr>
                  </w:pPr>
                  <w:r>
                    <w:rPr>
                      <w:rFonts w:hint="eastAsia"/>
                      <w:szCs w:val="21"/>
                    </w:rPr>
                    <w:t>由当地市政电网提供</w:t>
                  </w:r>
                </w:p>
              </w:tc>
              <w:tc>
                <w:tcPr>
                  <w:tcW w:w="1734" w:type="dxa"/>
                  <w:tcBorders>
                    <w:tl2br w:val="nil"/>
                    <w:tr2bl w:val="nil"/>
                  </w:tcBorders>
                  <w:vAlign w:val="center"/>
                </w:tcPr>
                <w:p>
                  <w:pPr>
                    <w:spacing w:line="340" w:lineRule="exact"/>
                    <w:jc w:val="center"/>
                    <w:rPr>
                      <w:rFonts w:hint="eastAsia"/>
                      <w:color w:val="FF0000"/>
                      <w:szCs w:val="21"/>
                    </w:rPr>
                  </w:pPr>
                  <w:r>
                    <w:rPr>
                      <w:rFonts w:hint="eastAsia" w:hAnsi="宋体"/>
                      <w:color w:val="FF0000"/>
                      <w:lang w:eastAsia="zh-CN"/>
                    </w:rPr>
                    <w:t>依托园区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restart"/>
                  <w:tcBorders>
                    <w:tl2br w:val="nil"/>
                    <w:tr2bl w:val="nil"/>
                  </w:tcBorders>
                  <w:vAlign w:val="center"/>
                </w:tcPr>
                <w:p>
                  <w:pPr>
                    <w:spacing w:line="340" w:lineRule="exact"/>
                    <w:jc w:val="center"/>
                    <w:rPr>
                      <w:szCs w:val="21"/>
                    </w:rPr>
                  </w:pPr>
                  <w:r>
                    <w:rPr>
                      <w:rFonts w:hint="eastAsia"/>
                      <w:szCs w:val="21"/>
                    </w:rPr>
                    <w:t>环保工程</w:t>
                  </w:r>
                </w:p>
              </w:tc>
              <w:tc>
                <w:tcPr>
                  <w:tcW w:w="120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4458" w:type="dxa"/>
                  <w:tcBorders>
                    <w:tl2br w:val="nil"/>
                    <w:tr2bl w:val="nil"/>
                  </w:tcBorders>
                  <w:vAlign w:val="center"/>
                </w:tcPr>
                <w:p>
                  <w:pPr>
                    <w:spacing w:line="340" w:lineRule="exact"/>
                    <w:jc w:val="left"/>
                    <w:rPr>
                      <w:color w:val="000000" w:themeColor="text1"/>
                      <w14:textFill>
                        <w14:solidFill>
                          <w14:schemeClr w14:val="tx1"/>
                        </w14:solidFill>
                      </w14:textFill>
                    </w:rPr>
                  </w:pPr>
                  <w:r>
                    <w:rPr>
                      <w:color w:val="000000" w:themeColor="text1"/>
                      <w14:textFill>
                        <w14:solidFill>
                          <w14:schemeClr w14:val="tx1"/>
                        </w14:solidFill>
                      </w14:textFill>
                    </w:rPr>
                    <w:t>木工</w:t>
                  </w:r>
                  <w:r>
                    <w:rPr>
                      <w:rFonts w:hint="eastAsia"/>
                      <w:color w:val="000000" w:themeColor="text1"/>
                      <w14:textFill>
                        <w14:solidFill>
                          <w14:schemeClr w14:val="tx1"/>
                        </w14:solidFill>
                      </w14:textFill>
                    </w:rPr>
                    <w:t>机加工</w:t>
                  </w:r>
                  <w:r>
                    <w:rPr>
                      <w:color w:val="000000" w:themeColor="text1"/>
                      <w14:textFill>
                        <w14:solidFill>
                          <w14:schemeClr w14:val="tx1"/>
                        </w14:solidFill>
                      </w14:textFill>
                    </w:rPr>
                    <w:t>过程产生的粉尘</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中央集尘处理</w:t>
                  </w:r>
                  <w:r>
                    <w:rPr>
                      <w:rFonts w:hint="eastAsia"/>
                      <w:color w:val="000000" w:themeColor="text1"/>
                      <w:lang w:eastAsia="zh-CN"/>
                      <w14:textFill>
                        <w14:solidFill>
                          <w14:schemeClr w14:val="tx1"/>
                        </w14:solidFill>
                      </w14:textFill>
                    </w:rPr>
                    <w:t>后</w:t>
                  </w:r>
                  <w:r>
                    <w:rPr>
                      <w:color w:val="000000" w:themeColor="text1"/>
                      <w14:textFill>
                        <w14:solidFill>
                          <w14:schemeClr w14:val="tx1"/>
                        </w14:solidFill>
                      </w14:textFill>
                    </w:rPr>
                    <w:t>通过厂房顶部1根15m高排气筒</w:t>
                  </w:r>
                  <w:r>
                    <w:rPr>
                      <w:rFonts w:hint="eastAsia"/>
                      <w:color w:val="000000" w:themeColor="text1"/>
                      <w14:textFill>
                        <w14:solidFill>
                          <w14:schemeClr w14:val="tx1"/>
                        </w14:solidFill>
                      </w14:textFill>
                    </w:rPr>
                    <w:t>（DA001）</w:t>
                  </w:r>
                  <w:r>
                    <w:rPr>
                      <w:color w:val="000000" w:themeColor="text1"/>
                      <w14:textFill>
                        <w14:solidFill>
                          <w14:schemeClr w14:val="tx1"/>
                        </w14:solidFill>
                      </w14:textFill>
                    </w:rPr>
                    <w:t>排放</w:t>
                  </w:r>
                  <w:r>
                    <w:rPr>
                      <w:rFonts w:hint="eastAsia"/>
                      <w:color w:val="000000" w:themeColor="text1"/>
                      <w14:textFill>
                        <w14:solidFill>
                          <w14:schemeClr w14:val="tx1"/>
                        </w14:solidFill>
                      </w14:textFill>
                    </w:rPr>
                    <w:t>；</w:t>
                  </w:r>
                </w:p>
                <w:p>
                  <w:pPr>
                    <w:spacing w:line="34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3个喷漆房</w:t>
                  </w:r>
                  <w:r>
                    <w:rPr>
                      <w:color w:val="000000" w:themeColor="text1"/>
                      <w14:textFill>
                        <w14:solidFill>
                          <w14:schemeClr w14:val="tx1"/>
                        </w14:solidFill>
                      </w14:textFill>
                    </w:rPr>
                    <w:t>排出的有机废气</w:t>
                  </w:r>
                  <w:r>
                    <w:rPr>
                      <w:rFonts w:hint="eastAsia"/>
                      <w:color w:val="000000" w:themeColor="text1"/>
                      <w14:textFill>
                        <w14:solidFill>
                          <w14:schemeClr w14:val="tx1"/>
                        </w14:solidFill>
                      </w14:textFill>
                    </w:rPr>
                    <w:t>分别</w:t>
                  </w:r>
                  <w:r>
                    <w:rPr>
                      <w:color w:val="000000" w:themeColor="text1"/>
                      <w14:textFill>
                        <w14:solidFill>
                          <w14:schemeClr w14:val="tx1"/>
                        </w14:solidFill>
                      </w14:textFill>
                    </w:rPr>
                    <w:t>进入</w:t>
                  </w:r>
                  <w:r>
                    <w:rPr>
                      <w:rFonts w:hint="eastAsia"/>
                      <w:color w:val="000000" w:themeColor="text1"/>
                      <w14:textFill>
                        <w14:solidFill>
                          <w14:schemeClr w14:val="tx1"/>
                        </w14:solidFill>
                      </w14:textFill>
                    </w:rPr>
                    <w:t>3套</w:t>
                  </w:r>
                  <w:r>
                    <w:rPr>
                      <w:color w:val="000000" w:themeColor="text1"/>
                      <w14:textFill>
                        <w14:solidFill>
                          <w14:schemeClr w14:val="tx1"/>
                        </w14:solidFill>
                      </w14:textFill>
                    </w:rPr>
                    <w:t>水帘柜+</w:t>
                  </w:r>
                  <w:r>
                    <w:rPr>
                      <w:rFonts w:hint="eastAsia"/>
                      <w:color w:val="000000" w:themeColor="text1"/>
                      <w14:textFill>
                        <w14:solidFill>
                          <w14:schemeClr w14:val="tx1"/>
                        </w14:solidFill>
                      </w14:textFill>
                    </w:rPr>
                    <w:t>二级</w:t>
                  </w:r>
                  <w:r>
                    <w:rPr>
                      <w:color w:val="000000" w:themeColor="text1"/>
                      <w14:textFill>
                        <w14:solidFill>
                          <w14:schemeClr w14:val="tx1"/>
                        </w14:solidFill>
                      </w14:textFill>
                    </w:rPr>
                    <w:t>活性炭吸附装置</w:t>
                  </w:r>
                  <w:r>
                    <w:rPr>
                      <w:rFonts w:hint="eastAsia"/>
                      <w:color w:val="000000" w:themeColor="text1"/>
                      <w14:textFill>
                        <w14:solidFill>
                          <w14:schemeClr w14:val="tx1"/>
                        </w14:solidFill>
                      </w14:textFill>
                    </w:rPr>
                    <w:t>+15m高排气筒（DA002~DA004）排放；</w:t>
                  </w:r>
                </w:p>
                <w:p>
                  <w:pPr>
                    <w:spacing w:line="340" w:lineRule="exact"/>
                    <w:jc w:val="left"/>
                    <w:rPr>
                      <w:color w:val="000000" w:themeColor="text1"/>
                      <w14:textFill>
                        <w14:solidFill>
                          <w14:schemeClr w14:val="tx1"/>
                        </w14:solidFill>
                      </w14:textFill>
                    </w:rPr>
                  </w:pPr>
                  <w:r>
                    <w:rPr>
                      <w:color w:val="000000" w:themeColor="text1"/>
                      <w:szCs w:val="21"/>
                      <w14:textFill>
                        <w14:solidFill>
                          <w14:schemeClr w14:val="tx1"/>
                        </w14:solidFill>
                      </w14:textFill>
                    </w:rPr>
                    <w:t>木工</w:t>
                  </w:r>
                  <w:r>
                    <w:rPr>
                      <w:rFonts w:hint="eastAsia"/>
                      <w:color w:val="000000" w:themeColor="text1"/>
                      <w:szCs w:val="21"/>
                      <w14:textFill>
                        <w14:solidFill>
                          <w14:schemeClr w14:val="tx1"/>
                        </w14:solidFill>
                      </w14:textFill>
                    </w:rPr>
                    <w:t>砂光</w:t>
                  </w:r>
                  <w:r>
                    <w:rPr>
                      <w:color w:val="000000" w:themeColor="text1"/>
                      <w:szCs w:val="21"/>
                      <w14:textFill>
                        <w14:solidFill>
                          <w14:schemeClr w14:val="tx1"/>
                        </w14:solidFill>
                      </w14:textFill>
                    </w:rPr>
                    <w:t>过程产生的粉尘</w:t>
                  </w:r>
                  <w:r>
                    <w:rPr>
                      <w:rFonts w:hint="eastAsia"/>
                      <w:color w:val="000000" w:themeColor="text1"/>
                      <w:szCs w:val="21"/>
                      <w14:textFill>
                        <w14:solidFill>
                          <w14:schemeClr w14:val="tx1"/>
                        </w14:solidFill>
                      </w14:textFill>
                    </w:rPr>
                    <w:t>经</w:t>
                  </w:r>
                  <w:r>
                    <w:rPr>
                      <w:color w:val="000000" w:themeColor="text1"/>
                      <w:szCs w:val="21"/>
                      <w14:textFill>
                        <w14:solidFill>
                          <w14:schemeClr w14:val="tx1"/>
                        </w14:solidFill>
                      </w14:textFill>
                    </w:rPr>
                    <w:t>中央集尘处理</w:t>
                  </w:r>
                  <w:r>
                    <w:rPr>
                      <w:rFonts w:hint="eastAsia"/>
                      <w:color w:val="000000" w:themeColor="text1"/>
                      <w:szCs w:val="21"/>
                      <w:lang w:eastAsia="zh-CN"/>
                      <w14:textFill>
                        <w14:solidFill>
                          <w14:schemeClr w14:val="tx1"/>
                        </w14:solidFill>
                      </w14:textFill>
                    </w:rPr>
                    <w:t>后</w:t>
                  </w:r>
                  <w:r>
                    <w:rPr>
                      <w:color w:val="000000" w:themeColor="text1"/>
                      <w:szCs w:val="21"/>
                      <w14:textFill>
                        <w14:solidFill>
                          <w14:schemeClr w14:val="tx1"/>
                        </w14:solidFill>
                      </w14:textFill>
                    </w:rPr>
                    <w:t>通过厂房顶部1根15m高排气筒</w:t>
                  </w:r>
                  <w:r>
                    <w:rPr>
                      <w:rFonts w:hint="eastAsia"/>
                      <w:color w:val="000000" w:themeColor="text1"/>
                      <w:szCs w:val="21"/>
                      <w14:textFill>
                        <w14:solidFill>
                          <w14:schemeClr w14:val="tx1"/>
                        </w14:solidFill>
                      </w14:textFill>
                    </w:rPr>
                    <w:t>（DA005）</w:t>
                  </w:r>
                  <w:r>
                    <w:rPr>
                      <w:color w:val="000000" w:themeColor="text1"/>
                      <w:szCs w:val="21"/>
                      <w14:textFill>
                        <w14:solidFill>
                          <w14:schemeClr w14:val="tx1"/>
                        </w14:solidFill>
                      </w14:textFill>
                    </w:rPr>
                    <w:t>排放</w:t>
                  </w:r>
                  <w:r>
                    <w:rPr>
                      <w:rFonts w:hint="eastAsia"/>
                      <w:color w:val="000000" w:themeColor="text1"/>
                      <w:szCs w:val="21"/>
                      <w14:textFill>
                        <w14:solidFill>
                          <w14:schemeClr w14:val="tx1"/>
                        </w14:solidFill>
                      </w14:textFill>
                    </w:rPr>
                    <w:t>。</w:t>
                  </w:r>
                </w:p>
              </w:tc>
              <w:tc>
                <w:tcPr>
                  <w:tcW w:w="1734" w:type="dxa"/>
                  <w:tcBorders>
                    <w:tl2br w:val="nil"/>
                    <w:tr2bl w:val="nil"/>
                  </w:tcBorders>
                  <w:vAlign w:val="center"/>
                </w:tcPr>
                <w:p>
                  <w:pPr>
                    <w:spacing w:line="340" w:lineRule="exact"/>
                    <w:jc w:val="center"/>
                    <w:rPr>
                      <w:rFonts w:hint="eastAsia" w:eastAsia="宋体"/>
                      <w:color w:val="FF0000"/>
                      <w:szCs w:val="21"/>
                      <w:lang w:eastAsia="zh-CN"/>
                    </w:rPr>
                  </w:pPr>
                  <w:r>
                    <w:rPr>
                      <w:color w:val="FF0000"/>
                    </w:rPr>
                    <w:t>木工</w:t>
                  </w:r>
                  <w:r>
                    <w:rPr>
                      <w:rFonts w:hint="eastAsia"/>
                      <w:color w:val="FF0000"/>
                    </w:rPr>
                    <w:t>机加工</w:t>
                  </w:r>
                  <w:r>
                    <w:rPr>
                      <w:color w:val="FF0000"/>
                    </w:rPr>
                    <w:t>过程产生的粉尘</w:t>
                  </w:r>
                  <w:r>
                    <w:rPr>
                      <w:rFonts w:hint="eastAsia"/>
                      <w:color w:val="FF0000"/>
                      <w:szCs w:val="21"/>
                      <w:lang w:eastAsia="zh-CN"/>
                    </w:rPr>
                    <w:t>处理装置依托原有，其余新建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废水</w:t>
                  </w:r>
                </w:p>
              </w:tc>
              <w:tc>
                <w:tcPr>
                  <w:tcW w:w="4458" w:type="dxa"/>
                  <w:tcBorders>
                    <w:tl2br w:val="nil"/>
                    <w:tr2bl w:val="nil"/>
                  </w:tcBorders>
                  <w:vAlign w:val="center"/>
                </w:tcPr>
                <w:p>
                  <w:pPr>
                    <w:spacing w:line="340" w:lineRule="exact"/>
                    <w:jc w:val="left"/>
                    <w:rPr>
                      <w:szCs w:val="21"/>
                    </w:rPr>
                  </w:pPr>
                  <w:r>
                    <w:rPr>
                      <w:rFonts w:hint="eastAsia"/>
                      <w:szCs w:val="21"/>
                    </w:rPr>
                    <w:t>生活污水经化粪池预处理后通过园区管网进入江西余干工业园区（黄金埠）污水处理厂进行深度处理后达标排放至信江；生产废水循环使用，</w:t>
                  </w:r>
                  <w:r>
                    <w:rPr>
                      <w:rFonts w:hint="eastAsia"/>
                    </w:rPr>
                    <w:t>定期清掏沉渣，每</w:t>
                  </w:r>
                  <w:r>
                    <w:rPr>
                      <w:rFonts w:hint="eastAsia"/>
                      <w:lang w:val="en-US" w:eastAsia="zh-CN"/>
                    </w:rPr>
                    <w:t>3个</w:t>
                  </w:r>
                  <w:r>
                    <w:rPr>
                      <w:rFonts w:hint="eastAsia"/>
                    </w:rPr>
                    <w:t>月进行更换一次，废水作为危废处理。</w:t>
                  </w:r>
                </w:p>
              </w:tc>
              <w:tc>
                <w:tcPr>
                  <w:tcW w:w="1734" w:type="dxa"/>
                  <w:tcBorders>
                    <w:tl2br w:val="nil"/>
                    <w:tr2bl w:val="nil"/>
                  </w:tcBorders>
                  <w:vAlign w:val="center"/>
                </w:tcPr>
                <w:p>
                  <w:pPr>
                    <w:spacing w:line="340" w:lineRule="exact"/>
                    <w:jc w:val="center"/>
                    <w:rPr>
                      <w:rFonts w:hint="eastAsia" w:eastAsia="宋体"/>
                      <w:color w:val="FF0000"/>
                      <w:szCs w:val="21"/>
                      <w:lang w:eastAsia="zh-CN"/>
                    </w:rPr>
                  </w:pPr>
                  <w:r>
                    <w:rPr>
                      <w:rFonts w:hint="eastAsia"/>
                      <w:color w:val="FF0000"/>
                      <w:szCs w:val="21"/>
                      <w:lang w:eastAsia="zh-CN"/>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噪声</w:t>
                  </w:r>
                </w:p>
              </w:tc>
              <w:tc>
                <w:tcPr>
                  <w:tcW w:w="4458" w:type="dxa"/>
                  <w:tcBorders>
                    <w:tl2br w:val="nil"/>
                    <w:tr2bl w:val="nil"/>
                  </w:tcBorders>
                  <w:vAlign w:val="center"/>
                </w:tcPr>
                <w:p>
                  <w:pPr>
                    <w:spacing w:line="340" w:lineRule="exact"/>
                    <w:jc w:val="center"/>
                    <w:rPr>
                      <w:szCs w:val="21"/>
                    </w:rPr>
                  </w:pPr>
                  <w:r>
                    <w:rPr>
                      <w:rFonts w:hint="eastAsia"/>
                      <w:szCs w:val="21"/>
                    </w:rPr>
                    <w:t>选用低噪声设备、风机加装消声器、泵类减震等措施。</w:t>
                  </w:r>
                </w:p>
              </w:tc>
              <w:tc>
                <w:tcPr>
                  <w:tcW w:w="1734" w:type="dxa"/>
                  <w:tcBorders>
                    <w:tl2br w:val="nil"/>
                    <w:tr2bl w:val="nil"/>
                  </w:tcBorders>
                  <w:vAlign w:val="center"/>
                </w:tcPr>
                <w:p>
                  <w:pPr>
                    <w:spacing w:line="340" w:lineRule="exact"/>
                    <w:jc w:val="center"/>
                    <w:rPr>
                      <w:rFonts w:hint="eastAsia" w:eastAsia="宋体"/>
                      <w:color w:val="FF0000"/>
                      <w:szCs w:val="21"/>
                      <w:lang w:eastAsia="zh-CN"/>
                    </w:rPr>
                  </w:pPr>
                  <w:r>
                    <w:rPr>
                      <w:rFonts w:hint="eastAsia"/>
                      <w:color w:val="FF0000"/>
                      <w:szCs w:val="21"/>
                      <w:lang w:eastAsia="zh-CN"/>
                    </w:rPr>
                    <w:t>喷漆房内设备噪声治理措施新增，其余依托原有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87" w:type="dxa"/>
                  <w:vMerge w:val="continue"/>
                  <w:tcBorders>
                    <w:tl2br w:val="nil"/>
                    <w:tr2bl w:val="nil"/>
                  </w:tcBorders>
                  <w:vAlign w:val="center"/>
                </w:tcPr>
                <w:p>
                  <w:pPr>
                    <w:spacing w:line="340" w:lineRule="exact"/>
                    <w:jc w:val="center"/>
                    <w:rPr>
                      <w:szCs w:val="21"/>
                    </w:rPr>
                  </w:pPr>
                </w:p>
              </w:tc>
              <w:tc>
                <w:tcPr>
                  <w:tcW w:w="1201" w:type="dxa"/>
                  <w:tcBorders>
                    <w:tl2br w:val="nil"/>
                    <w:tr2bl w:val="nil"/>
                  </w:tcBorders>
                  <w:vAlign w:val="center"/>
                </w:tcPr>
                <w:p>
                  <w:pPr>
                    <w:spacing w:line="340" w:lineRule="exact"/>
                    <w:jc w:val="center"/>
                    <w:rPr>
                      <w:szCs w:val="21"/>
                    </w:rPr>
                  </w:pPr>
                  <w:r>
                    <w:rPr>
                      <w:rFonts w:hint="eastAsia"/>
                      <w:szCs w:val="21"/>
                    </w:rPr>
                    <w:t>固废</w:t>
                  </w:r>
                </w:p>
              </w:tc>
              <w:tc>
                <w:tcPr>
                  <w:tcW w:w="4458" w:type="dxa"/>
                  <w:tcBorders>
                    <w:tl2br w:val="nil"/>
                    <w:tr2bl w:val="nil"/>
                  </w:tcBorders>
                  <w:vAlign w:val="center"/>
                </w:tcPr>
                <w:p>
                  <w:pPr>
                    <w:spacing w:line="340" w:lineRule="exact"/>
                    <w:jc w:val="left"/>
                    <w:rPr>
                      <w:szCs w:val="21"/>
                    </w:rPr>
                  </w:pPr>
                  <w:r>
                    <w:rPr>
                      <w:rFonts w:hint="eastAsia"/>
                      <w:szCs w:val="21"/>
                    </w:rPr>
                    <w:t>设一般工业固废暂存间（面积</w:t>
                  </w:r>
                  <w:r>
                    <w:rPr>
                      <w:rFonts w:hint="eastAsia"/>
                      <w:szCs w:val="21"/>
                      <w:lang w:val="en-US" w:eastAsia="zh-CN"/>
                    </w:rPr>
                    <w:t>20</w:t>
                  </w:r>
                  <w:r>
                    <w:rPr>
                      <w:rFonts w:hint="eastAsia"/>
                      <w:szCs w:val="21"/>
                    </w:rPr>
                    <w:t>m</w:t>
                  </w:r>
                  <w:r>
                    <w:rPr>
                      <w:rFonts w:hint="eastAsia"/>
                      <w:szCs w:val="21"/>
                      <w:vertAlign w:val="superscript"/>
                    </w:rPr>
                    <w:t>2</w:t>
                  </w:r>
                  <w:r>
                    <w:rPr>
                      <w:rFonts w:hint="eastAsia"/>
                      <w:szCs w:val="21"/>
                    </w:rPr>
                    <w:t>），危废暂存间（面积</w:t>
                  </w:r>
                  <w:r>
                    <w:rPr>
                      <w:rFonts w:hint="eastAsia"/>
                      <w:szCs w:val="21"/>
                      <w:lang w:val="en-US" w:eastAsia="zh-CN"/>
                    </w:rPr>
                    <w:t>50</w:t>
                  </w:r>
                  <w:r>
                    <w:rPr>
                      <w:rFonts w:hint="eastAsia"/>
                      <w:szCs w:val="21"/>
                    </w:rPr>
                    <w:t>m</w:t>
                  </w:r>
                  <w:r>
                    <w:rPr>
                      <w:rFonts w:hint="eastAsia"/>
                      <w:szCs w:val="21"/>
                      <w:vertAlign w:val="superscript"/>
                    </w:rPr>
                    <w:t>2</w:t>
                  </w:r>
                  <w:r>
                    <w:rPr>
                      <w:rFonts w:hint="eastAsia"/>
                      <w:szCs w:val="21"/>
                    </w:rPr>
                    <w:t>）。</w:t>
                  </w:r>
                </w:p>
              </w:tc>
              <w:tc>
                <w:tcPr>
                  <w:tcW w:w="1734" w:type="dxa"/>
                  <w:tcBorders>
                    <w:tl2br w:val="nil"/>
                    <w:tr2bl w:val="nil"/>
                  </w:tcBorders>
                  <w:vAlign w:val="center"/>
                </w:tcPr>
                <w:p>
                  <w:pPr>
                    <w:spacing w:line="340" w:lineRule="exact"/>
                    <w:jc w:val="center"/>
                    <w:rPr>
                      <w:rFonts w:hint="eastAsia" w:eastAsia="宋体"/>
                      <w:color w:val="FF0000"/>
                      <w:szCs w:val="21"/>
                      <w:lang w:eastAsia="zh-CN"/>
                    </w:rPr>
                  </w:pPr>
                  <w:r>
                    <w:rPr>
                      <w:rFonts w:hint="eastAsia"/>
                      <w:color w:val="FF0000"/>
                      <w:szCs w:val="21"/>
                      <w:lang w:eastAsia="zh-CN"/>
                    </w:rPr>
                    <w:t>依托原有</w:t>
                  </w:r>
                </w:p>
              </w:tc>
            </w:tr>
          </w:tbl>
          <w:p>
            <w:pPr>
              <w:spacing w:line="360" w:lineRule="auto"/>
              <w:ind w:firstLine="480" w:firstLineChars="200"/>
              <w:rPr>
                <w:sz w:val="24"/>
              </w:rPr>
            </w:pPr>
            <w:r>
              <w:rPr>
                <w:rFonts w:hint="eastAsia"/>
                <w:sz w:val="24"/>
              </w:rPr>
              <w:t>2、</w:t>
            </w:r>
            <w:r>
              <w:rPr>
                <w:sz w:val="24"/>
              </w:rPr>
              <w:t>项目原辅材料及能源消耗</w:t>
            </w:r>
          </w:p>
          <w:p>
            <w:pPr>
              <w:spacing w:line="360" w:lineRule="auto"/>
              <w:ind w:firstLine="480" w:firstLineChars="200"/>
              <w:jc w:val="left"/>
            </w:pPr>
            <w:r>
              <w:rPr>
                <w:rFonts w:hint="eastAsia"/>
                <w:sz w:val="24"/>
              </w:rPr>
              <w:t>本项目主要原辅材料使用情况见表2-3。</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r>
              <w:rPr>
                <w:rFonts w:hint="eastAsia" w:eastAsia="黑体"/>
                <w:kern w:val="0"/>
                <w:sz w:val="24"/>
              </w:rPr>
              <w:t>表2-3  原辅材料及能源消耗表</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731"/>
              <w:gridCol w:w="2182"/>
              <w:gridCol w:w="2687"/>
              <w:gridCol w:w="8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vAlign w:val="center"/>
                </w:tcPr>
                <w:p>
                  <w:pPr>
                    <w:spacing w:line="340" w:lineRule="atLeast"/>
                    <w:jc w:val="center"/>
                    <w:rPr>
                      <w:szCs w:val="21"/>
                    </w:rPr>
                  </w:pPr>
                  <w:r>
                    <w:rPr>
                      <w:rFonts w:hint="eastAsia"/>
                      <w:szCs w:val="21"/>
                    </w:rPr>
                    <w:t>名称</w:t>
                  </w:r>
                </w:p>
              </w:tc>
              <w:tc>
                <w:tcPr>
                  <w:tcW w:w="1731" w:type="dxa"/>
                  <w:tcMar>
                    <w:left w:w="0" w:type="dxa"/>
                    <w:right w:w="0" w:type="dxa"/>
                  </w:tcMar>
                  <w:vAlign w:val="center"/>
                </w:tcPr>
                <w:p>
                  <w:pPr>
                    <w:spacing w:line="340" w:lineRule="atLeast"/>
                    <w:jc w:val="center"/>
                    <w:rPr>
                      <w:szCs w:val="21"/>
                    </w:rPr>
                  </w:pPr>
                  <w:r>
                    <w:rPr>
                      <w:rFonts w:hint="eastAsia"/>
                      <w:szCs w:val="21"/>
                    </w:rPr>
                    <w:t>变更后年用量</w:t>
                  </w:r>
                </w:p>
              </w:tc>
              <w:tc>
                <w:tcPr>
                  <w:tcW w:w="2182" w:type="dxa"/>
                  <w:tcMar>
                    <w:left w:w="0" w:type="dxa"/>
                    <w:right w:w="0" w:type="dxa"/>
                  </w:tcMar>
                  <w:vAlign w:val="center"/>
                </w:tcPr>
                <w:p>
                  <w:pPr>
                    <w:spacing w:line="340" w:lineRule="atLeast"/>
                    <w:jc w:val="center"/>
                    <w:rPr>
                      <w:szCs w:val="21"/>
                    </w:rPr>
                  </w:pPr>
                  <w:r>
                    <w:rPr>
                      <w:rFonts w:hint="eastAsia"/>
                      <w:szCs w:val="21"/>
                    </w:rPr>
                    <w:t>变更前年用量</w:t>
                  </w:r>
                </w:p>
              </w:tc>
              <w:tc>
                <w:tcPr>
                  <w:tcW w:w="2687" w:type="dxa"/>
                  <w:vAlign w:val="center"/>
                </w:tcPr>
                <w:p>
                  <w:pPr>
                    <w:spacing w:line="340" w:lineRule="atLeast"/>
                    <w:jc w:val="center"/>
                    <w:rPr>
                      <w:szCs w:val="21"/>
                    </w:rPr>
                  </w:pPr>
                  <w:r>
                    <w:rPr>
                      <w:rFonts w:hint="eastAsia"/>
                      <w:szCs w:val="21"/>
                    </w:rPr>
                    <w:t>备注</w:t>
                  </w:r>
                </w:p>
              </w:tc>
              <w:tc>
                <w:tcPr>
                  <w:tcW w:w="883" w:type="dxa"/>
                  <w:vAlign w:val="center"/>
                </w:tcPr>
                <w:p>
                  <w:pPr>
                    <w:spacing w:line="340" w:lineRule="atLeast"/>
                    <w:jc w:val="center"/>
                    <w:rPr>
                      <w:rFonts w:hint="eastAsia" w:eastAsia="宋体"/>
                      <w:szCs w:val="21"/>
                      <w:lang w:eastAsia="zh-CN"/>
                    </w:rPr>
                  </w:pPr>
                  <w:r>
                    <w:rPr>
                      <w:rFonts w:hint="eastAsia"/>
                      <w:szCs w:val="21"/>
                      <w:lang w:eastAsia="zh-CN"/>
                    </w:rPr>
                    <w:t>包装方式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60" w:lineRule="auto"/>
                    <w:jc w:val="center"/>
                  </w:pPr>
                  <w:r>
                    <w:t>密度板</w:t>
                  </w:r>
                </w:p>
              </w:tc>
              <w:tc>
                <w:tcPr>
                  <w:tcW w:w="1731" w:type="dxa"/>
                  <w:tcMar>
                    <w:left w:w="0" w:type="dxa"/>
                    <w:right w:w="0" w:type="dxa"/>
                  </w:tcMar>
                </w:tcPr>
                <w:p>
                  <w:pPr>
                    <w:spacing w:line="360" w:lineRule="auto"/>
                    <w:jc w:val="center"/>
                  </w:pPr>
                  <w:r>
                    <w:t>2万片（约600m</w:t>
                  </w:r>
                  <w:r>
                    <w:rPr>
                      <w:vertAlign w:val="superscript"/>
                    </w:rPr>
                    <w:t>3</w:t>
                  </w:r>
                  <w:r>
                    <w:t>/a）</w:t>
                  </w:r>
                </w:p>
              </w:tc>
              <w:tc>
                <w:tcPr>
                  <w:tcW w:w="2182" w:type="dxa"/>
                  <w:tcMar>
                    <w:left w:w="0" w:type="dxa"/>
                    <w:right w:w="0" w:type="dxa"/>
                  </w:tcMar>
                </w:tcPr>
                <w:p>
                  <w:pPr>
                    <w:spacing w:line="360" w:lineRule="auto"/>
                    <w:jc w:val="center"/>
                  </w:pPr>
                  <w:r>
                    <w:rPr>
                      <w:rFonts w:hint="eastAsia"/>
                    </w:rPr>
                    <w:t>1.5</w:t>
                  </w:r>
                  <w:r>
                    <w:t>万片（约</w:t>
                  </w:r>
                  <w:r>
                    <w:rPr>
                      <w:rFonts w:hint="eastAsia"/>
                    </w:rPr>
                    <w:t>4</w:t>
                  </w:r>
                  <w:r>
                    <w:t>00m</w:t>
                  </w:r>
                  <w:r>
                    <w:rPr>
                      <w:vertAlign w:val="superscript"/>
                    </w:rPr>
                    <w:t>3</w:t>
                  </w:r>
                  <w:r>
                    <w:t>/a）</w:t>
                  </w:r>
                </w:p>
              </w:tc>
              <w:tc>
                <w:tcPr>
                  <w:tcW w:w="2687" w:type="dxa"/>
                  <w:vAlign w:val="center"/>
                </w:tcPr>
                <w:p>
                  <w:pPr>
                    <w:jc w:val="center"/>
                    <w:rPr>
                      <w:snapToGrid w:val="0"/>
                      <w:spacing w:val="-6"/>
                      <w:szCs w:val="21"/>
                    </w:rPr>
                  </w:pPr>
                  <w:r>
                    <w:rPr>
                      <w:rFonts w:hint="eastAsia"/>
                      <w:snapToGrid w:val="0"/>
                      <w:spacing w:val="-6"/>
                      <w:szCs w:val="21"/>
                    </w:rPr>
                    <w:t>/</w:t>
                  </w:r>
                </w:p>
              </w:tc>
              <w:tc>
                <w:tcPr>
                  <w:tcW w:w="883" w:type="dxa"/>
                  <w:vAlign w:val="center"/>
                </w:tcPr>
                <w:p>
                  <w:pPr>
                    <w:jc w:val="center"/>
                    <w:rPr>
                      <w:rFonts w:hint="eastAsia" w:eastAsia="宋体"/>
                      <w:snapToGrid w:val="0"/>
                      <w:color w:val="FF0000"/>
                      <w:spacing w:val="-6"/>
                      <w:szCs w:val="21"/>
                      <w:lang w:val="en-US" w:eastAsia="zh-CN"/>
                    </w:rPr>
                  </w:pPr>
                  <w:r>
                    <w:rPr>
                      <w:rFonts w:hint="eastAsia"/>
                      <w:snapToGrid w:val="0"/>
                      <w:color w:val="FF0000"/>
                      <w:spacing w:val="-6"/>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40" w:lineRule="atLeast"/>
                    <w:jc w:val="center"/>
                    <w:rPr>
                      <w:szCs w:val="21"/>
                    </w:rPr>
                  </w:pPr>
                  <w:r>
                    <w:rPr>
                      <w:szCs w:val="21"/>
                    </w:rPr>
                    <w:t>UV</w:t>
                  </w:r>
                  <w:r>
                    <w:rPr>
                      <w:rFonts w:hint="eastAsia"/>
                      <w:szCs w:val="21"/>
                    </w:rPr>
                    <w:t>滚涂白底</w:t>
                  </w:r>
                </w:p>
              </w:tc>
              <w:tc>
                <w:tcPr>
                  <w:tcW w:w="1731" w:type="dxa"/>
                  <w:tcMar>
                    <w:left w:w="0" w:type="dxa"/>
                    <w:right w:w="0" w:type="dxa"/>
                  </w:tcMar>
                </w:tcPr>
                <w:p>
                  <w:pPr>
                    <w:spacing w:line="340" w:lineRule="atLeast"/>
                    <w:jc w:val="center"/>
                    <w:rPr>
                      <w:szCs w:val="21"/>
                    </w:rPr>
                  </w:pPr>
                  <w:r>
                    <w:rPr>
                      <w:rFonts w:hint="eastAsia"/>
                      <w:szCs w:val="21"/>
                    </w:rPr>
                    <w:t>1.5t</w:t>
                  </w:r>
                </w:p>
              </w:tc>
              <w:tc>
                <w:tcPr>
                  <w:tcW w:w="2182" w:type="dxa"/>
                  <w:tcMar>
                    <w:left w:w="0" w:type="dxa"/>
                    <w:right w:w="0" w:type="dxa"/>
                  </w:tcMar>
                </w:tcPr>
                <w:p>
                  <w:pPr>
                    <w:spacing w:line="340" w:lineRule="atLeast"/>
                    <w:jc w:val="center"/>
                    <w:rPr>
                      <w:szCs w:val="21"/>
                    </w:rPr>
                  </w:pPr>
                  <w:r>
                    <w:rPr>
                      <w:rFonts w:hint="eastAsia"/>
                      <w:szCs w:val="21"/>
                    </w:rPr>
                    <w:t>1t</w:t>
                  </w:r>
                </w:p>
              </w:tc>
              <w:tc>
                <w:tcPr>
                  <w:tcW w:w="2687" w:type="dxa"/>
                  <w:vAlign w:val="center"/>
                </w:tcPr>
                <w:p>
                  <w:pPr>
                    <w:spacing w:line="340" w:lineRule="atLeast"/>
                    <w:jc w:val="center"/>
                    <w:rPr>
                      <w:szCs w:val="21"/>
                    </w:rPr>
                  </w:pPr>
                  <w:r>
                    <w:rPr>
                      <w:rFonts w:hint="eastAsia"/>
                      <w:szCs w:val="21"/>
                    </w:rPr>
                    <w:t>TVOC含量：2.389%（根据密度为1.31，</w:t>
                  </w:r>
                </w:p>
                <w:p>
                  <w:pPr>
                    <w:spacing w:line="340" w:lineRule="atLeast"/>
                    <w:jc w:val="left"/>
                    <w:rPr>
                      <w:szCs w:val="21"/>
                    </w:rPr>
                  </w:pPr>
                  <w:r>
                    <w:rPr>
                      <w:rFonts w:hint="eastAsia"/>
                      <w:szCs w:val="21"/>
                    </w:rPr>
                    <w:t>TVOC含量27g/L进行折算）</w:t>
                  </w:r>
                </w:p>
              </w:tc>
              <w:tc>
                <w:tcPr>
                  <w:tcW w:w="883" w:type="dxa"/>
                  <w:vAlign w:val="center"/>
                </w:tcPr>
                <w:p>
                  <w:pPr>
                    <w:spacing w:line="340" w:lineRule="atLeast"/>
                    <w:jc w:val="center"/>
                    <w:rPr>
                      <w:rFonts w:hint="eastAsia" w:eastAsia="宋体"/>
                      <w:color w:val="FF0000"/>
                      <w:szCs w:val="21"/>
                      <w:lang w:eastAsia="zh-CN"/>
                    </w:rPr>
                  </w:pPr>
                  <w:r>
                    <w:rPr>
                      <w:rFonts w:hint="eastAsia"/>
                      <w:color w:val="FF0000"/>
                      <w:szCs w:val="21"/>
                      <w:lang w:eastAsia="zh-CN"/>
                    </w:rPr>
                    <w:t>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40" w:lineRule="atLeast"/>
                    <w:jc w:val="center"/>
                    <w:rPr>
                      <w:szCs w:val="21"/>
                    </w:rPr>
                  </w:pPr>
                  <w:r>
                    <w:rPr>
                      <w:rFonts w:hint="eastAsia"/>
                      <w:szCs w:val="21"/>
                    </w:rPr>
                    <w:t>UV滚涂腻子</w:t>
                  </w:r>
                </w:p>
              </w:tc>
              <w:tc>
                <w:tcPr>
                  <w:tcW w:w="1731" w:type="dxa"/>
                  <w:tcMar>
                    <w:left w:w="0" w:type="dxa"/>
                    <w:right w:w="0" w:type="dxa"/>
                  </w:tcMar>
                </w:tcPr>
                <w:p>
                  <w:pPr>
                    <w:spacing w:line="340" w:lineRule="atLeast"/>
                    <w:jc w:val="center"/>
                    <w:rPr>
                      <w:szCs w:val="21"/>
                    </w:rPr>
                  </w:pPr>
                  <w:r>
                    <w:rPr>
                      <w:rFonts w:hint="eastAsia"/>
                      <w:szCs w:val="21"/>
                    </w:rPr>
                    <w:t>1.5t</w:t>
                  </w:r>
                </w:p>
              </w:tc>
              <w:tc>
                <w:tcPr>
                  <w:tcW w:w="2182" w:type="dxa"/>
                  <w:tcMar>
                    <w:left w:w="0" w:type="dxa"/>
                    <w:right w:w="0" w:type="dxa"/>
                  </w:tcMar>
                </w:tcPr>
                <w:p>
                  <w:pPr>
                    <w:spacing w:line="340" w:lineRule="atLeast"/>
                    <w:jc w:val="center"/>
                    <w:rPr>
                      <w:szCs w:val="21"/>
                    </w:rPr>
                  </w:pPr>
                  <w:r>
                    <w:rPr>
                      <w:rFonts w:hint="eastAsia"/>
                      <w:szCs w:val="21"/>
                    </w:rPr>
                    <w:t>1t</w:t>
                  </w:r>
                </w:p>
              </w:tc>
              <w:tc>
                <w:tcPr>
                  <w:tcW w:w="2687" w:type="dxa"/>
                  <w:vAlign w:val="center"/>
                </w:tcPr>
                <w:p>
                  <w:pPr>
                    <w:spacing w:line="340" w:lineRule="atLeast"/>
                    <w:jc w:val="center"/>
                    <w:rPr>
                      <w:szCs w:val="21"/>
                    </w:rPr>
                  </w:pPr>
                  <w:r>
                    <w:rPr>
                      <w:rFonts w:hint="eastAsia"/>
                      <w:szCs w:val="21"/>
                    </w:rPr>
                    <w:t>TVOC含量15g/kg</w:t>
                  </w:r>
                </w:p>
              </w:tc>
              <w:tc>
                <w:tcPr>
                  <w:tcW w:w="883" w:type="dxa"/>
                  <w:vAlign w:val="center"/>
                </w:tcPr>
                <w:p>
                  <w:pPr>
                    <w:spacing w:line="340" w:lineRule="atLeast"/>
                    <w:jc w:val="center"/>
                    <w:rPr>
                      <w:rFonts w:hint="eastAsia"/>
                      <w:color w:val="FF0000"/>
                      <w:szCs w:val="21"/>
                    </w:rPr>
                  </w:pPr>
                  <w:r>
                    <w:rPr>
                      <w:rFonts w:hint="eastAsia"/>
                      <w:color w:val="FF0000"/>
                      <w:szCs w:val="21"/>
                      <w:lang w:eastAsia="zh-CN"/>
                    </w:rPr>
                    <w:t>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697" w:type="dxa"/>
                  <w:tcMar>
                    <w:left w:w="0" w:type="dxa"/>
                    <w:right w:w="0" w:type="dxa"/>
                  </w:tcMar>
                </w:tcPr>
                <w:p>
                  <w:pPr>
                    <w:spacing w:line="340" w:lineRule="atLeast"/>
                    <w:jc w:val="center"/>
                    <w:rPr>
                      <w:szCs w:val="21"/>
                    </w:rPr>
                  </w:pPr>
                  <w:r>
                    <w:rPr>
                      <w:szCs w:val="21"/>
                    </w:rPr>
                    <w:t>P</w:t>
                  </w:r>
                  <w:r>
                    <w:rPr>
                      <w:rFonts w:hint="eastAsia"/>
                      <w:szCs w:val="21"/>
                    </w:rPr>
                    <w:t>U</w:t>
                  </w:r>
                  <w:r>
                    <w:rPr>
                      <w:szCs w:val="21"/>
                    </w:rPr>
                    <w:t>漆</w:t>
                  </w:r>
                </w:p>
              </w:tc>
              <w:tc>
                <w:tcPr>
                  <w:tcW w:w="1731" w:type="dxa"/>
                  <w:tcMar>
                    <w:left w:w="0" w:type="dxa"/>
                    <w:right w:w="0" w:type="dxa"/>
                  </w:tcMar>
                </w:tcPr>
                <w:p>
                  <w:pPr>
                    <w:spacing w:line="340" w:lineRule="atLeast"/>
                    <w:jc w:val="center"/>
                    <w:rPr>
                      <w:szCs w:val="21"/>
                    </w:rPr>
                  </w:pPr>
                  <w:r>
                    <w:rPr>
                      <w:rFonts w:hint="eastAsia"/>
                      <w:szCs w:val="21"/>
                    </w:rPr>
                    <w:t>3.73t</w:t>
                  </w:r>
                </w:p>
              </w:tc>
              <w:tc>
                <w:tcPr>
                  <w:tcW w:w="2182" w:type="dxa"/>
                  <w:tcMar>
                    <w:left w:w="0" w:type="dxa"/>
                    <w:right w:w="0" w:type="dxa"/>
                  </w:tcMar>
                </w:tcPr>
                <w:p>
                  <w:pPr>
                    <w:spacing w:line="340" w:lineRule="atLeast"/>
                    <w:jc w:val="center"/>
                    <w:rPr>
                      <w:szCs w:val="21"/>
                    </w:rPr>
                  </w:pPr>
                  <w:r>
                    <w:rPr>
                      <w:rFonts w:hint="eastAsia"/>
                      <w:szCs w:val="21"/>
                    </w:rPr>
                    <w:t>2t</w:t>
                  </w:r>
                </w:p>
              </w:tc>
              <w:tc>
                <w:tcPr>
                  <w:tcW w:w="2687" w:type="dxa"/>
                  <w:vAlign w:val="center"/>
                </w:tcPr>
                <w:p>
                  <w:pPr>
                    <w:spacing w:line="340" w:lineRule="atLeast"/>
                    <w:jc w:val="left"/>
                    <w:rPr>
                      <w:szCs w:val="21"/>
                    </w:rPr>
                  </w:pPr>
                  <w:r>
                    <w:rPr>
                      <w:rFonts w:hint="eastAsia"/>
                      <w:szCs w:val="21"/>
                    </w:rPr>
                    <w:t>TVOC含量：52.74</w:t>
                  </w:r>
                  <w:r>
                    <w:rPr>
                      <w:szCs w:val="21"/>
                    </w:rPr>
                    <w:t>%</w:t>
                  </w:r>
                  <w:r>
                    <w:rPr>
                      <w:rFonts w:hint="eastAsia"/>
                      <w:szCs w:val="21"/>
                    </w:rPr>
                    <w:t>（根据密度1.022，TVOC含量539g/L进行折算）</w:t>
                  </w:r>
                </w:p>
                <w:p>
                  <w:pPr>
                    <w:spacing w:line="340" w:lineRule="atLeast"/>
                    <w:jc w:val="left"/>
                    <w:rPr>
                      <w:szCs w:val="21"/>
                    </w:rPr>
                  </w:pPr>
                  <w:r>
                    <w:rPr>
                      <w:rFonts w:hint="eastAsia"/>
                      <w:szCs w:val="21"/>
                    </w:rPr>
                    <w:t>甲苯与二甲苯（含乙苯）总和含量/%：12</w:t>
                  </w:r>
                </w:p>
              </w:tc>
              <w:tc>
                <w:tcPr>
                  <w:tcW w:w="883" w:type="dxa"/>
                  <w:vAlign w:val="center"/>
                </w:tcPr>
                <w:p>
                  <w:pPr>
                    <w:spacing w:line="340" w:lineRule="atLeast"/>
                    <w:jc w:val="center"/>
                    <w:rPr>
                      <w:rFonts w:hint="eastAsia"/>
                      <w:color w:val="FF0000"/>
                      <w:szCs w:val="21"/>
                    </w:rPr>
                  </w:pPr>
                  <w:r>
                    <w:rPr>
                      <w:rFonts w:hint="eastAsia"/>
                      <w:color w:val="FF0000"/>
                      <w:szCs w:val="21"/>
                      <w:lang w:eastAsia="zh-CN"/>
                    </w:rPr>
                    <w:t>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40" w:lineRule="atLeast"/>
                    <w:jc w:val="center"/>
                    <w:rPr>
                      <w:szCs w:val="21"/>
                    </w:rPr>
                  </w:pPr>
                  <w:r>
                    <w:rPr>
                      <w:rFonts w:hint="eastAsia"/>
                      <w:szCs w:val="21"/>
                    </w:rPr>
                    <w:t>PU</w:t>
                  </w:r>
                  <w:r>
                    <w:rPr>
                      <w:szCs w:val="21"/>
                    </w:rPr>
                    <w:t>溶剂</w:t>
                  </w:r>
                </w:p>
              </w:tc>
              <w:tc>
                <w:tcPr>
                  <w:tcW w:w="1731" w:type="dxa"/>
                  <w:tcMar>
                    <w:left w:w="0" w:type="dxa"/>
                    <w:right w:w="0" w:type="dxa"/>
                  </w:tcMar>
                </w:tcPr>
                <w:p>
                  <w:pPr>
                    <w:spacing w:line="340" w:lineRule="atLeast"/>
                    <w:jc w:val="center"/>
                    <w:rPr>
                      <w:szCs w:val="21"/>
                    </w:rPr>
                  </w:pPr>
                  <w:r>
                    <w:rPr>
                      <w:szCs w:val="21"/>
                    </w:rPr>
                    <w:t>1</w:t>
                  </w:r>
                  <w:r>
                    <w:rPr>
                      <w:rFonts w:hint="eastAsia"/>
                      <w:szCs w:val="21"/>
                    </w:rPr>
                    <w:t>.5t</w:t>
                  </w:r>
                </w:p>
              </w:tc>
              <w:tc>
                <w:tcPr>
                  <w:tcW w:w="2182" w:type="dxa"/>
                  <w:tcMar>
                    <w:left w:w="0" w:type="dxa"/>
                    <w:right w:w="0" w:type="dxa"/>
                  </w:tcMar>
                </w:tcPr>
                <w:p>
                  <w:pPr>
                    <w:spacing w:line="340" w:lineRule="atLeast"/>
                    <w:jc w:val="center"/>
                    <w:rPr>
                      <w:szCs w:val="21"/>
                    </w:rPr>
                  </w:pPr>
                  <w:r>
                    <w:rPr>
                      <w:rFonts w:hint="eastAsia"/>
                      <w:szCs w:val="21"/>
                    </w:rPr>
                    <w:t>1t</w:t>
                  </w:r>
                </w:p>
              </w:tc>
              <w:tc>
                <w:tcPr>
                  <w:tcW w:w="2687" w:type="dxa"/>
                  <w:vAlign w:val="center"/>
                </w:tcPr>
                <w:p>
                  <w:pPr>
                    <w:spacing w:line="340" w:lineRule="atLeast"/>
                    <w:jc w:val="center"/>
                    <w:rPr>
                      <w:szCs w:val="21"/>
                    </w:rPr>
                  </w:pPr>
                  <w:r>
                    <w:rPr>
                      <w:rFonts w:hint="eastAsia"/>
                      <w:szCs w:val="21"/>
                    </w:rPr>
                    <w:t>TVOC含量：100%</w:t>
                  </w:r>
                </w:p>
                <w:p>
                  <w:pPr>
                    <w:spacing w:line="340" w:lineRule="atLeast"/>
                    <w:jc w:val="center"/>
                    <w:rPr>
                      <w:szCs w:val="21"/>
                    </w:rPr>
                  </w:pPr>
                  <w:r>
                    <w:rPr>
                      <w:rFonts w:hint="eastAsia"/>
                      <w:szCs w:val="21"/>
                    </w:rPr>
                    <w:t>甲苯与二甲苯总和%：26</w:t>
                  </w:r>
                </w:p>
              </w:tc>
              <w:tc>
                <w:tcPr>
                  <w:tcW w:w="883" w:type="dxa"/>
                  <w:vAlign w:val="center"/>
                </w:tcPr>
                <w:p>
                  <w:pPr>
                    <w:spacing w:line="340" w:lineRule="atLeast"/>
                    <w:jc w:val="center"/>
                    <w:rPr>
                      <w:rFonts w:hint="eastAsia"/>
                      <w:color w:val="FF0000"/>
                      <w:szCs w:val="21"/>
                    </w:rPr>
                  </w:pPr>
                  <w:r>
                    <w:rPr>
                      <w:rFonts w:hint="eastAsia"/>
                      <w:color w:val="FF0000"/>
                      <w:szCs w:val="21"/>
                      <w:lang w:eastAsia="zh-CN"/>
                    </w:rPr>
                    <w:t>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40" w:lineRule="atLeast"/>
                    <w:jc w:val="center"/>
                    <w:rPr>
                      <w:szCs w:val="21"/>
                    </w:rPr>
                  </w:pPr>
                  <w:r>
                    <w:rPr>
                      <w:szCs w:val="21"/>
                    </w:rPr>
                    <w:t>铝型材</w:t>
                  </w:r>
                </w:p>
              </w:tc>
              <w:tc>
                <w:tcPr>
                  <w:tcW w:w="1731" w:type="dxa"/>
                  <w:tcMar>
                    <w:left w:w="0" w:type="dxa"/>
                    <w:right w:w="0" w:type="dxa"/>
                  </w:tcMar>
                </w:tcPr>
                <w:p>
                  <w:pPr>
                    <w:spacing w:line="340" w:lineRule="atLeast"/>
                    <w:jc w:val="center"/>
                    <w:rPr>
                      <w:szCs w:val="21"/>
                    </w:rPr>
                  </w:pPr>
                  <w:r>
                    <w:rPr>
                      <w:szCs w:val="21"/>
                    </w:rPr>
                    <w:t>5</w:t>
                  </w:r>
                  <w:r>
                    <w:rPr>
                      <w:rFonts w:hint="eastAsia"/>
                      <w:szCs w:val="21"/>
                    </w:rPr>
                    <w:t>t</w:t>
                  </w:r>
                </w:p>
              </w:tc>
              <w:tc>
                <w:tcPr>
                  <w:tcW w:w="2182" w:type="dxa"/>
                  <w:tcMar>
                    <w:left w:w="0" w:type="dxa"/>
                    <w:right w:w="0" w:type="dxa"/>
                  </w:tcMar>
                </w:tcPr>
                <w:p>
                  <w:pPr>
                    <w:spacing w:line="340" w:lineRule="atLeast"/>
                    <w:jc w:val="center"/>
                    <w:rPr>
                      <w:szCs w:val="21"/>
                    </w:rPr>
                  </w:pPr>
                  <w:r>
                    <w:rPr>
                      <w:szCs w:val="21"/>
                    </w:rPr>
                    <w:t>5</w:t>
                  </w:r>
                  <w:r>
                    <w:rPr>
                      <w:rFonts w:hint="eastAsia"/>
                      <w:szCs w:val="21"/>
                    </w:rPr>
                    <w:t>t</w:t>
                  </w:r>
                </w:p>
              </w:tc>
              <w:tc>
                <w:tcPr>
                  <w:tcW w:w="2687" w:type="dxa"/>
                  <w:vAlign w:val="center"/>
                </w:tcPr>
                <w:p>
                  <w:pPr>
                    <w:spacing w:line="340" w:lineRule="atLeast"/>
                    <w:jc w:val="center"/>
                  </w:pPr>
                  <w:r>
                    <w:rPr>
                      <w:rFonts w:hint="eastAsia"/>
                    </w:rPr>
                    <w:t>/</w:t>
                  </w:r>
                </w:p>
              </w:tc>
              <w:tc>
                <w:tcPr>
                  <w:tcW w:w="883" w:type="dxa"/>
                  <w:vAlign w:val="center"/>
                </w:tcPr>
                <w:p>
                  <w:pPr>
                    <w:spacing w:line="340" w:lineRule="atLeast"/>
                    <w:jc w:val="center"/>
                    <w:rPr>
                      <w:rFonts w:hint="eastAsia" w:eastAsia="宋体"/>
                      <w:color w:val="FF0000"/>
                      <w:lang w:val="en-US" w:eastAsia="zh-CN"/>
                    </w:rPr>
                  </w:pPr>
                  <w:r>
                    <w:rPr>
                      <w:rFonts w:hint="eastAsia"/>
                      <w:color w:val="FF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40" w:lineRule="atLeast"/>
                    <w:jc w:val="center"/>
                    <w:rPr>
                      <w:szCs w:val="21"/>
                    </w:rPr>
                  </w:pPr>
                  <w:r>
                    <w:rPr>
                      <w:szCs w:val="21"/>
                    </w:rPr>
                    <w:t>油墨</w:t>
                  </w:r>
                </w:p>
              </w:tc>
              <w:tc>
                <w:tcPr>
                  <w:tcW w:w="1731" w:type="dxa"/>
                  <w:tcMar>
                    <w:left w:w="0" w:type="dxa"/>
                    <w:right w:w="0" w:type="dxa"/>
                  </w:tcMar>
                </w:tcPr>
                <w:p>
                  <w:pPr>
                    <w:spacing w:line="340" w:lineRule="atLeast"/>
                    <w:jc w:val="center"/>
                    <w:rPr>
                      <w:szCs w:val="21"/>
                    </w:rPr>
                  </w:pPr>
                  <w:r>
                    <w:rPr>
                      <w:rFonts w:hint="eastAsia"/>
                      <w:szCs w:val="21"/>
                    </w:rPr>
                    <w:t>0</w:t>
                  </w:r>
                </w:p>
              </w:tc>
              <w:tc>
                <w:tcPr>
                  <w:tcW w:w="2182" w:type="dxa"/>
                  <w:tcMar>
                    <w:left w:w="0" w:type="dxa"/>
                    <w:right w:w="0" w:type="dxa"/>
                  </w:tcMar>
                </w:tcPr>
                <w:p>
                  <w:pPr>
                    <w:spacing w:line="340" w:lineRule="atLeast"/>
                    <w:jc w:val="center"/>
                    <w:rPr>
                      <w:szCs w:val="21"/>
                    </w:rPr>
                  </w:pPr>
                  <w:r>
                    <w:rPr>
                      <w:szCs w:val="21"/>
                    </w:rPr>
                    <w:t>100</w:t>
                  </w:r>
                  <w:r>
                    <w:rPr>
                      <w:rFonts w:hint="eastAsia"/>
                      <w:szCs w:val="21"/>
                    </w:rPr>
                    <w:t xml:space="preserve"> kg</w:t>
                  </w:r>
                </w:p>
              </w:tc>
              <w:tc>
                <w:tcPr>
                  <w:tcW w:w="2687" w:type="dxa"/>
                  <w:vAlign w:val="center"/>
                </w:tcPr>
                <w:p>
                  <w:pPr>
                    <w:spacing w:line="340" w:lineRule="atLeast"/>
                    <w:jc w:val="center"/>
                    <w:rPr>
                      <w:szCs w:val="21"/>
                    </w:rPr>
                  </w:pPr>
                  <w:r>
                    <w:rPr>
                      <w:rFonts w:hint="eastAsia"/>
                    </w:rPr>
                    <w:t>/</w:t>
                  </w:r>
                </w:p>
              </w:tc>
              <w:tc>
                <w:tcPr>
                  <w:tcW w:w="883" w:type="dxa"/>
                  <w:vAlign w:val="center"/>
                </w:tcPr>
                <w:p>
                  <w:pPr>
                    <w:spacing w:line="340" w:lineRule="atLeast"/>
                    <w:jc w:val="center"/>
                    <w:rPr>
                      <w:rFonts w:hint="eastAsia"/>
                      <w:color w:val="FF0000"/>
                    </w:rPr>
                  </w:pPr>
                  <w:r>
                    <w:rPr>
                      <w:rFonts w:hint="eastAsia"/>
                      <w:color w:val="FF0000"/>
                      <w:szCs w:val="21"/>
                      <w:lang w:eastAsia="zh-CN"/>
                    </w:rPr>
                    <w:t>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tcMar>
                    <w:left w:w="0" w:type="dxa"/>
                    <w:right w:w="0" w:type="dxa"/>
                  </w:tcMar>
                </w:tcPr>
                <w:p>
                  <w:pPr>
                    <w:spacing w:line="340" w:lineRule="atLeast"/>
                    <w:jc w:val="center"/>
                    <w:rPr>
                      <w:szCs w:val="21"/>
                    </w:rPr>
                  </w:pPr>
                  <w:r>
                    <w:rPr>
                      <w:szCs w:val="21"/>
                    </w:rPr>
                    <w:t>白乳胶</w:t>
                  </w:r>
                </w:p>
              </w:tc>
              <w:tc>
                <w:tcPr>
                  <w:tcW w:w="1731" w:type="dxa"/>
                  <w:tcMar>
                    <w:left w:w="0" w:type="dxa"/>
                    <w:right w:w="0" w:type="dxa"/>
                  </w:tcMar>
                </w:tcPr>
                <w:p>
                  <w:pPr>
                    <w:spacing w:line="340" w:lineRule="atLeast"/>
                    <w:jc w:val="center"/>
                    <w:rPr>
                      <w:szCs w:val="21"/>
                    </w:rPr>
                  </w:pPr>
                  <w:r>
                    <w:rPr>
                      <w:szCs w:val="21"/>
                    </w:rPr>
                    <w:t>500</w:t>
                  </w:r>
                  <w:r>
                    <w:rPr>
                      <w:rFonts w:hint="eastAsia"/>
                      <w:szCs w:val="21"/>
                    </w:rPr>
                    <w:t>kg</w:t>
                  </w:r>
                </w:p>
              </w:tc>
              <w:tc>
                <w:tcPr>
                  <w:tcW w:w="2182" w:type="dxa"/>
                  <w:tcMar>
                    <w:left w:w="0" w:type="dxa"/>
                    <w:right w:w="0" w:type="dxa"/>
                  </w:tcMar>
                </w:tcPr>
                <w:p>
                  <w:pPr>
                    <w:spacing w:line="340" w:lineRule="atLeast"/>
                    <w:jc w:val="center"/>
                    <w:rPr>
                      <w:szCs w:val="21"/>
                    </w:rPr>
                  </w:pPr>
                  <w:r>
                    <w:rPr>
                      <w:szCs w:val="21"/>
                    </w:rPr>
                    <w:t>500</w:t>
                  </w:r>
                  <w:r>
                    <w:rPr>
                      <w:rFonts w:hint="eastAsia"/>
                      <w:szCs w:val="21"/>
                    </w:rPr>
                    <w:t xml:space="preserve"> kg</w:t>
                  </w:r>
                </w:p>
              </w:tc>
              <w:tc>
                <w:tcPr>
                  <w:tcW w:w="2687" w:type="dxa"/>
                  <w:vAlign w:val="center"/>
                </w:tcPr>
                <w:p>
                  <w:pPr>
                    <w:spacing w:line="340" w:lineRule="atLeast"/>
                    <w:jc w:val="center"/>
                    <w:rPr>
                      <w:szCs w:val="21"/>
                    </w:rPr>
                  </w:pPr>
                  <w:r>
                    <w:rPr>
                      <w:rFonts w:hint="eastAsia"/>
                    </w:rPr>
                    <w:t>/</w:t>
                  </w:r>
                </w:p>
              </w:tc>
              <w:tc>
                <w:tcPr>
                  <w:tcW w:w="883" w:type="dxa"/>
                  <w:vAlign w:val="center"/>
                </w:tcPr>
                <w:p>
                  <w:pPr>
                    <w:spacing w:line="340" w:lineRule="atLeast"/>
                    <w:jc w:val="center"/>
                    <w:rPr>
                      <w:rFonts w:hint="eastAsia"/>
                    </w:rPr>
                  </w:pPr>
                  <w:r>
                    <w:rPr>
                      <w:rFonts w:hint="eastAsia"/>
                      <w:color w:val="FF0000"/>
                      <w:szCs w:val="21"/>
                      <w:lang w:eastAsia="zh-CN"/>
                    </w:rPr>
                    <w:t>桶装</w:t>
                  </w:r>
                </w:p>
              </w:tc>
            </w:tr>
          </w:tbl>
          <w:p>
            <w:pPr>
              <w:rPr>
                <w:vanish/>
              </w:rPr>
            </w:pP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部分原辅材料理化性质：</w:t>
            </w:r>
          </w:p>
          <w:p>
            <w:pPr>
              <w:adjustRightInd w:val="0"/>
              <w:snapToGrid w:val="0"/>
              <w:spacing w:line="360" w:lineRule="auto"/>
              <w:ind w:firstLine="480" w:firstLineChars="200"/>
              <w:rPr>
                <w:rFonts w:ascii="宋体" w:hAnsi="宋体" w:cs="宋体"/>
                <w:color w:val="000000" w:themeColor="text1"/>
                <w:kern w:val="0"/>
                <w:sz w:val="24"/>
                <w:lang w:bidi="ar"/>
                <w14:textFill>
                  <w14:solidFill>
                    <w14:schemeClr w14:val="tx1"/>
                  </w14:solidFill>
                </w14:textFill>
              </w:rPr>
            </w:pPr>
            <w:r>
              <w:rPr>
                <w:rFonts w:hint="eastAsia"/>
                <w:color w:val="000000" w:themeColor="text1"/>
                <w:kern w:val="0"/>
                <w:sz w:val="24"/>
                <w14:textFill>
                  <w14:solidFill>
                    <w14:schemeClr w14:val="tx1"/>
                  </w14:solidFill>
                </w14:textFill>
              </w:rPr>
              <w:t>白乳胶：白乳胶是一种水溶性</w:t>
            </w:r>
            <w:r>
              <w:fldChar w:fldCharType="begin"/>
            </w:r>
            <w:r>
              <w:instrText xml:space="preserve"> HYPERLINK "https://baike.baidu.com/item/%E8%83%B6%E7%B2%98%E5%89%82" \t "https://baike.baidu.com/item/%E7%99%BD%E4%B9%B3%E8%83%B6/_blank" </w:instrText>
            </w:r>
            <w:r>
              <w:fldChar w:fldCharType="separate"/>
            </w:r>
            <w:r>
              <w:rPr>
                <w:rFonts w:hint="eastAsia"/>
                <w:color w:val="000000" w:themeColor="text1"/>
                <w:kern w:val="0"/>
                <w:sz w:val="24"/>
                <w14:textFill>
                  <w14:solidFill>
                    <w14:schemeClr w14:val="tx1"/>
                  </w14:solidFill>
                </w14:textFill>
              </w:rPr>
              <w:t>胶粘剂</w:t>
            </w:r>
            <w:r>
              <w:rPr>
                <w:rFonts w:hint="eastAsia"/>
                <w:color w:val="000000" w:themeColor="text1"/>
                <w:kern w:val="0"/>
                <w:sz w:val="24"/>
                <w14:textFill>
                  <w14:solidFill>
                    <w14:schemeClr w14:val="tx1"/>
                  </w14:solidFill>
                </w14:textFill>
              </w:rPr>
              <w:fldChar w:fldCharType="end"/>
            </w:r>
            <w:r>
              <w:rPr>
                <w:rFonts w:hint="eastAsia"/>
                <w:color w:val="000000" w:themeColor="text1"/>
                <w:kern w:val="0"/>
                <w:sz w:val="24"/>
                <w14:textFill>
                  <w14:solidFill>
                    <w14:schemeClr w14:val="tx1"/>
                  </w14:solidFill>
                </w14:textFill>
              </w:rPr>
              <w:t>，是由醋酸乙烯单体在引发剂作用下经聚合反应而制得的一种热塑性粘</w:t>
            </w:r>
            <w:r>
              <w:rPr>
                <w:rFonts w:hint="eastAsia" w:ascii="宋体" w:hAnsi="宋体" w:cs="宋体"/>
                <w:color w:val="000000" w:themeColor="text1"/>
                <w:kern w:val="0"/>
                <w:sz w:val="24"/>
                <w:lang w:bidi="ar"/>
                <w14:textFill>
                  <w14:solidFill>
                    <w14:schemeClr w14:val="tx1"/>
                  </w14:solidFill>
                </w14:textFill>
              </w:rPr>
              <w:t>合剂。通常称为白乳胶或简称PVAC乳液，化学名称聚醋酸乙烯胶粘剂，是由</w:t>
            </w:r>
            <w:r>
              <w:rPr>
                <w:rFonts w:hint="eastAsia" w:ascii="宋体" w:hAnsi="宋体" w:cs="宋体"/>
                <w:color w:val="000000" w:themeColor="text1"/>
                <w:kern w:val="0"/>
                <w:sz w:val="24"/>
                <w:lang w:bidi="ar"/>
                <w14:textFill>
                  <w14:solidFill>
                    <w14:schemeClr w14:val="tx1"/>
                  </w14:solidFill>
                </w14:textFill>
              </w:rPr>
              <w:fldChar w:fldCharType="begin"/>
            </w:r>
            <w:r>
              <w:rPr>
                <w:rFonts w:hint="eastAsia" w:ascii="宋体" w:hAnsi="宋体" w:cs="宋体"/>
                <w:color w:val="000000" w:themeColor="text1"/>
                <w:kern w:val="0"/>
                <w:sz w:val="24"/>
                <w:lang w:bidi="ar"/>
                <w14:textFill>
                  <w14:solidFill>
                    <w14:schemeClr w14:val="tx1"/>
                  </w14:solidFill>
                </w14:textFill>
              </w:rPr>
              <w:instrText xml:space="preserve"> HYPERLINK "https://baike.baidu.com/item/%E9%86%8B%E9%85%B8" \t "https://baike.baidu.com/item/%E7%99%BD%E4%B9%B3%E8%83%B6/_blank" </w:instrText>
            </w:r>
            <w:r>
              <w:rPr>
                <w:rFonts w:hint="eastAsia" w:ascii="宋体" w:hAnsi="宋体" w:cs="宋体"/>
                <w:color w:val="000000" w:themeColor="text1"/>
                <w:kern w:val="0"/>
                <w:sz w:val="24"/>
                <w:lang w:bidi="ar"/>
                <w14:textFill>
                  <w14:solidFill>
                    <w14:schemeClr w14:val="tx1"/>
                  </w14:solidFill>
                </w14:textFill>
              </w:rPr>
              <w:fldChar w:fldCharType="separate"/>
            </w:r>
            <w:r>
              <w:rPr>
                <w:rFonts w:hint="eastAsia" w:ascii="宋体" w:hAnsi="宋体" w:cs="宋体"/>
                <w:color w:val="000000" w:themeColor="text1"/>
                <w:kern w:val="0"/>
                <w:sz w:val="24"/>
                <w:lang w:bidi="ar"/>
                <w14:textFill>
                  <w14:solidFill>
                    <w14:schemeClr w14:val="tx1"/>
                  </w14:solidFill>
                </w14:textFill>
              </w:rPr>
              <w:t>醋酸</w:t>
            </w:r>
            <w:r>
              <w:rPr>
                <w:rFonts w:hint="eastAsia" w:ascii="宋体" w:hAnsi="宋体" w:cs="宋体"/>
                <w:color w:val="000000" w:themeColor="text1"/>
                <w:kern w:val="0"/>
                <w:sz w:val="24"/>
                <w:lang w:bidi="ar"/>
                <w14:textFill>
                  <w14:solidFill>
                    <w14:schemeClr w14:val="tx1"/>
                  </w14:solidFill>
                </w14:textFill>
              </w:rPr>
              <w:fldChar w:fldCharType="end"/>
            </w:r>
            <w:r>
              <w:rPr>
                <w:rFonts w:hint="eastAsia" w:ascii="宋体" w:hAnsi="宋体" w:cs="宋体"/>
                <w:color w:val="000000" w:themeColor="text1"/>
                <w:kern w:val="0"/>
                <w:sz w:val="24"/>
                <w:lang w:bidi="ar"/>
                <w14:textFill>
                  <w14:solidFill>
                    <w14:schemeClr w14:val="tx1"/>
                  </w14:solidFill>
                </w14:textFill>
              </w:rPr>
              <w:t>与</w:t>
            </w:r>
            <w:r>
              <w:fldChar w:fldCharType="begin"/>
            </w:r>
            <w:r>
              <w:instrText xml:space="preserve"> HYPERLINK "https://baike.baidu.com/item/%E4%B9%99%E7%83%AF" \t "https://baike.baidu.com/item/%E7%99%BD%E4%B9%B3%E8%83%B6/_blank" </w:instrText>
            </w:r>
            <w:r>
              <w:fldChar w:fldCharType="separate"/>
            </w:r>
            <w:r>
              <w:rPr>
                <w:rFonts w:hint="eastAsia" w:ascii="宋体" w:hAnsi="宋体" w:cs="宋体"/>
                <w:color w:val="000000" w:themeColor="text1"/>
                <w:kern w:val="0"/>
                <w:sz w:val="24"/>
                <w:lang w:bidi="ar"/>
                <w14:textFill>
                  <w14:solidFill>
                    <w14:schemeClr w14:val="tx1"/>
                  </w14:solidFill>
                </w14:textFill>
              </w:rPr>
              <w:t>乙烯</w:t>
            </w:r>
            <w:r>
              <w:rPr>
                <w:rFonts w:hint="eastAsia" w:ascii="宋体" w:hAnsi="宋体" w:cs="宋体"/>
                <w:color w:val="000000" w:themeColor="text1"/>
                <w:kern w:val="0"/>
                <w:sz w:val="24"/>
                <w:lang w:bidi="ar"/>
                <w14:textFill>
                  <w14:solidFill>
                    <w14:schemeClr w14:val="tx1"/>
                  </w14:solidFill>
                </w14:textFill>
              </w:rPr>
              <w:fldChar w:fldCharType="end"/>
            </w:r>
            <w:r>
              <w:rPr>
                <w:rFonts w:hint="eastAsia" w:ascii="宋体" w:hAnsi="宋体" w:cs="宋体"/>
                <w:color w:val="000000" w:themeColor="text1"/>
                <w:kern w:val="0"/>
                <w:sz w:val="24"/>
                <w:lang w:bidi="ar"/>
                <w14:textFill>
                  <w14:solidFill>
                    <w14:schemeClr w14:val="tx1"/>
                  </w14:solidFill>
                </w14:textFill>
              </w:rPr>
              <w:t>合成醋酸乙烯，添加</w:t>
            </w:r>
            <w:r>
              <w:fldChar w:fldCharType="begin"/>
            </w:r>
            <w:r>
              <w:instrText xml:space="preserve"> HYPERLINK "https://baike.baidu.com/item/%E9%92%9B%E7%99%BD%E7%B2%89" \t "https://baike.baidu.com/item/%E7%99%BD%E4%B9%B3%E8%83%B6/_blank" </w:instrText>
            </w:r>
            <w:r>
              <w:fldChar w:fldCharType="separate"/>
            </w:r>
            <w:r>
              <w:rPr>
                <w:rFonts w:hint="eastAsia" w:ascii="宋体" w:hAnsi="宋体" w:cs="宋体"/>
                <w:color w:val="000000" w:themeColor="text1"/>
                <w:kern w:val="0"/>
                <w:sz w:val="24"/>
                <w:lang w:bidi="ar"/>
                <w14:textFill>
                  <w14:solidFill>
                    <w14:schemeClr w14:val="tx1"/>
                  </w14:solidFill>
                </w14:textFill>
              </w:rPr>
              <w:t>钛白粉</w:t>
            </w:r>
            <w:r>
              <w:rPr>
                <w:rFonts w:hint="eastAsia" w:ascii="宋体" w:hAnsi="宋体" w:cs="宋体"/>
                <w:color w:val="000000" w:themeColor="text1"/>
                <w:kern w:val="0"/>
                <w:sz w:val="24"/>
                <w:lang w:bidi="ar"/>
                <w14:textFill>
                  <w14:solidFill>
                    <w14:schemeClr w14:val="tx1"/>
                  </w14:solidFill>
                </w14:textFill>
              </w:rPr>
              <w:fldChar w:fldCharType="end"/>
            </w:r>
            <w:r>
              <w:rPr>
                <w:rFonts w:hint="eastAsia" w:ascii="宋体" w:hAnsi="宋体" w:cs="宋体"/>
                <w:color w:val="000000" w:themeColor="text1"/>
                <w:kern w:val="0"/>
                <w:sz w:val="24"/>
                <w:lang w:bidi="ar"/>
                <w14:textFill>
                  <w14:solidFill>
                    <w14:schemeClr w14:val="tx1"/>
                  </w14:solidFill>
                </w14:textFill>
              </w:rPr>
              <w:t>（低档的就加轻钙、</w:t>
            </w:r>
            <w:r>
              <w:fldChar w:fldCharType="begin"/>
            </w:r>
            <w:r>
              <w:instrText xml:space="preserve"> HYPERLINK "https://baike.baidu.com/item/%E6%BB%91%E7%9F%B3%E7%B2%89" \t "https://baike.baidu.com/item/%E7%99%BD%E4%B9%B3%E8%83%B6/_blank" </w:instrText>
            </w:r>
            <w:r>
              <w:fldChar w:fldCharType="separate"/>
            </w:r>
            <w:r>
              <w:rPr>
                <w:rFonts w:hint="eastAsia" w:ascii="宋体" w:hAnsi="宋体" w:cs="宋体"/>
                <w:color w:val="000000" w:themeColor="text1"/>
                <w:kern w:val="0"/>
                <w:sz w:val="24"/>
                <w:lang w:bidi="ar"/>
                <w14:textFill>
                  <w14:solidFill>
                    <w14:schemeClr w14:val="tx1"/>
                  </w14:solidFill>
                </w14:textFill>
              </w:rPr>
              <w:t>滑石粉</w:t>
            </w:r>
            <w:r>
              <w:rPr>
                <w:rFonts w:hint="eastAsia" w:ascii="宋体" w:hAnsi="宋体" w:cs="宋体"/>
                <w:color w:val="000000" w:themeColor="text1"/>
                <w:kern w:val="0"/>
                <w:sz w:val="24"/>
                <w:lang w:bidi="ar"/>
                <w14:textFill>
                  <w14:solidFill>
                    <w14:schemeClr w14:val="tx1"/>
                  </w14:solidFill>
                </w14:textFill>
              </w:rPr>
              <w:fldChar w:fldCharType="end"/>
            </w:r>
            <w:r>
              <w:rPr>
                <w:rFonts w:hint="eastAsia" w:ascii="宋体" w:hAnsi="宋体" w:cs="宋体"/>
                <w:color w:val="000000" w:themeColor="text1"/>
                <w:kern w:val="0"/>
                <w:sz w:val="24"/>
                <w:lang w:bidi="ar"/>
                <w14:textFill>
                  <w14:solidFill>
                    <w14:schemeClr w14:val="tx1"/>
                  </w14:solidFill>
                </w14:textFill>
              </w:rPr>
              <w:t>等粉料）再经乳液聚合而成的乳白色稠厚液体。白乳胶属于水基性胶粘剂，但由于白乳胶在生产过程中会加入微量的助剂，使得白乳胶中带有微量的挥发性有机物，参考《胶粘剂中总有机挥发物含量的测定》（2008年6月化学工程师）可知，白乳胶中总挥发物含量为0.79%。</w:t>
            </w:r>
          </w:p>
          <w:p>
            <w:pPr>
              <w:spacing w:line="360" w:lineRule="auto"/>
              <w:ind w:firstLine="480" w:firstLineChars="200"/>
              <w:rPr>
                <w:sz w:val="24"/>
              </w:rPr>
            </w:pPr>
            <w:r>
              <w:rPr>
                <w:sz w:val="24"/>
              </w:rPr>
              <w:t>4、项目产品方案</w:t>
            </w:r>
          </w:p>
          <w:p>
            <w:pPr>
              <w:spacing w:line="360" w:lineRule="auto"/>
              <w:ind w:firstLine="480" w:firstLineChars="200"/>
              <w:rPr>
                <w:sz w:val="24"/>
              </w:rPr>
            </w:pPr>
            <w:r>
              <w:rPr>
                <w:rFonts w:hint="eastAsia"/>
                <w:sz w:val="24"/>
              </w:rPr>
              <w:t>具体产品方案见表2-4。</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表2-4 项目产品方案</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178"/>
              <w:gridCol w:w="45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产品</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年产量</w:t>
                  </w:r>
                </w:p>
              </w:tc>
              <w:tc>
                <w:tcPr>
                  <w:tcW w:w="4584" w:type="dxa"/>
                  <w:vAlign w:val="center"/>
                </w:tcPr>
                <w:p>
                  <w:pPr>
                    <w:spacing w:line="340" w:lineRule="exact"/>
                    <w:jc w:val="center"/>
                    <w:rPr>
                      <w:rFonts w:hint="default" w:eastAsia="宋体"/>
                      <w:bCs/>
                      <w:color w:val="FF0000"/>
                      <w:szCs w:val="21"/>
                      <w:lang w:val="en-US" w:eastAsia="zh-CN"/>
                    </w:rPr>
                  </w:pPr>
                  <w:r>
                    <w:rPr>
                      <w:rFonts w:hint="eastAsia"/>
                      <w:bCs/>
                      <w:color w:val="FF0000"/>
                      <w:szCs w:val="21"/>
                      <w:lang w:val="en-US" w:eastAsia="zh-CN"/>
                    </w:rPr>
                    <w:t>规格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锁架</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8.3万套</w:t>
                  </w:r>
                </w:p>
              </w:tc>
              <w:tc>
                <w:tcPr>
                  <w:tcW w:w="4584" w:type="dxa"/>
                  <w:vAlign w:val="center"/>
                </w:tcPr>
                <w:p>
                  <w:pPr>
                    <w:spacing w:line="340" w:lineRule="exact"/>
                    <w:jc w:val="center"/>
                    <w:rPr>
                      <w:rFonts w:hint="default" w:eastAsia="宋体"/>
                      <w:bCs/>
                      <w:color w:val="FF0000"/>
                      <w:szCs w:val="21"/>
                      <w:lang w:val="en-US" w:eastAsia="zh-CN"/>
                    </w:rPr>
                  </w:pPr>
                  <w:r>
                    <w:rPr>
                      <w:rFonts w:hint="eastAsia"/>
                      <w:bCs/>
                      <w:color w:val="FF0000"/>
                      <w:szCs w:val="21"/>
                      <w:lang w:eastAsia="zh-CN"/>
                    </w:rPr>
                    <w:t>主要为</w:t>
                  </w:r>
                  <w:r>
                    <w:rPr>
                      <w:rFonts w:hint="eastAsia"/>
                      <w:bCs/>
                      <w:color w:val="FF0000"/>
                      <w:szCs w:val="21"/>
                      <w:lang w:val="en-US" w:eastAsia="zh-CN"/>
                    </w:rPr>
                    <w:t>50mm</w:t>
                  </w:r>
                  <w:r>
                    <w:rPr>
                      <w:rFonts w:hint="default" w:ascii="Arial" w:hAnsi="Arial" w:cs="Arial"/>
                      <w:bCs/>
                      <w:color w:val="FF0000"/>
                      <w:szCs w:val="21"/>
                      <w:lang w:val="en-US" w:eastAsia="zh-CN"/>
                    </w:rPr>
                    <w:t>×</w:t>
                  </w:r>
                  <w:r>
                    <w:rPr>
                      <w:rFonts w:hint="eastAsia"/>
                      <w:bCs/>
                      <w:color w:val="FF0000"/>
                      <w:szCs w:val="21"/>
                      <w:lang w:val="en-US" w:eastAsia="zh-CN"/>
                    </w:rPr>
                    <w:t>45/50mm、58mm</w:t>
                  </w:r>
                  <w:r>
                    <w:rPr>
                      <w:rFonts w:hint="default" w:ascii="Arial" w:hAnsi="Arial" w:cs="Arial"/>
                      <w:bCs/>
                      <w:color w:val="FF0000"/>
                      <w:szCs w:val="21"/>
                      <w:lang w:val="en-US" w:eastAsia="zh-CN"/>
                    </w:rPr>
                    <w:t>×</w:t>
                  </w:r>
                  <w:r>
                    <w:rPr>
                      <w:rFonts w:hint="eastAsia"/>
                      <w:bCs/>
                      <w:color w:val="FF0000"/>
                      <w:szCs w:val="21"/>
                      <w:lang w:val="en-US" w:eastAsia="zh-CN"/>
                    </w:rPr>
                    <w:t>45/50mm、24mm</w:t>
                  </w:r>
                  <w:r>
                    <w:rPr>
                      <w:rFonts w:hint="default" w:ascii="Arial" w:hAnsi="Arial" w:cs="Arial"/>
                      <w:bCs/>
                      <w:color w:val="FF0000"/>
                      <w:szCs w:val="21"/>
                      <w:lang w:val="en-US" w:eastAsia="zh-CN"/>
                    </w:rPr>
                    <w:t>×</w:t>
                  </w:r>
                  <w:r>
                    <w:rPr>
                      <w:rFonts w:hint="eastAsia"/>
                      <w:bCs/>
                      <w:color w:val="FF0000"/>
                      <w:szCs w:val="21"/>
                      <w:lang w:val="en-US" w:eastAsia="zh-CN"/>
                    </w:rPr>
                    <w:t>240mm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衣柜</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0.12万套</w:t>
                  </w:r>
                </w:p>
              </w:tc>
              <w:tc>
                <w:tcPr>
                  <w:tcW w:w="4584" w:type="dxa"/>
                  <w:vAlign w:val="center"/>
                </w:tcPr>
                <w:p>
                  <w:pPr>
                    <w:spacing w:line="340" w:lineRule="exact"/>
                    <w:jc w:val="center"/>
                    <w:rPr>
                      <w:rFonts w:hint="eastAsia" w:eastAsia="宋体"/>
                      <w:bCs/>
                      <w:color w:val="FF0000"/>
                      <w:szCs w:val="21"/>
                      <w:lang w:eastAsia="zh-CN"/>
                    </w:rPr>
                  </w:pPr>
                  <w:r>
                    <w:rPr>
                      <w:rFonts w:hint="eastAsia"/>
                      <w:bCs/>
                      <w:color w:val="FF0000"/>
                      <w:szCs w:val="21"/>
                      <w:lang w:eastAsia="zh-CN"/>
                    </w:rPr>
                    <w:t>主要为</w:t>
                  </w:r>
                  <w:r>
                    <w:rPr>
                      <w:rFonts w:hint="eastAsia"/>
                      <w:bCs/>
                      <w:color w:val="FF0000"/>
                      <w:szCs w:val="21"/>
                      <w:lang w:val="en-US" w:eastAsia="zh-CN"/>
                    </w:rPr>
                    <w:t>550/600mm</w:t>
                  </w:r>
                  <w:r>
                    <w:rPr>
                      <w:rFonts w:hint="default" w:ascii="Arial" w:hAnsi="Arial" w:cs="Arial"/>
                      <w:bCs/>
                      <w:color w:val="FF0000"/>
                      <w:szCs w:val="21"/>
                      <w:lang w:val="en-US" w:eastAsia="zh-CN"/>
                    </w:rPr>
                    <w:t>×</w:t>
                  </w:r>
                  <w:r>
                    <w:rPr>
                      <w:rFonts w:hint="eastAsia"/>
                      <w:bCs/>
                      <w:color w:val="FF0000"/>
                      <w:szCs w:val="21"/>
                      <w:lang w:val="en-US" w:eastAsia="zh-CN"/>
                    </w:rPr>
                    <w:t>2200/2400mm、550/600mm</w:t>
                  </w:r>
                  <w:r>
                    <w:rPr>
                      <w:rFonts w:hint="default" w:ascii="Arial" w:hAnsi="Arial" w:cs="Arial"/>
                      <w:bCs/>
                      <w:color w:val="FF0000"/>
                      <w:szCs w:val="21"/>
                      <w:lang w:val="en-US" w:eastAsia="zh-CN"/>
                    </w:rPr>
                    <w:t>×</w:t>
                  </w:r>
                  <w:r>
                    <w:rPr>
                      <w:rFonts w:hint="eastAsia"/>
                      <w:bCs/>
                      <w:color w:val="FF0000"/>
                      <w:szCs w:val="21"/>
                      <w:lang w:val="en-US" w:eastAsia="zh-CN"/>
                    </w:rPr>
                    <w:t>450/500mm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木门</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0.2万套</w:t>
                  </w:r>
                </w:p>
              </w:tc>
              <w:tc>
                <w:tcPr>
                  <w:tcW w:w="4584" w:type="dxa"/>
                  <w:vAlign w:val="center"/>
                </w:tcPr>
                <w:p>
                  <w:pPr>
                    <w:spacing w:line="340" w:lineRule="exact"/>
                    <w:jc w:val="center"/>
                    <w:rPr>
                      <w:rFonts w:hint="eastAsia"/>
                      <w:bCs/>
                      <w:color w:val="FF0000"/>
                      <w:szCs w:val="21"/>
                    </w:rPr>
                  </w:pPr>
                  <w:r>
                    <w:rPr>
                      <w:rFonts w:hint="eastAsia"/>
                      <w:bCs/>
                      <w:color w:val="FF0000"/>
                      <w:szCs w:val="21"/>
                      <w:lang w:eastAsia="zh-CN"/>
                    </w:rPr>
                    <w:t>主要为</w:t>
                  </w:r>
                  <w:r>
                    <w:rPr>
                      <w:rFonts w:hint="eastAsia"/>
                      <w:bCs/>
                      <w:color w:val="FF0000"/>
                      <w:szCs w:val="21"/>
                      <w:lang w:val="en-US" w:eastAsia="zh-CN"/>
                    </w:rPr>
                    <w:t>700/850mm</w:t>
                  </w:r>
                  <w:r>
                    <w:rPr>
                      <w:rFonts w:hint="default" w:ascii="Arial" w:hAnsi="Arial" w:cs="Arial"/>
                      <w:bCs/>
                      <w:color w:val="FF0000"/>
                      <w:szCs w:val="21"/>
                      <w:lang w:val="en-US" w:eastAsia="zh-CN"/>
                    </w:rPr>
                    <w:t>×</w:t>
                  </w:r>
                  <w:r>
                    <w:rPr>
                      <w:rFonts w:hint="eastAsia"/>
                      <w:bCs/>
                      <w:color w:val="FF0000"/>
                      <w:szCs w:val="21"/>
                      <w:lang w:val="en-US" w:eastAsia="zh-CN"/>
                    </w:rPr>
                    <w:t>1900/2200mm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锁柜</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0.22万套</w:t>
                  </w:r>
                </w:p>
              </w:tc>
              <w:tc>
                <w:tcPr>
                  <w:tcW w:w="4584" w:type="dxa"/>
                  <w:vAlign w:val="center"/>
                </w:tcPr>
                <w:p>
                  <w:pPr>
                    <w:spacing w:line="340" w:lineRule="exact"/>
                    <w:jc w:val="center"/>
                    <w:rPr>
                      <w:rFonts w:hint="eastAsia"/>
                      <w:bCs/>
                      <w:color w:val="FF0000"/>
                      <w:szCs w:val="21"/>
                    </w:rPr>
                  </w:pPr>
                  <w:r>
                    <w:rPr>
                      <w:rFonts w:hint="eastAsia"/>
                      <w:bCs/>
                      <w:color w:val="FF0000"/>
                      <w:szCs w:val="21"/>
                      <w:lang w:eastAsia="zh-CN"/>
                    </w:rPr>
                    <w:t>主要为</w:t>
                  </w:r>
                  <w:r>
                    <w:rPr>
                      <w:rFonts w:hint="eastAsia"/>
                      <w:bCs/>
                      <w:color w:val="FF0000"/>
                      <w:szCs w:val="21"/>
                      <w:lang w:val="en-US" w:eastAsia="zh-CN"/>
                    </w:rPr>
                    <w:t>300~420mm</w:t>
                  </w:r>
                  <w:r>
                    <w:rPr>
                      <w:rFonts w:hint="default" w:ascii="Arial" w:hAnsi="Arial" w:cs="Arial"/>
                      <w:bCs/>
                      <w:color w:val="FF0000"/>
                      <w:szCs w:val="21"/>
                      <w:lang w:val="en-US" w:eastAsia="zh-CN"/>
                    </w:rPr>
                    <w:t>×</w:t>
                  </w:r>
                  <w:r>
                    <w:rPr>
                      <w:rFonts w:hint="eastAsia"/>
                      <w:bCs/>
                      <w:color w:val="FF0000"/>
                      <w:szCs w:val="21"/>
                      <w:lang w:val="en-US" w:eastAsia="zh-CN"/>
                    </w:rPr>
                    <w:t>400~520mm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拉手板</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2万套</w:t>
                  </w:r>
                </w:p>
              </w:tc>
              <w:tc>
                <w:tcPr>
                  <w:tcW w:w="4584" w:type="dxa"/>
                  <w:vAlign w:val="center"/>
                </w:tcPr>
                <w:p>
                  <w:pPr>
                    <w:spacing w:line="340" w:lineRule="exact"/>
                    <w:jc w:val="center"/>
                    <w:rPr>
                      <w:rFonts w:hint="eastAsia"/>
                      <w:bCs/>
                      <w:color w:val="FF0000"/>
                      <w:szCs w:val="21"/>
                    </w:rPr>
                  </w:pPr>
                  <w:r>
                    <w:rPr>
                      <w:rFonts w:hint="eastAsia"/>
                      <w:bCs/>
                      <w:color w:val="FF0000"/>
                      <w:szCs w:val="21"/>
                      <w:lang w:eastAsia="zh-CN"/>
                    </w:rPr>
                    <w:t>主要为</w:t>
                  </w:r>
                  <w:r>
                    <w:rPr>
                      <w:rFonts w:hint="eastAsia"/>
                      <w:bCs/>
                      <w:color w:val="FF0000"/>
                      <w:szCs w:val="21"/>
                      <w:lang w:val="en-US" w:eastAsia="zh-CN"/>
                    </w:rPr>
                    <w:t>40/60mm</w:t>
                  </w:r>
                  <w:r>
                    <w:rPr>
                      <w:rFonts w:hint="default" w:ascii="Arial" w:hAnsi="Arial" w:cs="Arial"/>
                      <w:bCs/>
                      <w:color w:val="FF0000"/>
                      <w:szCs w:val="21"/>
                      <w:lang w:val="en-US" w:eastAsia="zh-CN"/>
                    </w:rPr>
                    <w:t>×</w:t>
                  </w:r>
                  <w:r>
                    <w:rPr>
                      <w:rFonts w:hint="eastAsia"/>
                      <w:bCs/>
                      <w:color w:val="FF0000"/>
                      <w:szCs w:val="21"/>
                      <w:lang w:val="en-US" w:eastAsia="zh-CN"/>
                    </w:rPr>
                    <w:t>180/250mm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展示柜</w:t>
                  </w:r>
                </w:p>
              </w:tc>
              <w:tc>
                <w:tcPr>
                  <w:tcW w:w="2178"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0.12万套</w:t>
                  </w:r>
                </w:p>
              </w:tc>
              <w:tc>
                <w:tcPr>
                  <w:tcW w:w="4584" w:type="dxa"/>
                  <w:vAlign w:val="center"/>
                </w:tcPr>
                <w:p>
                  <w:pPr>
                    <w:spacing w:line="340" w:lineRule="exact"/>
                    <w:jc w:val="center"/>
                    <w:rPr>
                      <w:rFonts w:hint="eastAsia"/>
                      <w:bCs/>
                      <w:color w:val="FF0000"/>
                      <w:szCs w:val="21"/>
                    </w:rPr>
                  </w:pPr>
                  <w:r>
                    <w:rPr>
                      <w:rFonts w:hint="eastAsia"/>
                      <w:bCs/>
                      <w:color w:val="FF0000"/>
                      <w:szCs w:val="21"/>
                      <w:lang w:eastAsia="zh-CN"/>
                    </w:rPr>
                    <w:t>主要为</w:t>
                  </w:r>
                  <w:r>
                    <w:rPr>
                      <w:rFonts w:hint="eastAsia"/>
                      <w:bCs/>
                      <w:color w:val="FF0000"/>
                      <w:szCs w:val="21"/>
                      <w:lang w:val="en-US" w:eastAsia="zh-CN"/>
                    </w:rPr>
                    <w:t>400mm</w:t>
                  </w:r>
                  <w:r>
                    <w:rPr>
                      <w:rFonts w:hint="default" w:ascii="Arial" w:hAnsi="Arial" w:cs="Arial"/>
                      <w:bCs/>
                      <w:color w:val="FF0000"/>
                      <w:szCs w:val="21"/>
                      <w:lang w:val="en-US" w:eastAsia="zh-CN"/>
                    </w:rPr>
                    <w:t>×</w:t>
                  </w:r>
                  <w:r>
                    <w:rPr>
                      <w:rFonts w:hint="eastAsia"/>
                      <w:bCs/>
                      <w:color w:val="FF0000"/>
                      <w:szCs w:val="21"/>
                      <w:lang w:val="en-US" w:eastAsia="zh-CN"/>
                    </w:rPr>
                    <w:t>400mm、500mm</w:t>
                  </w:r>
                  <w:r>
                    <w:rPr>
                      <w:rFonts w:hint="default" w:ascii="Arial" w:hAnsi="Arial" w:cs="Arial"/>
                      <w:bCs/>
                      <w:color w:val="FF0000"/>
                      <w:szCs w:val="21"/>
                      <w:lang w:val="en-US" w:eastAsia="zh-CN"/>
                    </w:rPr>
                    <w:t>×</w:t>
                  </w:r>
                  <w:r>
                    <w:rPr>
                      <w:rFonts w:hint="eastAsia"/>
                      <w:bCs/>
                      <w:color w:val="FF0000"/>
                      <w:szCs w:val="21"/>
                      <w:lang w:val="en-US" w:eastAsia="zh-CN"/>
                    </w:rPr>
                    <w:t>500mm、950/1000mm</w:t>
                  </w:r>
                  <w:r>
                    <w:rPr>
                      <w:rFonts w:hint="default" w:ascii="Arial" w:hAnsi="Arial" w:cs="Arial"/>
                      <w:bCs/>
                      <w:color w:val="FF0000"/>
                      <w:szCs w:val="21"/>
                      <w:lang w:val="en-US" w:eastAsia="zh-CN"/>
                    </w:rPr>
                    <w:t>×</w:t>
                  </w:r>
                  <w:r>
                    <w:rPr>
                      <w:rFonts w:hint="eastAsia"/>
                      <w:bCs/>
                      <w:color w:val="FF0000"/>
                      <w:szCs w:val="21"/>
                      <w:lang w:val="en-US" w:eastAsia="zh-CN"/>
                    </w:rPr>
                    <w:t>1000/1500mm</w:t>
                  </w:r>
                </w:p>
              </w:tc>
            </w:tr>
          </w:tbl>
          <w:p>
            <w:pPr>
              <w:pStyle w:val="8"/>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油漆用量核算：</w:t>
            </w:r>
          </w:p>
          <w:p>
            <w:pPr>
              <w:pStyle w:val="8"/>
              <w:numPr>
                <w:ilvl w:val="0"/>
                <w:numId w:val="5"/>
              </w:numPr>
              <w:spacing w:line="360" w:lineRule="auto"/>
              <w:ind w:hanging="360" w:firstLineChars="0"/>
              <w:rPr>
                <w:rFonts w:ascii="宋体" w:hAnsi="宋体" w:cs="宋体"/>
                <w:color w:val="0000FF"/>
                <w:sz w:val="24"/>
                <w:szCs w:val="24"/>
              </w:rPr>
            </w:pPr>
            <w:r>
              <w:rPr>
                <w:rFonts w:hint="eastAsia" w:ascii="宋体" w:hAnsi="宋体" w:cs="宋体"/>
                <w:color w:val="0000FF"/>
                <w:sz w:val="24"/>
                <w:szCs w:val="24"/>
              </w:rPr>
              <w:t>所需喷漆产品情况</w:t>
            </w:r>
          </w:p>
          <w:p>
            <w:pPr>
              <w:pStyle w:val="8"/>
              <w:spacing w:line="360" w:lineRule="auto"/>
              <w:ind w:firstLine="480"/>
              <w:rPr>
                <w:color w:val="0000FF"/>
                <w:sz w:val="24"/>
                <w:szCs w:val="24"/>
              </w:rPr>
            </w:pPr>
            <w:r>
              <w:rPr>
                <w:rFonts w:hint="eastAsia"/>
                <w:color w:val="0000FF"/>
                <w:sz w:val="24"/>
                <w:szCs w:val="24"/>
              </w:rPr>
              <w:t>项目需要喷漆的</w:t>
            </w:r>
            <w:r>
              <w:rPr>
                <w:rFonts w:hint="eastAsia"/>
                <w:color w:val="0000FF"/>
                <w:sz w:val="24"/>
                <w:szCs w:val="24"/>
                <w:lang w:eastAsia="zh-CN"/>
              </w:rPr>
              <w:t>平均单套</w:t>
            </w:r>
            <w:r>
              <w:rPr>
                <w:rFonts w:hint="eastAsia"/>
                <w:color w:val="0000FF"/>
                <w:sz w:val="24"/>
                <w:szCs w:val="24"/>
              </w:rPr>
              <w:t>产品面积</w:t>
            </w:r>
            <w:r>
              <w:rPr>
                <w:rFonts w:hint="eastAsia"/>
                <w:color w:val="0000FF"/>
                <w:sz w:val="24"/>
                <w:szCs w:val="24"/>
                <w:lang w:eastAsia="zh-CN"/>
              </w:rPr>
              <w:t>按照各产品类型对应主要规格平均值（产品边沿面积相对较小，且相应值不确定性高，本项目将其纳入产品规格值计算，不另外核算）核算，</w:t>
            </w:r>
            <w:r>
              <w:rPr>
                <w:rFonts w:hint="eastAsia"/>
                <w:color w:val="0000FF"/>
                <w:sz w:val="24"/>
                <w:szCs w:val="24"/>
              </w:rPr>
              <w:t>核算情况见表2-</w:t>
            </w:r>
            <w:r>
              <w:rPr>
                <w:color w:val="0000FF"/>
                <w:sz w:val="24"/>
                <w:szCs w:val="24"/>
              </w:rPr>
              <w:t>5</w:t>
            </w:r>
            <w:r>
              <w:rPr>
                <w:rFonts w:hint="eastAsia"/>
                <w:color w:val="0000FF"/>
                <w:sz w:val="24"/>
                <w:szCs w:val="24"/>
              </w:rPr>
              <w:t>。</w:t>
            </w:r>
          </w:p>
          <w:p>
            <w:pPr>
              <w:autoSpaceDE w:val="0"/>
              <w:autoSpaceDN w:val="0"/>
              <w:adjustRightInd w:val="0"/>
              <w:snapToGrid w:val="0"/>
              <w:spacing w:before="120" w:beforeLines="50"/>
              <w:jc w:val="center"/>
              <w:rPr>
                <w:rFonts w:eastAsia="黑体"/>
                <w:color w:val="0000FF"/>
                <w:kern w:val="0"/>
                <w:sz w:val="24"/>
              </w:rPr>
            </w:pPr>
            <w:r>
              <w:rPr>
                <w:rFonts w:hint="eastAsia" w:eastAsia="黑体"/>
                <w:color w:val="0000FF"/>
                <w:kern w:val="0"/>
                <w:sz w:val="24"/>
              </w:rPr>
              <w:t>表2-5 项目喷涂面积核算情况一览表</w:t>
            </w:r>
          </w:p>
          <w:tbl>
            <w:tblPr>
              <w:tblStyle w:val="33"/>
              <w:tblW w:w="482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390"/>
              <w:gridCol w:w="2897"/>
              <w:gridCol w:w="2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62" w:type="dxa"/>
                  <w:vAlign w:val="center"/>
                </w:tcPr>
                <w:p>
                  <w:pPr>
                    <w:spacing w:line="340" w:lineRule="exact"/>
                    <w:jc w:val="center"/>
                    <w:rPr>
                      <w:bCs/>
                      <w:color w:val="0000FF"/>
                      <w:szCs w:val="21"/>
                    </w:rPr>
                  </w:pPr>
                  <w:r>
                    <w:rPr>
                      <w:rFonts w:hint="eastAsia"/>
                      <w:bCs/>
                      <w:color w:val="0000FF"/>
                      <w:szCs w:val="21"/>
                    </w:rPr>
                    <w:t>产品</w:t>
                  </w:r>
                </w:p>
              </w:tc>
              <w:tc>
                <w:tcPr>
                  <w:tcW w:w="1390" w:type="dxa"/>
                  <w:vAlign w:val="center"/>
                </w:tcPr>
                <w:p>
                  <w:pPr>
                    <w:spacing w:line="340" w:lineRule="exact"/>
                    <w:jc w:val="center"/>
                    <w:rPr>
                      <w:bCs/>
                      <w:color w:val="0000FF"/>
                      <w:szCs w:val="21"/>
                    </w:rPr>
                  </w:pPr>
                  <w:r>
                    <w:rPr>
                      <w:bCs/>
                      <w:color w:val="0000FF"/>
                      <w:szCs w:val="21"/>
                    </w:rPr>
                    <w:t>年产量</w:t>
                  </w:r>
                </w:p>
              </w:tc>
              <w:tc>
                <w:tcPr>
                  <w:tcW w:w="2897" w:type="dxa"/>
                  <w:vAlign w:val="center"/>
                </w:tcPr>
                <w:p>
                  <w:pPr>
                    <w:spacing w:line="340" w:lineRule="exact"/>
                    <w:jc w:val="center"/>
                    <w:rPr>
                      <w:bCs/>
                      <w:color w:val="0000FF"/>
                      <w:szCs w:val="21"/>
                    </w:rPr>
                  </w:pPr>
                  <w:r>
                    <w:rPr>
                      <w:rFonts w:hint="eastAsia"/>
                      <w:bCs/>
                      <w:color w:val="0000FF"/>
                      <w:szCs w:val="21"/>
                      <w:lang w:eastAsia="zh-CN"/>
                    </w:rPr>
                    <w:t>平均</w:t>
                  </w:r>
                  <w:r>
                    <w:rPr>
                      <w:rFonts w:hint="eastAsia"/>
                      <w:bCs/>
                      <w:color w:val="0000FF"/>
                      <w:szCs w:val="21"/>
                    </w:rPr>
                    <w:t>单套产品喷漆面积（cm</w:t>
                  </w:r>
                  <w:r>
                    <w:rPr>
                      <w:rFonts w:hint="eastAsia"/>
                      <w:bCs/>
                      <w:color w:val="0000FF"/>
                      <w:szCs w:val="21"/>
                      <w:vertAlign w:val="superscript"/>
                    </w:rPr>
                    <w:t>2</w:t>
                  </w:r>
                  <w:r>
                    <w:rPr>
                      <w:rFonts w:hint="eastAsia"/>
                      <w:bCs/>
                      <w:color w:val="0000FF"/>
                      <w:szCs w:val="21"/>
                    </w:rPr>
                    <w:t>）</w:t>
                  </w:r>
                </w:p>
              </w:tc>
              <w:tc>
                <w:tcPr>
                  <w:tcW w:w="2449" w:type="dxa"/>
                  <w:vAlign w:val="center"/>
                </w:tcPr>
                <w:p>
                  <w:pPr>
                    <w:spacing w:line="340" w:lineRule="exact"/>
                    <w:jc w:val="center"/>
                    <w:rPr>
                      <w:bCs/>
                      <w:color w:val="0000FF"/>
                      <w:szCs w:val="21"/>
                    </w:rPr>
                  </w:pPr>
                  <w:r>
                    <w:rPr>
                      <w:bCs/>
                      <w:color w:val="0000FF"/>
                      <w:szCs w:val="21"/>
                    </w:rPr>
                    <w:t>年</w:t>
                  </w:r>
                  <w:r>
                    <w:rPr>
                      <w:rFonts w:hint="eastAsia"/>
                      <w:bCs/>
                      <w:color w:val="0000FF"/>
                      <w:szCs w:val="21"/>
                    </w:rPr>
                    <w:t>喷漆面积（m</w:t>
                  </w:r>
                  <w:r>
                    <w:rPr>
                      <w:rFonts w:hint="eastAsia"/>
                      <w:bCs/>
                      <w:color w:val="0000FF"/>
                      <w:szCs w:val="21"/>
                      <w:vertAlign w:val="superscript"/>
                    </w:rPr>
                    <w:t>2</w:t>
                  </w:r>
                  <w:r>
                    <w:rPr>
                      <w:rFonts w:hint="eastAsia"/>
                      <w:bCs/>
                      <w:color w:val="0000FF"/>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Align w:val="center"/>
                </w:tcPr>
                <w:p>
                  <w:pPr>
                    <w:spacing w:line="340" w:lineRule="exact"/>
                    <w:jc w:val="center"/>
                    <w:rPr>
                      <w:bCs/>
                      <w:color w:val="0000FF"/>
                      <w:szCs w:val="21"/>
                    </w:rPr>
                  </w:pPr>
                  <w:r>
                    <w:rPr>
                      <w:rFonts w:hint="eastAsia"/>
                      <w:bCs/>
                      <w:color w:val="0000FF"/>
                      <w:szCs w:val="21"/>
                    </w:rPr>
                    <w:t>锁架</w:t>
                  </w:r>
                </w:p>
              </w:tc>
              <w:tc>
                <w:tcPr>
                  <w:tcW w:w="1390" w:type="dxa"/>
                  <w:vAlign w:val="center"/>
                </w:tcPr>
                <w:p>
                  <w:pPr>
                    <w:spacing w:line="340" w:lineRule="exact"/>
                    <w:jc w:val="center"/>
                    <w:rPr>
                      <w:bCs/>
                      <w:color w:val="0000FF"/>
                      <w:szCs w:val="21"/>
                    </w:rPr>
                  </w:pPr>
                  <w:r>
                    <w:rPr>
                      <w:rFonts w:hint="eastAsia"/>
                      <w:bCs/>
                      <w:color w:val="0000FF"/>
                      <w:szCs w:val="21"/>
                    </w:rPr>
                    <w:t>8.3万套</w:t>
                  </w:r>
                </w:p>
              </w:tc>
              <w:tc>
                <w:tcPr>
                  <w:tcW w:w="2897" w:type="dxa"/>
                  <w:vAlign w:val="center"/>
                </w:tcPr>
                <w:p>
                  <w:pPr>
                    <w:spacing w:line="340" w:lineRule="exact"/>
                    <w:jc w:val="center"/>
                    <w:rPr>
                      <w:rFonts w:hint="default" w:eastAsia="宋体"/>
                      <w:bCs/>
                      <w:color w:val="0000FF"/>
                      <w:szCs w:val="21"/>
                      <w:lang w:val="en-US" w:eastAsia="zh-CN"/>
                    </w:rPr>
                  </w:pPr>
                  <w:r>
                    <w:rPr>
                      <w:rFonts w:hint="eastAsia"/>
                      <w:bCs/>
                      <w:color w:val="0000FF"/>
                      <w:szCs w:val="21"/>
                      <w:lang w:val="en-US" w:eastAsia="zh-CN"/>
                    </w:rPr>
                    <w:t>64.08</w:t>
                  </w:r>
                </w:p>
              </w:tc>
              <w:tc>
                <w:tcPr>
                  <w:tcW w:w="2449"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531.864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Align w:val="center"/>
                </w:tcPr>
                <w:p>
                  <w:pPr>
                    <w:spacing w:line="340" w:lineRule="exact"/>
                    <w:jc w:val="center"/>
                    <w:rPr>
                      <w:bCs/>
                      <w:color w:val="0000FF"/>
                      <w:szCs w:val="21"/>
                    </w:rPr>
                  </w:pPr>
                  <w:r>
                    <w:rPr>
                      <w:rFonts w:hint="eastAsia"/>
                      <w:bCs/>
                      <w:color w:val="0000FF"/>
                      <w:szCs w:val="21"/>
                    </w:rPr>
                    <w:t>衣柜</w:t>
                  </w:r>
                </w:p>
              </w:tc>
              <w:tc>
                <w:tcPr>
                  <w:tcW w:w="1390" w:type="dxa"/>
                  <w:vAlign w:val="center"/>
                </w:tcPr>
                <w:p>
                  <w:pPr>
                    <w:spacing w:line="340" w:lineRule="exact"/>
                    <w:jc w:val="center"/>
                    <w:rPr>
                      <w:bCs/>
                      <w:color w:val="0000FF"/>
                      <w:szCs w:val="21"/>
                    </w:rPr>
                  </w:pPr>
                  <w:r>
                    <w:rPr>
                      <w:rFonts w:hint="eastAsia"/>
                      <w:bCs/>
                      <w:color w:val="0000FF"/>
                      <w:szCs w:val="21"/>
                    </w:rPr>
                    <w:t>0.12万套</w:t>
                  </w:r>
                </w:p>
              </w:tc>
              <w:tc>
                <w:tcPr>
                  <w:tcW w:w="2897" w:type="dxa"/>
                  <w:vAlign w:val="center"/>
                </w:tcPr>
                <w:p>
                  <w:pPr>
                    <w:spacing w:line="340" w:lineRule="exact"/>
                    <w:jc w:val="center"/>
                    <w:rPr>
                      <w:rFonts w:hint="default" w:eastAsia="宋体"/>
                      <w:bCs/>
                      <w:color w:val="0000FF"/>
                      <w:szCs w:val="21"/>
                      <w:lang w:val="en-US" w:eastAsia="zh-CN"/>
                    </w:rPr>
                  </w:pPr>
                  <w:r>
                    <w:rPr>
                      <w:rFonts w:hint="eastAsia"/>
                      <w:bCs/>
                      <w:color w:val="0000FF"/>
                      <w:szCs w:val="21"/>
                      <w:lang w:val="en-US" w:eastAsia="zh-CN"/>
                    </w:rPr>
                    <w:t>15956.25</w:t>
                  </w:r>
                </w:p>
              </w:tc>
              <w:tc>
                <w:tcPr>
                  <w:tcW w:w="2449"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1914.75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Align w:val="center"/>
                </w:tcPr>
                <w:p>
                  <w:pPr>
                    <w:spacing w:line="340" w:lineRule="exact"/>
                    <w:jc w:val="center"/>
                    <w:rPr>
                      <w:bCs/>
                      <w:color w:val="0000FF"/>
                      <w:szCs w:val="21"/>
                    </w:rPr>
                  </w:pPr>
                  <w:r>
                    <w:rPr>
                      <w:rFonts w:hint="eastAsia"/>
                      <w:bCs/>
                      <w:color w:val="0000FF"/>
                      <w:szCs w:val="21"/>
                    </w:rPr>
                    <w:t>木门</w:t>
                  </w:r>
                </w:p>
              </w:tc>
              <w:tc>
                <w:tcPr>
                  <w:tcW w:w="1390" w:type="dxa"/>
                  <w:vAlign w:val="center"/>
                </w:tcPr>
                <w:p>
                  <w:pPr>
                    <w:spacing w:line="340" w:lineRule="exact"/>
                    <w:jc w:val="center"/>
                    <w:rPr>
                      <w:bCs/>
                      <w:color w:val="0000FF"/>
                      <w:szCs w:val="21"/>
                    </w:rPr>
                  </w:pPr>
                  <w:r>
                    <w:rPr>
                      <w:rFonts w:hint="eastAsia"/>
                      <w:bCs/>
                      <w:color w:val="0000FF"/>
                      <w:szCs w:val="21"/>
                    </w:rPr>
                    <w:t>0.2万套</w:t>
                  </w:r>
                </w:p>
              </w:tc>
              <w:tc>
                <w:tcPr>
                  <w:tcW w:w="2897" w:type="dxa"/>
                  <w:vAlign w:val="center"/>
                </w:tcPr>
                <w:p>
                  <w:pPr>
                    <w:spacing w:line="340" w:lineRule="exact"/>
                    <w:jc w:val="center"/>
                    <w:rPr>
                      <w:rFonts w:hint="default"/>
                      <w:bCs/>
                      <w:color w:val="0000FF"/>
                      <w:szCs w:val="21"/>
                      <w:lang w:val="en-US"/>
                    </w:rPr>
                  </w:pPr>
                  <w:r>
                    <w:rPr>
                      <w:rFonts w:hint="eastAsia"/>
                      <w:bCs/>
                      <w:color w:val="0000FF"/>
                      <w:szCs w:val="21"/>
                      <w:lang w:val="en-US" w:eastAsia="zh-CN"/>
                    </w:rPr>
                    <w:t>31775</w:t>
                  </w:r>
                </w:p>
              </w:tc>
              <w:tc>
                <w:tcPr>
                  <w:tcW w:w="2449"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6355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Align w:val="center"/>
                </w:tcPr>
                <w:p>
                  <w:pPr>
                    <w:spacing w:line="340" w:lineRule="exact"/>
                    <w:jc w:val="center"/>
                    <w:rPr>
                      <w:bCs/>
                      <w:color w:val="0000FF"/>
                      <w:szCs w:val="21"/>
                    </w:rPr>
                  </w:pPr>
                  <w:r>
                    <w:rPr>
                      <w:rFonts w:hint="eastAsia"/>
                      <w:bCs/>
                      <w:color w:val="0000FF"/>
                      <w:szCs w:val="21"/>
                    </w:rPr>
                    <w:t>锁柜</w:t>
                  </w:r>
                </w:p>
              </w:tc>
              <w:tc>
                <w:tcPr>
                  <w:tcW w:w="1390" w:type="dxa"/>
                  <w:vAlign w:val="center"/>
                </w:tcPr>
                <w:p>
                  <w:pPr>
                    <w:spacing w:line="340" w:lineRule="exact"/>
                    <w:jc w:val="center"/>
                    <w:rPr>
                      <w:bCs/>
                      <w:color w:val="0000FF"/>
                      <w:szCs w:val="21"/>
                    </w:rPr>
                  </w:pPr>
                  <w:r>
                    <w:rPr>
                      <w:rFonts w:hint="eastAsia"/>
                      <w:bCs/>
                      <w:color w:val="0000FF"/>
                      <w:szCs w:val="21"/>
                    </w:rPr>
                    <w:t>0.22万套</w:t>
                  </w:r>
                </w:p>
              </w:tc>
              <w:tc>
                <w:tcPr>
                  <w:tcW w:w="2897" w:type="dxa"/>
                  <w:vAlign w:val="center"/>
                </w:tcPr>
                <w:p>
                  <w:pPr>
                    <w:spacing w:line="340" w:lineRule="exact"/>
                    <w:jc w:val="center"/>
                    <w:rPr>
                      <w:rFonts w:hint="default" w:eastAsia="宋体"/>
                      <w:bCs/>
                      <w:color w:val="0000FF"/>
                      <w:szCs w:val="21"/>
                      <w:lang w:val="en-US" w:eastAsia="zh-CN"/>
                    </w:rPr>
                  </w:pPr>
                  <w:r>
                    <w:rPr>
                      <w:rFonts w:hint="eastAsia"/>
                      <w:bCs/>
                      <w:color w:val="0000FF"/>
                      <w:szCs w:val="21"/>
                      <w:lang w:val="en-US" w:eastAsia="zh-CN"/>
                    </w:rPr>
                    <w:t>3312</w:t>
                  </w:r>
                </w:p>
              </w:tc>
              <w:tc>
                <w:tcPr>
                  <w:tcW w:w="2449"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728.64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Align w:val="center"/>
                </w:tcPr>
                <w:p>
                  <w:pPr>
                    <w:spacing w:line="340" w:lineRule="exact"/>
                    <w:jc w:val="center"/>
                    <w:rPr>
                      <w:bCs/>
                      <w:color w:val="0000FF"/>
                      <w:szCs w:val="21"/>
                    </w:rPr>
                  </w:pPr>
                  <w:r>
                    <w:rPr>
                      <w:rFonts w:hint="eastAsia"/>
                      <w:bCs/>
                      <w:color w:val="0000FF"/>
                      <w:szCs w:val="21"/>
                    </w:rPr>
                    <w:t>拉手板</w:t>
                  </w:r>
                </w:p>
              </w:tc>
              <w:tc>
                <w:tcPr>
                  <w:tcW w:w="1390" w:type="dxa"/>
                  <w:vAlign w:val="center"/>
                </w:tcPr>
                <w:p>
                  <w:pPr>
                    <w:spacing w:line="340" w:lineRule="exact"/>
                    <w:jc w:val="center"/>
                    <w:rPr>
                      <w:bCs/>
                      <w:color w:val="0000FF"/>
                      <w:szCs w:val="21"/>
                    </w:rPr>
                  </w:pPr>
                  <w:r>
                    <w:rPr>
                      <w:rFonts w:hint="eastAsia"/>
                      <w:bCs/>
                      <w:color w:val="0000FF"/>
                      <w:szCs w:val="21"/>
                    </w:rPr>
                    <w:t>2万套</w:t>
                  </w:r>
                </w:p>
              </w:tc>
              <w:tc>
                <w:tcPr>
                  <w:tcW w:w="2897" w:type="dxa"/>
                  <w:vAlign w:val="center"/>
                </w:tcPr>
                <w:p>
                  <w:pPr>
                    <w:spacing w:line="340" w:lineRule="exact"/>
                    <w:jc w:val="center"/>
                    <w:rPr>
                      <w:rFonts w:hint="default" w:eastAsia="宋体"/>
                      <w:bCs/>
                      <w:color w:val="0000FF"/>
                      <w:szCs w:val="21"/>
                      <w:lang w:val="en-US" w:eastAsia="zh-CN"/>
                    </w:rPr>
                  </w:pPr>
                  <w:r>
                    <w:rPr>
                      <w:rFonts w:hint="eastAsia"/>
                      <w:bCs/>
                      <w:color w:val="0000FF"/>
                      <w:szCs w:val="21"/>
                      <w:lang w:val="en-US" w:eastAsia="zh-CN"/>
                    </w:rPr>
                    <w:t>215</w:t>
                  </w:r>
                </w:p>
              </w:tc>
              <w:tc>
                <w:tcPr>
                  <w:tcW w:w="2449"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430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62" w:type="dxa"/>
                  <w:vAlign w:val="center"/>
                </w:tcPr>
                <w:p>
                  <w:pPr>
                    <w:spacing w:line="340" w:lineRule="exact"/>
                    <w:jc w:val="center"/>
                    <w:rPr>
                      <w:bCs/>
                      <w:color w:val="0000FF"/>
                      <w:szCs w:val="21"/>
                    </w:rPr>
                  </w:pPr>
                  <w:r>
                    <w:rPr>
                      <w:rFonts w:hint="eastAsia"/>
                      <w:bCs/>
                      <w:color w:val="0000FF"/>
                      <w:szCs w:val="21"/>
                    </w:rPr>
                    <w:t>展示柜</w:t>
                  </w:r>
                </w:p>
              </w:tc>
              <w:tc>
                <w:tcPr>
                  <w:tcW w:w="1390" w:type="dxa"/>
                  <w:vAlign w:val="center"/>
                </w:tcPr>
                <w:p>
                  <w:pPr>
                    <w:spacing w:line="340" w:lineRule="exact"/>
                    <w:jc w:val="center"/>
                    <w:rPr>
                      <w:bCs/>
                      <w:color w:val="0000FF"/>
                      <w:szCs w:val="21"/>
                    </w:rPr>
                  </w:pPr>
                  <w:r>
                    <w:rPr>
                      <w:rFonts w:hint="eastAsia"/>
                      <w:bCs/>
                      <w:color w:val="0000FF"/>
                      <w:szCs w:val="21"/>
                    </w:rPr>
                    <w:t>0.12万套</w:t>
                  </w:r>
                </w:p>
              </w:tc>
              <w:tc>
                <w:tcPr>
                  <w:tcW w:w="2897" w:type="dxa"/>
                  <w:vAlign w:val="center"/>
                </w:tcPr>
                <w:p>
                  <w:pPr>
                    <w:spacing w:line="340" w:lineRule="exact"/>
                    <w:jc w:val="center"/>
                    <w:rPr>
                      <w:rFonts w:hint="default" w:eastAsia="宋体"/>
                      <w:bCs/>
                      <w:color w:val="0000FF"/>
                      <w:szCs w:val="21"/>
                      <w:lang w:val="en-US" w:eastAsia="zh-CN"/>
                    </w:rPr>
                  </w:pPr>
                  <w:r>
                    <w:rPr>
                      <w:rFonts w:hint="eastAsia"/>
                      <w:bCs/>
                      <w:color w:val="0000FF"/>
                      <w:szCs w:val="21"/>
                      <w:lang w:val="en-US" w:eastAsia="zh-CN"/>
                    </w:rPr>
                    <w:t>17616.67</w:t>
                  </w:r>
                </w:p>
              </w:tc>
              <w:tc>
                <w:tcPr>
                  <w:tcW w:w="2449"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2114</w:t>
                  </w:r>
                </w:p>
              </w:tc>
            </w:tr>
          </w:tbl>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②喷涂量计算公式</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油漆用量采用以下公式计算：</w:t>
            </w:r>
          </w:p>
          <w:p>
            <w:pPr>
              <w:pStyle w:val="8"/>
              <w:spacing w:line="360" w:lineRule="auto"/>
              <w:ind w:firstLine="7200" w:firstLineChars="3000"/>
              <w:rPr>
                <w:color w:val="000000" w:themeColor="text1"/>
                <w:sz w:val="24"/>
                <w:szCs w:val="24"/>
                <w14:textFill>
                  <w14:solidFill>
                    <w14:schemeClr w14:val="tx1"/>
                  </w14:solidFill>
                </w14:textFill>
              </w:rPr>
            </w:pPr>
            <m:oMathPara>
              <m:oMathParaPr>
                <m:jc m:val="center"/>
              </m:oMathParaPr>
              <m:oMath>
                <m:r>
                  <m:rPr>
                    <m:sty m:val="p"/>
                  </m:rPr>
                  <w:rPr>
                    <w:rFonts w:ascii="Cambria Math" w:hAnsi="Cambria Math"/>
                    <w:color w:val="000000" w:themeColor="text1"/>
                    <w:sz w:val="24"/>
                    <w:szCs w:val="24"/>
                    <w14:textFill>
                      <w14:solidFill>
                        <w14:schemeClr w14:val="tx1"/>
                      </w14:solidFill>
                    </w14:textFill>
                  </w:rPr>
                  <m:t>m=ρδS×</m:t>
                </m:r>
                <m:sSup>
                  <m:sSupPr>
                    <m:ctrlPr>
                      <w:rPr>
                        <w:rFonts w:ascii="Cambria Math" w:hAnsi="Cambria Math"/>
                        <w:color w:val="000000" w:themeColor="text1"/>
                        <w:sz w:val="24"/>
                        <w:szCs w:val="24"/>
                        <w14:textFill>
                          <w14:solidFill>
                            <w14:schemeClr w14:val="tx1"/>
                          </w14:solidFill>
                        </w14:textFill>
                      </w:rPr>
                    </m:ctrlPr>
                  </m:sSupPr>
                  <m:e>
                    <m:r>
                      <m:rPr>
                        <m:sty m:val="p"/>
                      </m:rPr>
                      <w:rPr>
                        <w:rFonts w:ascii="Cambria Math" w:hAnsi="Cambria Math"/>
                        <w:color w:val="000000" w:themeColor="text1"/>
                        <w:sz w:val="24"/>
                        <w:szCs w:val="24"/>
                        <w14:textFill>
                          <w14:solidFill>
                            <w14:schemeClr w14:val="tx1"/>
                          </w14:solidFill>
                        </w14:textFill>
                      </w:rPr>
                      <m:t>10</m:t>
                    </m:r>
                    <m:ctrlPr>
                      <w:rPr>
                        <w:rFonts w:ascii="Cambria Math" w:hAnsi="Cambria Math"/>
                        <w:color w:val="000000" w:themeColor="text1"/>
                        <w:sz w:val="24"/>
                        <w:szCs w:val="24"/>
                        <w14:textFill>
                          <w14:solidFill>
                            <w14:schemeClr w14:val="tx1"/>
                          </w14:solidFill>
                        </w14:textFill>
                      </w:rPr>
                    </m:ctrlPr>
                  </m:e>
                  <m:sup>
                    <m:r>
                      <m:rPr>
                        <m:sty m:val="p"/>
                      </m:rPr>
                      <w:rPr>
                        <w:rFonts w:ascii="Cambria Math" w:hAnsi="Cambria Math"/>
                        <w:color w:val="000000" w:themeColor="text1"/>
                        <w:sz w:val="24"/>
                        <w:szCs w:val="24"/>
                        <w14:textFill>
                          <w14:solidFill>
                            <w14:schemeClr w14:val="tx1"/>
                          </w14:solidFill>
                        </w14:textFill>
                      </w:rPr>
                      <m:t>−6</m:t>
                    </m:r>
                    <m:ctrlPr>
                      <w:rPr>
                        <w:rFonts w:ascii="Cambria Math" w:hAnsi="Cambria Math"/>
                        <w:color w:val="000000" w:themeColor="text1"/>
                        <w:sz w:val="24"/>
                        <w:szCs w:val="24"/>
                        <w14:textFill>
                          <w14:solidFill>
                            <w14:schemeClr w14:val="tx1"/>
                          </w14:solidFill>
                        </w14:textFill>
                      </w:rPr>
                    </m:ctrlPr>
                  </m:sup>
                </m:sSup>
                <m:r>
                  <m:rPr>
                    <m:sty m:val="p"/>
                  </m:rPr>
                  <w:rPr>
                    <w:rFonts w:ascii="Cambria Math" w:hAnsi="Cambria Math"/>
                    <w:color w:val="000000" w:themeColor="text1"/>
                    <w:sz w:val="24"/>
                    <w:szCs w:val="24"/>
                    <w14:textFill>
                      <w14:solidFill>
                        <w14:schemeClr w14:val="tx1"/>
                      </w14:solidFill>
                    </w14:textFill>
                  </w:rPr>
                  <m:t>/（NV×ε）</m:t>
                </m:r>
              </m:oMath>
            </m:oMathPara>
          </w:p>
          <w:p>
            <w:pPr>
              <w:pStyle w:val="8"/>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其中：m-油漆总用量（t/a）；</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ρ-油漆密度（g/cm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δ-涂层厚度（㎛）；</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s-涂装总面积（m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/年）；</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NV-油漆中（已配好）的体积固体份（%）；</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ε-上漆率。</w:t>
            </w:r>
          </w:p>
          <w:p>
            <w:pPr>
              <w:pStyle w:val="8"/>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③参数选定</w:t>
            </w:r>
          </w:p>
          <w:p>
            <w:pPr>
              <w:pStyle w:val="8"/>
              <w:spacing w:line="360" w:lineRule="auto"/>
              <w:ind w:firstLine="480"/>
              <w:rPr>
                <w:rFonts w:ascii="微软雅黑" w:hAnsi="微软雅黑" w:eastAsia="微软雅黑" w:cs="微软雅黑"/>
                <w:color w:val="000000" w:themeColor="text1"/>
                <w14:textFill>
                  <w14:solidFill>
                    <w14:schemeClr w14:val="tx1"/>
                  </w14:solidFill>
                </w14:textFill>
              </w:rPr>
            </w:pPr>
            <w:r>
              <w:rPr>
                <w:color w:val="000000" w:themeColor="text1"/>
                <w:sz w:val="24"/>
                <w:szCs w:val="24"/>
                <w14:textFill>
                  <w14:solidFill>
                    <w14:schemeClr w14:val="tx1"/>
                  </w14:solidFill>
                </w14:textFill>
              </w:rPr>
              <w:t>本项目油漆使用计算参数见表</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6。</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表2-6 工作漆用量计算参数一览表</w:t>
            </w:r>
          </w:p>
          <w:tbl>
            <w:tblPr>
              <w:tblStyle w:val="33"/>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662"/>
              <w:gridCol w:w="1601"/>
              <w:gridCol w:w="1676"/>
              <w:gridCol w:w="17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类型</w:t>
                  </w:r>
                </w:p>
              </w:tc>
              <w:tc>
                <w:tcPr>
                  <w:tcW w:w="1954"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油漆密度</w:t>
                  </w:r>
                </w:p>
              </w:tc>
              <w:tc>
                <w:tcPr>
                  <w:tcW w:w="1923"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涂层厚度</w:t>
                  </w:r>
                </w:p>
              </w:tc>
              <w:tc>
                <w:tcPr>
                  <w:tcW w:w="197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油漆中的体积固体份NV%</w:t>
                  </w:r>
                </w:p>
              </w:tc>
              <w:tc>
                <w:tcPr>
                  <w:tcW w:w="2001" w:type="dxa"/>
                  <w:vAlign w:val="center"/>
                </w:tcPr>
                <w:p>
                  <w:pPr>
                    <w:spacing w:line="340" w:lineRule="exact"/>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14:textFill>
                        <w14:solidFill>
                          <w14:schemeClr w14:val="tx1"/>
                        </w14:solidFill>
                      </w14:textFill>
                    </w:rPr>
                    <w:t>上漆率</w:t>
                  </w:r>
                  <w:r>
                    <w:rPr>
                      <w:rFonts w:hint="eastAsia"/>
                      <w:bCs/>
                      <w:color w:val="000000" w:themeColor="text1"/>
                      <w:szCs w:val="21"/>
                      <w:lang w:eastAsia="zh-CN"/>
                      <w14:textFill>
                        <w14:solidFill>
                          <w14:schemeClr w14:val="tx1"/>
                        </w14:solidFill>
                      </w14:textFill>
                    </w:rPr>
                    <w:t>（</w:t>
                  </w:r>
                  <w:r>
                    <w:rPr>
                      <w:rFonts w:hint="eastAsia"/>
                      <w:bCs/>
                      <w:color w:val="000000" w:themeColor="text1"/>
                      <w:szCs w:val="21"/>
                      <w:lang w:val="en-US" w:eastAsia="zh-CN"/>
                      <w14:textFill>
                        <w14:solidFill>
                          <w14:schemeClr w14:val="tx1"/>
                        </w14:solidFill>
                      </w14:textFill>
                    </w:rPr>
                    <w:t>%</w:t>
                  </w:r>
                  <w:r>
                    <w:rPr>
                      <w:rFonts w:hint="eastAsia"/>
                      <w:bCs/>
                      <w:color w:val="000000" w:themeColor="text1"/>
                      <w:szCs w:val="21"/>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72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PU漆</w:t>
                  </w:r>
                </w:p>
              </w:tc>
              <w:tc>
                <w:tcPr>
                  <w:tcW w:w="1954"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1.022</w:t>
                  </w:r>
                </w:p>
              </w:tc>
              <w:tc>
                <w:tcPr>
                  <w:tcW w:w="1923"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100</w:t>
                  </w:r>
                </w:p>
              </w:tc>
              <w:tc>
                <w:tcPr>
                  <w:tcW w:w="197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47.26</w:t>
                  </w:r>
                </w:p>
              </w:tc>
              <w:tc>
                <w:tcPr>
                  <w:tcW w:w="200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70</w:t>
                  </w:r>
                </w:p>
              </w:tc>
            </w:tr>
          </w:tbl>
          <w:p>
            <w:pPr>
              <w:pStyle w:val="8"/>
              <w:spacing w:line="360" w:lineRule="auto"/>
              <w:ind w:firstLine="480"/>
              <w:rPr>
                <w:rFonts w:hint="eastAsia" w:eastAsia="黑体"/>
                <w:kern w:val="0"/>
                <w:sz w:val="24"/>
              </w:rPr>
            </w:pPr>
            <w:r>
              <w:rPr>
                <w:rFonts w:hint="eastAsia"/>
                <w:color w:val="000000" w:themeColor="text1"/>
                <w:sz w:val="24"/>
                <w:szCs w:val="24"/>
                <w14:textFill>
                  <w14:solidFill>
                    <w14:schemeClr w14:val="tx1"/>
                  </w14:solidFill>
                </w14:textFill>
              </w:rPr>
              <w:t>喷漆所用油漆计算见表2-</w:t>
            </w:r>
            <w:r>
              <w:rPr>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w:t>
            </w:r>
          </w:p>
          <w:p>
            <w:pPr>
              <w:autoSpaceDE w:val="0"/>
              <w:autoSpaceDN w:val="0"/>
              <w:adjustRightInd w:val="0"/>
              <w:snapToGrid w:val="0"/>
              <w:spacing w:before="120" w:beforeLines="50"/>
              <w:jc w:val="center"/>
              <w:rPr>
                <w:rFonts w:eastAsia="黑体"/>
                <w:color w:val="0000FF"/>
                <w:kern w:val="0"/>
                <w:sz w:val="24"/>
              </w:rPr>
            </w:pPr>
            <w:r>
              <w:rPr>
                <w:rFonts w:hint="eastAsia" w:eastAsia="黑体"/>
                <w:color w:val="0000FF"/>
                <w:kern w:val="0"/>
                <w:sz w:val="24"/>
              </w:rPr>
              <w:t>表2-7 工作漆用量计算结果一览表</w:t>
            </w:r>
          </w:p>
          <w:tbl>
            <w:tblPr>
              <w:tblStyle w:val="33"/>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1629"/>
              <w:gridCol w:w="1923"/>
              <w:gridCol w:w="22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bCs/>
                      <w:color w:val="0000FF"/>
                      <w:szCs w:val="21"/>
                    </w:rPr>
                    <w:t>序号</w:t>
                  </w:r>
                </w:p>
              </w:tc>
              <w:tc>
                <w:tcPr>
                  <w:tcW w:w="1629" w:type="dxa"/>
                  <w:vAlign w:val="center"/>
                </w:tcPr>
                <w:p>
                  <w:pPr>
                    <w:spacing w:line="340" w:lineRule="exact"/>
                    <w:jc w:val="center"/>
                    <w:rPr>
                      <w:bCs/>
                      <w:color w:val="0000FF"/>
                      <w:szCs w:val="21"/>
                    </w:rPr>
                  </w:pPr>
                  <w:r>
                    <w:rPr>
                      <w:bCs/>
                      <w:color w:val="0000FF"/>
                      <w:szCs w:val="21"/>
                    </w:rPr>
                    <w:t>年</w:t>
                  </w:r>
                  <w:r>
                    <w:rPr>
                      <w:rFonts w:hint="eastAsia"/>
                      <w:bCs/>
                      <w:color w:val="0000FF"/>
                      <w:szCs w:val="21"/>
                    </w:rPr>
                    <w:t>喷漆面积（m</w:t>
                  </w:r>
                  <w:r>
                    <w:rPr>
                      <w:rFonts w:hint="eastAsia"/>
                      <w:bCs/>
                      <w:color w:val="0000FF"/>
                      <w:szCs w:val="21"/>
                      <w:vertAlign w:val="superscript"/>
                    </w:rPr>
                    <w:t>2</w:t>
                  </w:r>
                  <w:r>
                    <w:rPr>
                      <w:rFonts w:hint="eastAsia"/>
                      <w:bCs/>
                      <w:color w:val="0000FF"/>
                      <w:szCs w:val="21"/>
                    </w:rPr>
                    <w:t>)</w:t>
                  </w:r>
                </w:p>
              </w:tc>
              <w:tc>
                <w:tcPr>
                  <w:tcW w:w="1923" w:type="dxa"/>
                  <w:vAlign w:val="center"/>
                </w:tcPr>
                <w:p>
                  <w:pPr>
                    <w:spacing w:line="340" w:lineRule="exact"/>
                    <w:jc w:val="center"/>
                    <w:rPr>
                      <w:bCs/>
                      <w:color w:val="0000FF"/>
                      <w:szCs w:val="21"/>
                    </w:rPr>
                  </w:pPr>
                  <w:r>
                    <w:rPr>
                      <w:rFonts w:hint="eastAsia"/>
                      <w:bCs/>
                      <w:color w:val="0000FF"/>
                      <w:szCs w:val="21"/>
                    </w:rPr>
                    <w:t>涂料品种</w:t>
                  </w:r>
                </w:p>
              </w:tc>
              <w:tc>
                <w:tcPr>
                  <w:tcW w:w="2281" w:type="dxa"/>
                  <w:vAlign w:val="center"/>
                </w:tcPr>
                <w:p>
                  <w:pPr>
                    <w:spacing w:line="340" w:lineRule="exact"/>
                    <w:jc w:val="center"/>
                    <w:rPr>
                      <w:bCs/>
                      <w:color w:val="0000FF"/>
                      <w:szCs w:val="21"/>
                    </w:rPr>
                  </w:pPr>
                  <w:r>
                    <w:rPr>
                      <w:rFonts w:hint="eastAsia"/>
                      <w:bCs/>
                      <w:color w:val="0000FF"/>
                      <w:szCs w:val="21"/>
                    </w:rPr>
                    <w:t>年用量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rFonts w:hint="eastAsia"/>
                      <w:bCs/>
                      <w:color w:val="0000FF"/>
                      <w:szCs w:val="21"/>
                    </w:rPr>
                    <w:t>锁架</w:t>
                  </w:r>
                </w:p>
              </w:tc>
              <w:tc>
                <w:tcPr>
                  <w:tcW w:w="1629" w:type="dxa"/>
                  <w:vAlign w:val="center"/>
                </w:tcPr>
                <w:p>
                  <w:pPr>
                    <w:widowControl/>
                    <w:jc w:val="center"/>
                    <w:textAlignment w:val="center"/>
                    <w:rPr>
                      <w:bCs/>
                      <w:color w:val="0000FF"/>
                      <w:szCs w:val="21"/>
                    </w:rPr>
                  </w:pPr>
                  <w:r>
                    <w:rPr>
                      <w:rFonts w:hint="eastAsia"/>
                      <w:color w:val="0000FF"/>
                      <w:kern w:val="0"/>
                      <w:szCs w:val="21"/>
                      <w:lang w:val="en-US" w:eastAsia="zh-CN" w:bidi="ar"/>
                    </w:rPr>
                    <w:t>531.864</w:t>
                  </w:r>
                </w:p>
              </w:tc>
              <w:tc>
                <w:tcPr>
                  <w:tcW w:w="1923" w:type="dxa"/>
                  <w:vMerge w:val="restart"/>
                  <w:vAlign w:val="center"/>
                </w:tcPr>
                <w:p>
                  <w:pPr>
                    <w:widowControl/>
                    <w:jc w:val="center"/>
                    <w:textAlignment w:val="center"/>
                    <w:rPr>
                      <w:color w:val="0000FF"/>
                      <w:kern w:val="0"/>
                      <w:szCs w:val="21"/>
                      <w:lang w:bidi="ar"/>
                    </w:rPr>
                  </w:pPr>
                  <w:r>
                    <w:rPr>
                      <w:rFonts w:hint="eastAsia"/>
                      <w:color w:val="0000FF"/>
                      <w:kern w:val="0"/>
                      <w:szCs w:val="21"/>
                      <w:lang w:bidi="ar"/>
                    </w:rPr>
                    <w:t>PU漆</w:t>
                  </w:r>
                </w:p>
              </w:tc>
              <w:tc>
                <w:tcPr>
                  <w:tcW w:w="2281" w:type="dxa"/>
                  <w:vAlign w:val="center"/>
                </w:tcPr>
                <w:p>
                  <w:pPr>
                    <w:widowControl/>
                    <w:jc w:val="center"/>
                    <w:textAlignment w:val="center"/>
                    <w:rPr>
                      <w:color w:val="0000FF"/>
                      <w:kern w:val="0"/>
                      <w:szCs w:val="21"/>
                      <w:lang w:bidi="ar"/>
                    </w:rPr>
                  </w:pPr>
                  <w:r>
                    <w:rPr>
                      <w:rFonts w:hint="eastAsia"/>
                      <w:color w:val="0000FF"/>
                      <w:kern w:val="0"/>
                      <w:szCs w:val="21"/>
                      <w:lang w:bidi="ar"/>
                    </w:rPr>
                    <w:t>0.</w:t>
                  </w:r>
                  <w:r>
                    <w:rPr>
                      <w:rFonts w:hint="eastAsia"/>
                      <w:color w:val="0000FF"/>
                      <w:kern w:val="0"/>
                      <w:szCs w:val="21"/>
                      <w:lang w:val="en-US" w:eastAsia="zh-CN" w:bidi="ar"/>
                    </w:rPr>
                    <w:t>164</w:t>
                  </w:r>
                  <w:r>
                    <w:rPr>
                      <w:rFonts w:hint="eastAsia"/>
                      <w:color w:val="0000FF"/>
                      <w:kern w:val="0"/>
                      <w:szCs w:val="21"/>
                      <w:lang w:bidi="ar"/>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rFonts w:hint="eastAsia"/>
                      <w:bCs/>
                      <w:color w:val="0000FF"/>
                      <w:szCs w:val="21"/>
                    </w:rPr>
                    <w:t>衣柜</w:t>
                  </w:r>
                </w:p>
              </w:tc>
              <w:tc>
                <w:tcPr>
                  <w:tcW w:w="1629" w:type="dxa"/>
                  <w:vAlign w:val="center"/>
                </w:tcPr>
                <w:p>
                  <w:pPr>
                    <w:widowControl/>
                    <w:jc w:val="center"/>
                    <w:textAlignment w:val="center"/>
                    <w:rPr>
                      <w:bCs/>
                      <w:color w:val="0000FF"/>
                      <w:szCs w:val="21"/>
                    </w:rPr>
                  </w:pPr>
                  <w:r>
                    <w:rPr>
                      <w:rFonts w:hint="eastAsia"/>
                      <w:color w:val="0000FF"/>
                      <w:kern w:val="0"/>
                      <w:szCs w:val="21"/>
                      <w:lang w:val="en-US" w:eastAsia="zh-CN" w:bidi="ar"/>
                    </w:rPr>
                    <w:t>1914.75</w:t>
                  </w:r>
                </w:p>
              </w:tc>
              <w:tc>
                <w:tcPr>
                  <w:tcW w:w="1923" w:type="dxa"/>
                  <w:vMerge w:val="continue"/>
                  <w:vAlign w:val="center"/>
                </w:tcPr>
                <w:p>
                  <w:pPr>
                    <w:widowControl/>
                    <w:jc w:val="center"/>
                    <w:textAlignment w:val="center"/>
                    <w:rPr>
                      <w:color w:val="0000FF"/>
                      <w:kern w:val="0"/>
                      <w:szCs w:val="21"/>
                      <w:lang w:bidi="ar"/>
                    </w:rPr>
                  </w:pPr>
                </w:p>
              </w:tc>
              <w:tc>
                <w:tcPr>
                  <w:tcW w:w="2281" w:type="dxa"/>
                  <w:vAlign w:val="center"/>
                </w:tcPr>
                <w:p>
                  <w:pPr>
                    <w:widowControl/>
                    <w:jc w:val="center"/>
                    <w:textAlignment w:val="center"/>
                    <w:rPr>
                      <w:color w:val="0000FF"/>
                      <w:kern w:val="0"/>
                      <w:szCs w:val="21"/>
                      <w:lang w:bidi="ar"/>
                    </w:rPr>
                  </w:pPr>
                  <w:r>
                    <w:rPr>
                      <w:rFonts w:hint="eastAsia"/>
                      <w:color w:val="0000FF"/>
                      <w:kern w:val="0"/>
                      <w:szCs w:val="21"/>
                      <w:lang w:val="en-US" w:eastAsia="zh-CN" w:bidi="ar"/>
                    </w:rPr>
                    <w:t>0.5915</w:t>
                  </w:r>
                  <w:r>
                    <w:rPr>
                      <w:rFonts w:hint="eastAsia"/>
                      <w:color w:val="0000FF"/>
                      <w:kern w:val="0"/>
                      <w:szCs w:val="21"/>
                      <w:lang w:bidi="ar"/>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rFonts w:hint="eastAsia"/>
                      <w:bCs/>
                      <w:color w:val="0000FF"/>
                      <w:szCs w:val="21"/>
                    </w:rPr>
                    <w:t>木门</w:t>
                  </w:r>
                </w:p>
              </w:tc>
              <w:tc>
                <w:tcPr>
                  <w:tcW w:w="1629" w:type="dxa"/>
                  <w:vAlign w:val="center"/>
                </w:tcPr>
                <w:p>
                  <w:pPr>
                    <w:widowControl/>
                    <w:jc w:val="center"/>
                    <w:textAlignment w:val="center"/>
                    <w:rPr>
                      <w:bCs/>
                      <w:color w:val="0000FF"/>
                      <w:szCs w:val="21"/>
                    </w:rPr>
                  </w:pPr>
                  <w:r>
                    <w:rPr>
                      <w:rFonts w:hint="eastAsia"/>
                      <w:color w:val="0000FF"/>
                      <w:kern w:val="0"/>
                      <w:szCs w:val="21"/>
                      <w:lang w:val="en-US" w:eastAsia="zh-CN" w:bidi="ar"/>
                    </w:rPr>
                    <w:t>6355</w:t>
                  </w:r>
                </w:p>
              </w:tc>
              <w:tc>
                <w:tcPr>
                  <w:tcW w:w="1923" w:type="dxa"/>
                  <w:vMerge w:val="continue"/>
                  <w:vAlign w:val="center"/>
                </w:tcPr>
                <w:p>
                  <w:pPr>
                    <w:widowControl/>
                    <w:jc w:val="center"/>
                    <w:textAlignment w:val="center"/>
                    <w:rPr>
                      <w:color w:val="0000FF"/>
                      <w:kern w:val="0"/>
                      <w:szCs w:val="21"/>
                      <w:lang w:bidi="ar"/>
                    </w:rPr>
                  </w:pPr>
                </w:p>
              </w:tc>
              <w:tc>
                <w:tcPr>
                  <w:tcW w:w="2281" w:type="dxa"/>
                  <w:vAlign w:val="center"/>
                </w:tcPr>
                <w:p>
                  <w:pPr>
                    <w:widowControl/>
                    <w:jc w:val="center"/>
                    <w:textAlignment w:val="center"/>
                    <w:rPr>
                      <w:color w:val="0000FF"/>
                      <w:kern w:val="0"/>
                      <w:szCs w:val="21"/>
                      <w:lang w:bidi="ar"/>
                    </w:rPr>
                  </w:pPr>
                  <w:r>
                    <w:rPr>
                      <w:rFonts w:hint="eastAsia"/>
                      <w:color w:val="0000FF"/>
                      <w:kern w:val="0"/>
                      <w:szCs w:val="21"/>
                      <w:lang w:val="en-US" w:eastAsia="zh-CN" w:bidi="ar"/>
                    </w:rPr>
                    <w:t>1.96</w:t>
                  </w:r>
                  <w:r>
                    <w:rPr>
                      <w:rFonts w:hint="eastAsia"/>
                      <w:color w:val="0000FF"/>
                      <w:kern w:val="0"/>
                      <w:szCs w:val="21"/>
                      <w:lang w:bidi="ar"/>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rFonts w:hint="eastAsia"/>
                      <w:bCs/>
                      <w:color w:val="0000FF"/>
                      <w:szCs w:val="21"/>
                    </w:rPr>
                    <w:t>锁柜</w:t>
                  </w:r>
                </w:p>
              </w:tc>
              <w:tc>
                <w:tcPr>
                  <w:tcW w:w="1629" w:type="dxa"/>
                  <w:vAlign w:val="center"/>
                </w:tcPr>
                <w:p>
                  <w:pPr>
                    <w:widowControl/>
                    <w:jc w:val="center"/>
                    <w:textAlignment w:val="center"/>
                    <w:rPr>
                      <w:bCs/>
                      <w:color w:val="0000FF"/>
                      <w:szCs w:val="21"/>
                    </w:rPr>
                  </w:pPr>
                  <w:r>
                    <w:rPr>
                      <w:rFonts w:hint="eastAsia"/>
                      <w:color w:val="0000FF"/>
                      <w:kern w:val="0"/>
                      <w:szCs w:val="21"/>
                      <w:lang w:val="en-US" w:eastAsia="zh-CN" w:bidi="ar"/>
                    </w:rPr>
                    <w:t>728.64</w:t>
                  </w:r>
                </w:p>
              </w:tc>
              <w:tc>
                <w:tcPr>
                  <w:tcW w:w="1923" w:type="dxa"/>
                  <w:vMerge w:val="continue"/>
                  <w:vAlign w:val="center"/>
                </w:tcPr>
                <w:p>
                  <w:pPr>
                    <w:widowControl/>
                    <w:jc w:val="center"/>
                    <w:textAlignment w:val="center"/>
                    <w:rPr>
                      <w:color w:val="0000FF"/>
                      <w:kern w:val="0"/>
                      <w:szCs w:val="21"/>
                      <w:lang w:bidi="ar"/>
                    </w:rPr>
                  </w:pPr>
                </w:p>
              </w:tc>
              <w:tc>
                <w:tcPr>
                  <w:tcW w:w="2281" w:type="dxa"/>
                  <w:vAlign w:val="center"/>
                </w:tcPr>
                <w:p>
                  <w:pPr>
                    <w:widowControl/>
                    <w:jc w:val="center"/>
                    <w:textAlignment w:val="center"/>
                    <w:rPr>
                      <w:color w:val="0000FF"/>
                      <w:kern w:val="0"/>
                      <w:szCs w:val="21"/>
                      <w:lang w:bidi="ar"/>
                    </w:rPr>
                  </w:pPr>
                  <w:r>
                    <w:rPr>
                      <w:rFonts w:hint="eastAsia"/>
                      <w:color w:val="0000FF"/>
                      <w:kern w:val="0"/>
                      <w:szCs w:val="21"/>
                      <w:lang w:bidi="ar"/>
                    </w:rPr>
                    <w:t>0.</w:t>
                  </w:r>
                  <w:r>
                    <w:rPr>
                      <w:rFonts w:hint="eastAsia"/>
                      <w:color w:val="0000FF"/>
                      <w:kern w:val="0"/>
                      <w:szCs w:val="21"/>
                      <w:lang w:val="en-US" w:eastAsia="zh-CN" w:bidi="ar"/>
                    </w:rPr>
                    <w:t>225</w:t>
                  </w:r>
                  <w:r>
                    <w:rPr>
                      <w:rFonts w:hint="eastAsia"/>
                      <w:color w:val="0000FF"/>
                      <w:kern w:val="0"/>
                      <w:szCs w:val="21"/>
                      <w:lang w:bidi="ar"/>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rFonts w:hint="eastAsia"/>
                      <w:bCs/>
                      <w:color w:val="0000FF"/>
                      <w:szCs w:val="21"/>
                    </w:rPr>
                    <w:t>拉手板</w:t>
                  </w:r>
                </w:p>
              </w:tc>
              <w:tc>
                <w:tcPr>
                  <w:tcW w:w="1629" w:type="dxa"/>
                  <w:vAlign w:val="center"/>
                </w:tcPr>
                <w:p>
                  <w:pPr>
                    <w:widowControl/>
                    <w:jc w:val="center"/>
                    <w:textAlignment w:val="center"/>
                    <w:rPr>
                      <w:bCs/>
                      <w:color w:val="0000FF"/>
                      <w:szCs w:val="21"/>
                    </w:rPr>
                  </w:pPr>
                  <w:r>
                    <w:rPr>
                      <w:rFonts w:hint="eastAsia"/>
                      <w:color w:val="0000FF"/>
                      <w:kern w:val="0"/>
                      <w:szCs w:val="21"/>
                      <w:lang w:val="en-US" w:eastAsia="zh-CN" w:bidi="ar"/>
                    </w:rPr>
                    <w:t>430</w:t>
                  </w:r>
                </w:p>
              </w:tc>
              <w:tc>
                <w:tcPr>
                  <w:tcW w:w="1923" w:type="dxa"/>
                  <w:vMerge w:val="continue"/>
                  <w:vAlign w:val="center"/>
                </w:tcPr>
                <w:p>
                  <w:pPr>
                    <w:widowControl/>
                    <w:jc w:val="center"/>
                    <w:textAlignment w:val="center"/>
                    <w:rPr>
                      <w:color w:val="0000FF"/>
                      <w:kern w:val="0"/>
                      <w:szCs w:val="21"/>
                      <w:lang w:bidi="ar"/>
                    </w:rPr>
                  </w:pPr>
                </w:p>
              </w:tc>
              <w:tc>
                <w:tcPr>
                  <w:tcW w:w="2281" w:type="dxa"/>
                  <w:vAlign w:val="center"/>
                </w:tcPr>
                <w:p>
                  <w:pPr>
                    <w:widowControl/>
                    <w:jc w:val="center"/>
                    <w:textAlignment w:val="center"/>
                    <w:rPr>
                      <w:color w:val="0000FF"/>
                      <w:kern w:val="0"/>
                      <w:szCs w:val="21"/>
                      <w:lang w:bidi="ar"/>
                    </w:rPr>
                  </w:pPr>
                  <w:r>
                    <w:rPr>
                      <w:rFonts w:hint="eastAsia"/>
                      <w:color w:val="0000FF"/>
                      <w:kern w:val="0"/>
                      <w:szCs w:val="21"/>
                      <w:lang w:bidi="ar"/>
                    </w:rPr>
                    <w:t>0.</w:t>
                  </w:r>
                  <w:r>
                    <w:rPr>
                      <w:rFonts w:hint="eastAsia"/>
                      <w:color w:val="0000FF"/>
                      <w:kern w:val="0"/>
                      <w:szCs w:val="21"/>
                      <w:lang w:val="en-US" w:eastAsia="zh-CN" w:bidi="ar"/>
                    </w:rPr>
                    <w:t>133</w:t>
                  </w:r>
                  <w:r>
                    <w:rPr>
                      <w:rFonts w:hint="eastAsia"/>
                      <w:color w:val="0000FF"/>
                      <w:kern w:val="0"/>
                      <w:szCs w:val="21"/>
                      <w:lang w:bidi="ar"/>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7" w:type="dxa"/>
                  <w:vAlign w:val="center"/>
                </w:tcPr>
                <w:p>
                  <w:pPr>
                    <w:spacing w:line="340" w:lineRule="exact"/>
                    <w:jc w:val="center"/>
                    <w:rPr>
                      <w:bCs/>
                      <w:color w:val="0000FF"/>
                      <w:szCs w:val="21"/>
                    </w:rPr>
                  </w:pPr>
                  <w:r>
                    <w:rPr>
                      <w:rFonts w:hint="eastAsia"/>
                      <w:bCs/>
                      <w:color w:val="0000FF"/>
                      <w:szCs w:val="21"/>
                    </w:rPr>
                    <w:t>展示柜</w:t>
                  </w:r>
                </w:p>
              </w:tc>
              <w:tc>
                <w:tcPr>
                  <w:tcW w:w="1629" w:type="dxa"/>
                  <w:vAlign w:val="center"/>
                </w:tcPr>
                <w:p>
                  <w:pPr>
                    <w:widowControl/>
                    <w:jc w:val="center"/>
                    <w:textAlignment w:val="center"/>
                    <w:rPr>
                      <w:bCs/>
                      <w:color w:val="0000FF"/>
                      <w:szCs w:val="21"/>
                    </w:rPr>
                  </w:pPr>
                  <w:r>
                    <w:rPr>
                      <w:rFonts w:hint="eastAsia"/>
                      <w:color w:val="0000FF"/>
                      <w:kern w:val="0"/>
                      <w:szCs w:val="21"/>
                      <w:lang w:val="en-US" w:eastAsia="zh-CN" w:bidi="ar"/>
                    </w:rPr>
                    <w:t>2114</w:t>
                  </w:r>
                </w:p>
              </w:tc>
              <w:tc>
                <w:tcPr>
                  <w:tcW w:w="1923" w:type="dxa"/>
                  <w:vMerge w:val="continue"/>
                  <w:vAlign w:val="center"/>
                </w:tcPr>
                <w:p>
                  <w:pPr>
                    <w:widowControl/>
                    <w:jc w:val="center"/>
                    <w:textAlignment w:val="center"/>
                    <w:rPr>
                      <w:color w:val="0000FF"/>
                      <w:kern w:val="0"/>
                      <w:szCs w:val="21"/>
                      <w:lang w:bidi="ar"/>
                    </w:rPr>
                  </w:pPr>
                </w:p>
              </w:tc>
              <w:tc>
                <w:tcPr>
                  <w:tcW w:w="2281" w:type="dxa"/>
                  <w:vAlign w:val="center"/>
                </w:tcPr>
                <w:p>
                  <w:pPr>
                    <w:widowControl/>
                    <w:jc w:val="center"/>
                    <w:textAlignment w:val="center"/>
                    <w:rPr>
                      <w:color w:val="0000FF"/>
                      <w:kern w:val="0"/>
                      <w:szCs w:val="21"/>
                      <w:lang w:bidi="ar"/>
                    </w:rPr>
                  </w:pPr>
                  <w:r>
                    <w:rPr>
                      <w:rFonts w:hint="eastAsia"/>
                      <w:color w:val="0000FF"/>
                      <w:kern w:val="0"/>
                      <w:szCs w:val="21"/>
                      <w:lang w:bidi="ar"/>
                    </w:rPr>
                    <w:t>0.</w:t>
                  </w:r>
                  <w:r>
                    <w:rPr>
                      <w:rFonts w:hint="eastAsia"/>
                      <w:color w:val="0000FF"/>
                      <w:kern w:val="0"/>
                      <w:szCs w:val="21"/>
                      <w:lang w:val="en-US" w:eastAsia="zh-CN" w:bidi="ar"/>
                    </w:rPr>
                    <w:t>653</w:t>
                  </w:r>
                  <w:r>
                    <w:rPr>
                      <w:rFonts w:hint="eastAsia"/>
                      <w:color w:val="0000FF"/>
                      <w:kern w:val="0"/>
                      <w:szCs w:val="21"/>
                      <w:lang w:bidi="ar"/>
                    </w:rPr>
                    <w:t>t/a</w:t>
                  </w:r>
                </w:p>
              </w:tc>
            </w:tr>
          </w:tbl>
          <w:p>
            <w:pPr>
              <w:spacing w:line="360" w:lineRule="auto"/>
              <w:ind w:firstLine="480" w:firstLineChars="200"/>
              <w:rPr>
                <w:color w:val="0000FF"/>
              </w:rPr>
            </w:pPr>
            <w:r>
              <w:rPr>
                <w:rFonts w:hint="eastAsia"/>
                <w:color w:val="0000FF"/>
                <w:sz w:val="24"/>
              </w:rPr>
              <w:t>5</w:t>
            </w:r>
            <w:r>
              <w:rPr>
                <w:color w:val="0000FF"/>
                <w:sz w:val="24"/>
              </w:rPr>
              <w:t>、项目主要生产设备</w:t>
            </w:r>
          </w:p>
          <w:p>
            <w:pPr>
              <w:spacing w:line="360" w:lineRule="auto"/>
              <w:ind w:firstLine="480" w:firstLineChars="200"/>
              <w:rPr>
                <w:sz w:val="24"/>
              </w:rPr>
            </w:pPr>
            <w:r>
              <w:rPr>
                <w:rFonts w:hint="eastAsia"/>
                <w:sz w:val="24"/>
              </w:rPr>
              <w:t>工程主要生产设备详见表2-8。</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表2-8  主要设备一览表</w:t>
            </w:r>
          </w:p>
          <w:tbl>
            <w:tblPr>
              <w:tblStyle w:val="33"/>
              <w:tblW w:w="494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035"/>
              <w:gridCol w:w="1922"/>
              <w:gridCol w:w="1117"/>
              <w:gridCol w:w="1170"/>
              <w:gridCol w:w="10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序号</w:t>
                  </w:r>
                </w:p>
              </w:tc>
              <w:tc>
                <w:tcPr>
                  <w:tcW w:w="1256" w:type="pct"/>
                  <w:vAlign w:val="center"/>
                </w:tcPr>
                <w:p>
                  <w:pPr>
                    <w:pStyle w:val="126"/>
                  </w:pPr>
                  <w:r>
                    <w:rPr>
                      <w:rFonts w:hint="eastAsia"/>
                    </w:rPr>
                    <w:t>设备名称</w:t>
                  </w:r>
                </w:p>
              </w:tc>
              <w:tc>
                <w:tcPr>
                  <w:tcW w:w="1186" w:type="pct"/>
                  <w:vAlign w:val="center"/>
                </w:tcPr>
                <w:p>
                  <w:pPr>
                    <w:pStyle w:val="126"/>
                  </w:pPr>
                  <w:r>
                    <w:rPr>
                      <w:rFonts w:hint="eastAsia"/>
                    </w:rPr>
                    <w:t>规格型号</w:t>
                  </w:r>
                </w:p>
              </w:tc>
              <w:tc>
                <w:tcPr>
                  <w:tcW w:w="689" w:type="pct"/>
                  <w:vAlign w:val="center"/>
                </w:tcPr>
                <w:p>
                  <w:pPr>
                    <w:pStyle w:val="126"/>
                  </w:pPr>
                  <w:r>
                    <w:rPr>
                      <w:rFonts w:hint="eastAsia"/>
                    </w:rPr>
                    <w:t>变更后设备数量（台）</w:t>
                  </w:r>
                </w:p>
              </w:tc>
              <w:tc>
                <w:tcPr>
                  <w:tcW w:w="722" w:type="pct"/>
                  <w:vAlign w:val="center"/>
                </w:tcPr>
                <w:p>
                  <w:pPr>
                    <w:pStyle w:val="126"/>
                  </w:pPr>
                  <w:r>
                    <w:rPr>
                      <w:rFonts w:hint="eastAsia"/>
                    </w:rPr>
                    <w:t>变更前设备数量（台）</w:t>
                  </w:r>
                </w:p>
              </w:tc>
              <w:tc>
                <w:tcPr>
                  <w:tcW w:w="660" w:type="pct"/>
                  <w:vAlign w:val="center"/>
                </w:tcPr>
                <w:p>
                  <w:pPr>
                    <w:pStyle w:val="126"/>
                  </w:pPr>
                  <w:r>
                    <w:rPr>
                      <w:rFonts w:hint="eastAsia"/>
                    </w:rPr>
                    <w:t>与变更前相比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1</w:t>
                  </w:r>
                </w:p>
              </w:tc>
              <w:tc>
                <w:tcPr>
                  <w:tcW w:w="1256" w:type="pct"/>
                </w:tcPr>
                <w:p>
                  <w:pPr>
                    <w:spacing w:line="360" w:lineRule="auto"/>
                    <w:jc w:val="center"/>
                  </w:pPr>
                  <w:r>
                    <w:t>锯台</w:t>
                  </w:r>
                </w:p>
              </w:tc>
              <w:tc>
                <w:tcPr>
                  <w:tcW w:w="1186" w:type="pct"/>
                </w:tcPr>
                <w:p>
                  <w:pPr>
                    <w:spacing w:line="360" w:lineRule="exact"/>
                    <w:jc w:val="center"/>
                  </w:pPr>
                  <w:r>
                    <w:rPr>
                      <w:szCs w:val="21"/>
                    </w:rPr>
                    <w:t>MJ6132D</w:t>
                  </w:r>
                </w:p>
              </w:tc>
              <w:tc>
                <w:tcPr>
                  <w:tcW w:w="689" w:type="pct"/>
                </w:tcPr>
                <w:p>
                  <w:pPr>
                    <w:spacing w:line="360" w:lineRule="exact"/>
                    <w:jc w:val="center"/>
                  </w:pPr>
                  <w:r>
                    <w:rPr>
                      <w:szCs w:val="21"/>
                    </w:rPr>
                    <w:t>5</w:t>
                  </w:r>
                </w:p>
              </w:tc>
              <w:tc>
                <w:tcPr>
                  <w:tcW w:w="722" w:type="pct"/>
                </w:tcPr>
                <w:p>
                  <w:pPr>
                    <w:spacing w:line="360" w:lineRule="exact"/>
                    <w:jc w:val="center"/>
                  </w:pPr>
                  <w:r>
                    <w:rPr>
                      <w:szCs w:val="21"/>
                    </w:rPr>
                    <w:t>5</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2</w:t>
                  </w:r>
                </w:p>
              </w:tc>
              <w:tc>
                <w:tcPr>
                  <w:tcW w:w="1256" w:type="pct"/>
                </w:tcPr>
                <w:p>
                  <w:pPr>
                    <w:spacing w:line="360" w:lineRule="auto"/>
                    <w:jc w:val="center"/>
                  </w:pPr>
                  <w:r>
                    <w:t>拉机</w:t>
                  </w:r>
                </w:p>
              </w:tc>
              <w:tc>
                <w:tcPr>
                  <w:tcW w:w="1186" w:type="pct"/>
                </w:tcPr>
                <w:p>
                  <w:pPr>
                    <w:spacing w:line="360" w:lineRule="exact"/>
                    <w:jc w:val="center"/>
                  </w:pPr>
                  <w:r>
                    <w:rPr>
                      <w:szCs w:val="21"/>
                    </w:rPr>
                    <w:t>MXS5115A</w:t>
                  </w:r>
                </w:p>
              </w:tc>
              <w:tc>
                <w:tcPr>
                  <w:tcW w:w="689" w:type="pct"/>
                </w:tcPr>
                <w:p>
                  <w:pPr>
                    <w:spacing w:line="360" w:lineRule="exact"/>
                    <w:jc w:val="center"/>
                  </w:pPr>
                  <w:r>
                    <w:rPr>
                      <w:szCs w:val="21"/>
                    </w:rPr>
                    <w:t>10</w:t>
                  </w:r>
                </w:p>
              </w:tc>
              <w:tc>
                <w:tcPr>
                  <w:tcW w:w="722" w:type="pct"/>
                </w:tcPr>
                <w:p>
                  <w:pPr>
                    <w:spacing w:line="360" w:lineRule="exact"/>
                    <w:jc w:val="center"/>
                  </w:pPr>
                  <w:r>
                    <w:rPr>
                      <w:szCs w:val="21"/>
                    </w:rPr>
                    <w:t>10</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3</w:t>
                  </w:r>
                </w:p>
              </w:tc>
              <w:tc>
                <w:tcPr>
                  <w:tcW w:w="1256" w:type="pct"/>
                </w:tcPr>
                <w:p>
                  <w:pPr>
                    <w:spacing w:line="360" w:lineRule="auto"/>
                    <w:jc w:val="center"/>
                  </w:pPr>
                  <w:r>
                    <w:t>UV滚涂机</w:t>
                  </w:r>
                </w:p>
              </w:tc>
              <w:tc>
                <w:tcPr>
                  <w:tcW w:w="1186" w:type="pct"/>
                </w:tcPr>
                <w:p>
                  <w:pPr>
                    <w:spacing w:line="360" w:lineRule="exact"/>
                    <w:jc w:val="center"/>
                  </w:pPr>
                  <w:r>
                    <w:rPr>
                      <w:szCs w:val="21"/>
                    </w:rPr>
                    <w:t>1300</w:t>
                  </w:r>
                </w:p>
              </w:tc>
              <w:tc>
                <w:tcPr>
                  <w:tcW w:w="689" w:type="pct"/>
                </w:tcPr>
                <w:p>
                  <w:pPr>
                    <w:spacing w:line="360" w:lineRule="exact"/>
                    <w:jc w:val="center"/>
                  </w:pPr>
                  <w:r>
                    <w:rPr>
                      <w:szCs w:val="21"/>
                    </w:rPr>
                    <w:t>2</w:t>
                  </w:r>
                </w:p>
              </w:tc>
              <w:tc>
                <w:tcPr>
                  <w:tcW w:w="722" w:type="pct"/>
                </w:tcPr>
                <w:p>
                  <w:pPr>
                    <w:spacing w:line="360" w:lineRule="exact"/>
                    <w:jc w:val="center"/>
                  </w:pPr>
                  <w:r>
                    <w:rPr>
                      <w:szCs w:val="21"/>
                    </w:rPr>
                    <w:t>2</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4</w:t>
                  </w:r>
                </w:p>
              </w:tc>
              <w:tc>
                <w:tcPr>
                  <w:tcW w:w="1256" w:type="pct"/>
                </w:tcPr>
                <w:p>
                  <w:pPr>
                    <w:spacing w:line="360" w:lineRule="auto"/>
                    <w:jc w:val="center"/>
                  </w:pPr>
                  <w:r>
                    <w:t>喷台</w:t>
                  </w:r>
                </w:p>
              </w:tc>
              <w:tc>
                <w:tcPr>
                  <w:tcW w:w="1186" w:type="pct"/>
                </w:tcPr>
                <w:p>
                  <w:pPr>
                    <w:spacing w:line="360" w:lineRule="exact"/>
                    <w:jc w:val="center"/>
                  </w:pPr>
                  <w:r>
                    <w:rPr>
                      <w:rFonts w:hint="eastAsia"/>
                    </w:rPr>
                    <w:t>/</w:t>
                  </w:r>
                </w:p>
              </w:tc>
              <w:tc>
                <w:tcPr>
                  <w:tcW w:w="689" w:type="pct"/>
                </w:tcPr>
                <w:p>
                  <w:pPr>
                    <w:spacing w:line="360" w:lineRule="exact"/>
                    <w:jc w:val="center"/>
                  </w:pPr>
                  <w:r>
                    <w:rPr>
                      <w:szCs w:val="21"/>
                    </w:rPr>
                    <w:t>3</w:t>
                  </w:r>
                </w:p>
              </w:tc>
              <w:tc>
                <w:tcPr>
                  <w:tcW w:w="722" w:type="pct"/>
                </w:tcPr>
                <w:p>
                  <w:pPr>
                    <w:spacing w:line="360" w:lineRule="exact"/>
                    <w:jc w:val="center"/>
                  </w:pPr>
                  <w:r>
                    <w:rPr>
                      <w:szCs w:val="21"/>
                    </w:rPr>
                    <w:t>3</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5</w:t>
                  </w:r>
                </w:p>
              </w:tc>
              <w:tc>
                <w:tcPr>
                  <w:tcW w:w="1256" w:type="pct"/>
                </w:tcPr>
                <w:p>
                  <w:pPr>
                    <w:spacing w:line="360" w:lineRule="auto"/>
                    <w:jc w:val="center"/>
                  </w:pPr>
                  <w:r>
                    <w:rPr>
                      <w:rFonts w:hint="eastAsia"/>
                    </w:rPr>
                    <w:t>喷漆房</w:t>
                  </w:r>
                </w:p>
              </w:tc>
              <w:tc>
                <w:tcPr>
                  <w:tcW w:w="1186" w:type="pct"/>
                </w:tcPr>
                <w:p>
                  <w:pPr>
                    <w:spacing w:line="360" w:lineRule="exact"/>
                    <w:jc w:val="center"/>
                  </w:pPr>
                  <w:r>
                    <w:rPr>
                      <w:rFonts w:hint="eastAsia"/>
                    </w:rPr>
                    <w:t>/</w:t>
                  </w:r>
                </w:p>
              </w:tc>
              <w:tc>
                <w:tcPr>
                  <w:tcW w:w="689" w:type="pct"/>
                  <w:vAlign w:val="center"/>
                </w:tcPr>
                <w:p>
                  <w:pPr>
                    <w:pStyle w:val="126"/>
                  </w:pPr>
                  <w:r>
                    <w:rPr>
                      <w:rFonts w:hint="eastAsia"/>
                    </w:rPr>
                    <w:t>3</w:t>
                  </w:r>
                </w:p>
              </w:tc>
              <w:tc>
                <w:tcPr>
                  <w:tcW w:w="722" w:type="pct"/>
                </w:tcPr>
                <w:p>
                  <w:pPr>
                    <w:spacing w:line="360" w:lineRule="exact"/>
                    <w:jc w:val="center"/>
                    <w:rPr>
                      <w:szCs w:val="21"/>
                    </w:rPr>
                  </w:pPr>
                  <w:r>
                    <w:rPr>
                      <w:rFonts w:hint="eastAsia"/>
                      <w:szCs w:val="21"/>
                    </w:rPr>
                    <w:t>0</w:t>
                  </w:r>
                </w:p>
              </w:tc>
              <w:tc>
                <w:tcPr>
                  <w:tcW w:w="660" w:type="pct"/>
                  <w:vAlign w:val="center"/>
                </w:tcPr>
                <w:p>
                  <w:pPr>
                    <w:pStyle w:val="126"/>
                  </w:pPr>
                  <w:r>
                    <w:rPr>
                      <w:rFonts w:hint="eastAsia"/>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6</w:t>
                  </w:r>
                </w:p>
              </w:tc>
              <w:tc>
                <w:tcPr>
                  <w:tcW w:w="1256" w:type="pct"/>
                </w:tcPr>
                <w:p>
                  <w:pPr>
                    <w:spacing w:line="360" w:lineRule="auto"/>
                    <w:jc w:val="center"/>
                  </w:pPr>
                  <w:r>
                    <w:t>吸塑机</w:t>
                  </w:r>
                </w:p>
              </w:tc>
              <w:tc>
                <w:tcPr>
                  <w:tcW w:w="1186" w:type="pct"/>
                </w:tcPr>
                <w:p>
                  <w:pPr>
                    <w:spacing w:line="360" w:lineRule="exact"/>
                    <w:jc w:val="center"/>
                  </w:pPr>
                  <w:r>
                    <w:rPr>
                      <w:szCs w:val="21"/>
                    </w:rPr>
                    <w:t>JS14S</w:t>
                  </w:r>
                </w:p>
              </w:tc>
              <w:tc>
                <w:tcPr>
                  <w:tcW w:w="689" w:type="pct"/>
                  <w:vAlign w:val="center"/>
                </w:tcPr>
                <w:p>
                  <w:pPr>
                    <w:pStyle w:val="126"/>
                  </w:pPr>
                  <w:r>
                    <w:rPr>
                      <w:rFonts w:hint="eastAsia"/>
                    </w:rPr>
                    <w:t>0</w:t>
                  </w:r>
                </w:p>
              </w:tc>
              <w:tc>
                <w:tcPr>
                  <w:tcW w:w="722" w:type="pct"/>
                </w:tcPr>
                <w:p>
                  <w:pPr>
                    <w:spacing w:line="360" w:lineRule="exact"/>
                    <w:jc w:val="center"/>
                  </w:pPr>
                  <w:r>
                    <w:rPr>
                      <w:szCs w:val="21"/>
                    </w:rPr>
                    <w:t>1</w:t>
                  </w:r>
                </w:p>
              </w:tc>
              <w:tc>
                <w:tcPr>
                  <w:tcW w:w="660" w:type="pct"/>
                  <w:vAlign w:val="center"/>
                </w:tcPr>
                <w:p>
                  <w:pPr>
                    <w:pStyle w:val="126"/>
                  </w:pPr>
                  <w:r>
                    <w:rPr>
                      <w:rFonts w:hint="eastAsia"/>
                    </w:rPr>
                    <w:t>减少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7</w:t>
                  </w:r>
                </w:p>
              </w:tc>
              <w:tc>
                <w:tcPr>
                  <w:tcW w:w="1256" w:type="pct"/>
                </w:tcPr>
                <w:p>
                  <w:pPr>
                    <w:spacing w:line="360" w:lineRule="auto"/>
                    <w:jc w:val="center"/>
                  </w:pPr>
                  <w:r>
                    <w:t>3D打印机</w:t>
                  </w:r>
                </w:p>
              </w:tc>
              <w:tc>
                <w:tcPr>
                  <w:tcW w:w="1186" w:type="pct"/>
                </w:tcPr>
                <w:p>
                  <w:pPr>
                    <w:spacing w:line="360" w:lineRule="exact"/>
                    <w:jc w:val="center"/>
                  </w:pPr>
                  <w:r>
                    <w:rPr>
                      <w:szCs w:val="21"/>
                    </w:rPr>
                    <w:t>AC-E2513</w:t>
                  </w:r>
                </w:p>
              </w:tc>
              <w:tc>
                <w:tcPr>
                  <w:tcW w:w="689" w:type="pct"/>
                </w:tcPr>
                <w:p>
                  <w:pPr>
                    <w:spacing w:line="360" w:lineRule="exact"/>
                    <w:jc w:val="center"/>
                  </w:pPr>
                  <w:r>
                    <w:rPr>
                      <w:szCs w:val="21"/>
                    </w:rPr>
                    <w:t>1</w:t>
                  </w:r>
                </w:p>
              </w:tc>
              <w:tc>
                <w:tcPr>
                  <w:tcW w:w="722" w:type="pct"/>
                </w:tcPr>
                <w:p>
                  <w:pPr>
                    <w:spacing w:line="360" w:lineRule="exact"/>
                    <w:jc w:val="center"/>
                  </w:pPr>
                  <w:r>
                    <w:rPr>
                      <w:szCs w:val="21"/>
                    </w:rPr>
                    <w:t>1</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8</w:t>
                  </w:r>
                </w:p>
              </w:tc>
              <w:tc>
                <w:tcPr>
                  <w:tcW w:w="1256" w:type="pct"/>
                </w:tcPr>
                <w:p>
                  <w:pPr>
                    <w:spacing w:line="360" w:lineRule="auto"/>
                    <w:jc w:val="center"/>
                  </w:pPr>
                  <w:r>
                    <w:t>台式钻机</w:t>
                  </w:r>
                </w:p>
              </w:tc>
              <w:tc>
                <w:tcPr>
                  <w:tcW w:w="1186" w:type="pct"/>
                </w:tcPr>
                <w:p>
                  <w:pPr>
                    <w:spacing w:line="360" w:lineRule="exact"/>
                    <w:jc w:val="center"/>
                  </w:pPr>
                  <w:r>
                    <w:rPr>
                      <w:szCs w:val="21"/>
                    </w:rPr>
                    <w:t>24116</w:t>
                  </w:r>
                </w:p>
              </w:tc>
              <w:tc>
                <w:tcPr>
                  <w:tcW w:w="689" w:type="pct"/>
                </w:tcPr>
                <w:p>
                  <w:pPr>
                    <w:spacing w:line="360" w:lineRule="exact"/>
                    <w:jc w:val="center"/>
                  </w:pPr>
                  <w:r>
                    <w:rPr>
                      <w:szCs w:val="21"/>
                    </w:rPr>
                    <w:t>5</w:t>
                  </w:r>
                </w:p>
              </w:tc>
              <w:tc>
                <w:tcPr>
                  <w:tcW w:w="722" w:type="pct"/>
                </w:tcPr>
                <w:p>
                  <w:pPr>
                    <w:spacing w:line="360" w:lineRule="exact"/>
                    <w:jc w:val="center"/>
                  </w:pPr>
                  <w:r>
                    <w:rPr>
                      <w:szCs w:val="21"/>
                    </w:rPr>
                    <w:t>5</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9</w:t>
                  </w:r>
                </w:p>
              </w:tc>
              <w:tc>
                <w:tcPr>
                  <w:tcW w:w="1256" w:type="pct"/>
                </w:tcPr>
                <w:p>
                  <w:pPr>
                    <w:spacing w:line="360" w:lineRule="auto"/>
                    <w:jc w:val="center"/>
                  </w:pPr>
                  <w:r>
                    <w:t>落地式</w:t>
                  </w:r>
                </w:p>
              </w:tc>
              <w:tc>
                <w:tcPr>
                  <w:tcW w:w="1186" w:type="pct"/>
                </w:tcPr>
                <w:p>
                  <w:pPr>
                    <w:spacing w:line="360" w:lineRule="exact"/>
                    <w:jc w:val="center"/>
                  </w:pPr>
                  <w:r>
                    <w:rPr>
                      <w:szCs w:val="21"/>
                    </w:rPr>
                    <w:t>中央除尘</w:t>
                  </w:r>
                </w:p>
              </w:tc>
              <w:tc>
                <w:tcPr>
                  <w:tcW w:w="689" w:type="pct"/>
                </w:tcPr>
                <w:p>
                  <w:pPr>
                    <w:spacing w:line="360" w:lineRule="exact"/>
                    <w:jc w:val="center"/>
                  </w:pPr>
                  <w:r>
                    <w:rPr>
                      <w:szCs w:val="21"/>
                    </w:rPr>
                    <w:t>1</w:t>
                  </w:r>
                </w:p>
              </w:tc>
              <w:tc>
                <w:tcPr>
                  <w:tcW w:w="722" w:type="pct"/>
                </w:tcPr>
                <w:p>
                  <w:pPr>
                    <w:spacing w:line="360" w:lineRule="exact"/>
                    <w:jc w:val="center"/>
                  </w:pPr>
                  <w:r>
                    <w:rPr>
                      <w:szCs w:val="21"/>
                    </w:rPr>
                    <w:t>1</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10</w:t>
                  </w:r>
                </w:p>
              </w:tc>
              <w:tc>
                <w:tcPr>
                  <w:tcW w:w="1256" w:type="pct"/>
                </w:tcPr>
                <w:p>
                  <w:pPr>
                    <w:spacing w:line="360" w:lineRule="auto"/>
                    <w:jc w:val="center"/>
                  </w:pPr>
                  <w:r>
                    <w:t>雕刻机</w:t>
                  </w:r>
                </w:p>
              </w:tc>
              <w:tc>
                <w:tcPr>
                  <w:tcW w:w="1186" w:type="pct"/>
                </w:tcPr>
                <w:p>
                  <w:pPr>
                    <w:spacing w:line="360" w:lineRule="exact"/>
                    <w:jc w:val="center"/>
                  </w:pPr>
                  <w:r>
                    <w:rPr>
                      <w:rFonts w:hint="eastAsia"/>
                    </w:rPr>
                    <w:t>/</w:t>
                  </w:r>
                </w:p>
              </w:tc>
              <w:tc>
                <w:tcPr>
                  <w:tcW w:w="689" w:type="pct"/>
                </w:tcPr>
                <w:p>
                  <w:pPr>
                    <w:spacing w:line="360" w:lineRule="exact"/>
                    <w:jc w:val="center"/>
                  </w:pPr>
                  <w:r>
                    <w:rPr>
                      <w:szCs w:val="21"/>
                    </w:rPr>
                    <w:t>1</w:t>
                  </w:r>
                </w:p>
              </w:tc>
              <w:tc>
                <w:tcPr>
                  <w:tcW w:w="722" w:type="pct"/>
                </w:tcPr>
                <w:p>
                  <w:pPr>
                    <w:spacing w:line="360" w:lineRule="exact"/>
                    <w:jc w:val="center"/>
                  </w:pPr>
                  <w:r>
                    <w:rPr>
                      <w:szCs w:val="21"/>
                    </w:rPr>
                    <w:t>1</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pPr>
                  <w:r>
                    <w:rPr>
                      <w:rFonts w:hint="eastAsia"/>
                    </w:rPr>
                    <w:t>11</w:t>
                  </w:r>
                </w:p>
              </w:tc>
              <w:tc>
                <w:tcPr>
                  <w:tcW w:w="1256" w:type="pct"/>
                </w:tcPr>
                <w:p>
                  <w:pPr>
                    <w:spacing w:line="360" w:lineRule="auto"/>
                    <w:jc w:val="center"/>
                  </w:pPr>
                  <w:r>
                    <w:t>砂光机</w:t>
                  </w:r>
                </w:p>
              </w:tc>
              <w:tc>
                <w:tcPr>
                  <w:tcW w:w="1186" w:type="pct"/>
                </w:tcPr>
                <w:p>
                  <w:pPr>
                    <w:spacing w:line="360" w:lineRule="exact"/>
                    <w:jc w:val="center"/>
                  </w:pPr>
                  <w:r>
                    <w:rPr>
                      <w:rFonts w:hint="eastAsia"/>
                    </w:rPr>
                    <w:t>/</w:t>
                  </w:r>
                </w:p>
              </w:tc>
              <w:tc>
                <w:tcPr>
                  <w:tcW w:w="689" w:type="pct"/>
                </w:tcPr>
                <w:p>
                  <w:pPr>
                    <w:spacing w:line="360" w:lineRule="exact"/>
                    <w:jc w:val="center"/>
                  </w:pPr>
                  <w:r>
                    <w:rPr>
                      <w:szCs w:val="21"/>
                    </w:rPr>
                    <w:t>1</w:t>
                  </w:r>
                </w:p>
              </w:tc>
              <w:tc>
                <w:tcPr>
                  <w:tcW w:w="722" w:type="pct"/>
                </w:tcPr>
                <w:p>
                  <w:pPr>
                    <w:spacing w:line="360" w:lineRule="exact"/>
                    <w:jc w:val="center"/>
                  </w:pPr>
                  <w:r>
                    <w:rPr>
                      <w:szCs w:val="21"/>
                    </w:rPr>
                    <w:t>1</w:t>
                  </w:r>
                </w:p>
              </w:tc>
              <w:tc>
                <w:tcPr>
                  <w:tcW w:w="660" w:type="pct"/>
                  <w:vAlign w:val="center"/>
                </w:tcPr>
                <w:p>
                  <w:pPr>
                    <w:pStyle w:val="126"/>
                  </w:pPr>
                  <w:r>
                    <w:rPr>
                      <w:rFonts w:hint="eastAsia"/>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4" w:type="pct"/>
                  <w:vAlign w:val="center"/>
                </w:tcPr>
                <w:p>
                  <w:pPr>
                    <w:pStyle w:val="126"/>
                    <w:rPr>
                      <w:rFonts w:hint="default" w:eastAsia="宋体"/>
                      <w:lang w:val="en-US" w:eastAsia="zh-CN"/>
                    </w:rPr>
                  </w:pPr>
                  <w:r>
                    <w:rPr>
                      <w:rFonts w:hint="eastAsia"/>
                      <w:lang w:val="en-US" w:eastAsia="zh-CN"/>
                    </w:rPr>
                    <w:t>12</w:t>
                  </w:r>
                </w:p>
              </w:tc>
              <w:tc>
                <w:tcPr>
                  <w:tcW w:w="1256" w:type="pct"/>
                </w:tcPr>
                <w:p>
                  <w:pPr>
                    <w:spacing w:line="360" w:lineRule="auto"/>
                    <w:jc w:val="center"/>
                  </w:pPr>
                  <w:r>
                    <w:t>压机</w:t>
                  </w:r>
                </w:p>
              </w:tc>
              <w:tc>
                <w:tcPr>
                  <w:tcW w:w="1186" w:type="pct"/>
                </w:tcPr>
                <w:p>
                  <w:pPr>
                    <w:spacing w:line="360" w:lineRule="exact"/>
                    <w:jc w:val="center"/>
                  </w:pPr>
                  <w:r>
                    <w:rPr>
                      <w:rFonts w:hint="eastAsia"/>
                    </w:rPr>
                    <w:t>/</w:t>
                  </w:r>
                </w:p>
              </w:tc>
              <w:tc>
                <w:tcPr>
                  <w:tcW w:w="689" w:type="pct"/>
                </w:tcPr>
                <w:p>
                  <w:pPr>
                    <w:spacing w:line="360" w:lineRule="exact"/>
                    <w:jc w:val="center"/>
                  </w:pPr>
                  <w:r>
                    <w:rPr>
                      <w:szCs w:val="21"/>
                    </w:rPr>
                    <w:t>3</w:t>
                  </w:r>
                </w:p>
              </w:tc>
              <w:tc>
                <w:tcPr>
                  <w:tcW w:w="722" w:type="pct"/>
                </w:tcPr>
                <w:p>
                  <w:pPr>
                    <w:spacing w:line="360" w:lineRule="exact"/>
                    <w:jc w:val="center"/>
                  </w:pPr>
                  <w:r>
                    <w:rPr>
                      <w:szCs w:val="21"/>
                    </w:rPr>
                    <w:t>3</w:t>
                  </w:r>
                </w:p>
              </w:tc>
              <w:tc>
                <w:tcPr>
                  <w:tcW w:w="660" w:type="pct"/>
                  <w:vAlign w:val="center"/>
                </w:tcPr>
                <w:p>
                  <w:pPr>
                    <w:pStyle w:val="126"/>
                  </w:pPr>
                  <w:r>
                    <w:rPr>
                      <w:rFonts w:hint="eastAsia"/>
                    </w:rPr>
                    <w:t>不变</w:t>
                  </w:r>
                </w:p>
              </w:tc>
            </w:tr>
          </w:tbl>
          <w:p>
            <w:pPr>
              <w:spacing w:line="360" w:lineRule="auto"/>
              <w:ind w:firstLine="480" w:firstLineChars="200"/>
              <w:rPr>
                <w:rFonts w:eastAsia="黑体"/>
                <w:sz w:val="24"/>
              </w:rPr>
            </w:pPr>
            <w:r>
              <w:rPr>
                <w:rFonts w:hint="eastAsia" w:eastAsia="黑体"/>
                <w:sz w:val="24"/>
              </w:rPr>
              <w:t>6、职工人数、工作制度</w:t>
            </w:r>
          </w:p>
          <w:p>
            <w:pPr>
              <w:pStyle w:val="8"/>
              <w:spacing w:line="360" w:lineRule="auto"/>
              <w:ind w:firstLine="480"/>
              <w:rPr>
                <w:sz w:val="24"/>
                <w:szCs w:val="24"/>
              </w:rPr>
            </w:pPr>
            <w:r>
              <w:rPr>
                <w:rFonts w:hint="eastAsia"/>
                <w:sz w:val="24"/>
                <w:szCs w:val="24"/>
              </w:rPr>
              <w:t>项目变更后劳动定员没有变化，为100人。全年工作时间300天，一天一班，每班8小时。</w:t>
            </w:r>
          </w:p>
          <w:p>
            <w:pPr>
              <w:spacing w:line="360" w:lineRule="auto"/>
              <w:ind w:firstLine="480" w:firstLineChars="200"/>
              <w:rPr>
                <w:rStyle w:val="39"/>
                <w:kern w:val="0"/>
                <w:szCs w:val="20"/>
              </w:rPr>
            </w:pPr>
            <w:r>
              <w:rPr>
                <w:rFonts w:hint="eastAsia" w:eastAsia="黑体"/>
                <w:sz w:val="24"/>
              </w:rPr>
              <w:t>7</w:t>
            </w:r>
            <w:r>
              <w:rPr>
                <w:rFonts w:eastAsia="黑体"/>
                <w:sz w:val="24"/>
              </w:rPr>
              <w:t>、</w:t>
            </w:r>
            <w:r>
              <w:rPr>
                <w:rFonts w:hint="eastAsia" w:eastAsia="黑体"/>
                <w:sz w:val="24"/>
              </w:rPr>
              <w:t>水平衡</w:t>
            </w:r>
          </w:p>
          <w:p>
            <w:pPr>
              <w:pStyle w:val="8"/>
              <w:spacing w:line="360" w:lineRule="auto"/>
              <w:ind w:firstLine="480"/>
              <w:rPr>
                <w:sz w:val="24"/>
                <w:szCs w:val="24"/>
              </w:rPr>
            </w:pPr>
            <w:r>
              <w:rPr>
                <w:rFonts w:hint="eastAsia"/>
                <w:sz w:val="24"/>
                <w:szCs w:val="24"/>
              </w:rPr>
              <w:t>（1）给排水</w:t>
            </w:r>
          </w:p>
          <w:p>
            <w:pPr>
              <w:pStyle w:val="8"/>
              <w:spacing w:line="360" w:lineRule="auto"/>
              <w:ind w:firstLine="480"/>
              <w:rPr>
                <w:sz w:val="24"/>
                <w:szCs w:val="24"/>
              </w:rPr>
            </w:pPr>
            <w:r>
              <w:rPr>
                <w:rFonts w:hint="eastAsia"/>
                <w:sz w:val="24"/>
                <w:szCs w:val="24"/>
              </w:rPr>
              <w:t>给水：项目供水由园区管网提供，可满足本项目的用水要求，年用水量为154</w:t>
            </w:r>
            <w:r>
              <w:rPr>
                <w:rFonts w:hint="eastAsia"/>
                <w:sz w:val="24"/>
                <w:szCs w:val="24"/>
                <w:lang w:val="en-US" w:eastAsia="zh-CN"/>
              </w:rPr>
              <w:t>2</w:t>
            </w:r>
            <w:r>
              <w:rPr>
                <w:rFonts w:hint="eastAsia"/>
                <w:sz w:val="24"/>
                <w:szCs w:val="24"/>
              </w:rPr>
              <w:t>m</w:t>
            </w:r>
            <w:r>
              <w:rPr>
                <w:rFonts w:hint="eastAsia"/>
                <w:sz w:val="24"/>
                <w:szCs w:val="24"/>
                <w:vertAlign w:val="superscript"/>
              </w:rPr>
              <w:t>3</w:t>
            </w:r>
            <w:r>
              <w:rPr>
                <w:rFonts w:hint="eastAsia"/>
                <w:sz w:val="24"/>
                <w:szCs w:val="24"/>
              </w:rPr>
              <w:t>。</w:t>
            </w:r>
          </w:p>
          <w:p>
            <w:pPr>
              <w:pStyle w:val="8"/>
              <w:spacing w:line="360" w:lineRule="auto"/>
              <w:ind w:firstLine="480"/>
              <w:rPr>
                <w:rFonts w:hint="eastAsia"/>
                <w:sz w:val="24"/>
                <w:szCs w:val="24"/>
              </w:rPr>
            </w:pPr>
            <w:r>
              <w:rPr>
                <w:rFonts w:hint="eastAsia"/>
                <w:sz w:val="24"/>
                <w:szCs w:val="24"/>
              </w:rPr>
              <w:t>排水：采用雨污分流制，本项目水帘喷淋废水循环使用，只补充，不外排。外排废水主要为员工生活污水，生活污水经化粪池处理后达江西余干工业园区（黄金埠）污水处理厂接管标准，通过园区管网进入江西余干工业园区（黄金埠）污水处理厂进行深度处理，尾水排放执行《城镇污水处理厂污染物排放标准》（GB18918-2002）一级B标准，最终排入信江。</w:t>
            </w:r>
          </w:p>
          <w:p>
            <w:pPr>
              <w:pStyle w:val="8"/>
              <w:spacing w:line="360" w:lineRule="auto"/>
              <w:ind w:firstLine="480"/>
              <w:rPr>
                <w:rFonts w:hint="eastAsia"/>
                <w:sz w:val="24"/>
                <w:szCs w:val="24"/>
              </w:rPr>
            </w:pPr>
            <w:r>
              <w:rPr>
                <w:rFonts w:hint="eastAsia"/>
                <w:sz w:val="24"/>
                <w:szCs w:val="24"/>
              </w:rPr>
              <w:t>供电：项目供电由园区供电。</w:t>
            </w:r>
          </w:p>
          <w:p>
            <w:pPr>
              <w:pStyle w:val="8"/>
              <w:spacing w:line="360" w:lineRule="auto"/>
              <w:ind w:firstLine="480"/>
              <w:rPr>
                <w:rFonts w:hint="eastAsia"/>
                <w:sz w:val="24"/>
                <w:szCs w:val="24"/>
              </w:rPr>
            </w:pPr>
          </w:p>
          <w:p>
            <w:pPr>
              <w:pStyle w:val="8"/>
              <w:spacing w:line="360" w:lineRule="auto"/>
              <w:ind w:firstLine="480"/>
              <w:rPr>
                <w:rFonts w:hint="eastAsia" w:hAnsi="宋体" w:eastAsia="宋体"/>
                <w:color w:val="FF0000"/>
                <w:szCs w:val="20"/>
                <w:lang w:val="en-US" w:eastAsia="zh-CN"/>
              </w:rPr>
            </w:pPr>
          </w:p>
        </w:tc>
        <w:tc>
          <w:tcPr>
            <w:tcW w:w="4415" w:type="dxa"/>
          </w:tcPr>
          <w:p>
            <w:pPr>
              <w:pStyle w:val="40"/>
              <w:spacing w:line="360" w:lineRule="auto"/>
              <w:ind w:firstLine="480" w:firstLineChars="200"/>
              <w:rPr>
                <w:rFonts w:hAnsi="宋体" w:cs="Times New Roman"/>
                <w:color w:val="FF0000"/>
                <w:kern w:val="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 w:type="dxa"/>
            <w:vAlign w:val="center"/>
          </w:tcPr>
          <w:p>
            <w:pPr>
              <w:pStyle w:val="29"/>
              <w:adjustRightInd w:val="0"/>
              <w:snapToGrid w:val="0"/>
              <w:spacing w:before="0" w:beforeAutospacing="0" w:after="0" w:afterAutospacing="0"/>
              <w:jc w:val="center"/>
              <w:rPr>
                <w:rFonts w:cs="宋体"/>
                <w:color w:val="FF0000"/>
                <w:szCs w:val="24"/>
              </w:rPr>
            </w:pPr>
            <w:r>
              <w:rPr>
                <w:rFonts w:hint="eastAsia" w:cs="宋体"/>
                <w:szCs w:val="24"/>
              </w:rPr>
              <w:t>工艺流程和产排污环节</w:t>
            </w:r>
          </w:p>
        </w:tc>
        <w:tc>
          <w:tcPr>
            <w:tcW w:w="4415" w:type="dxa"/>
          </w:tcPr>
          <w:p>
            <w:pPr>
              <w:spacing w:line="360" w:lineRule="auto"/>
              <w:rPr>
                <w:b/>
                <w:bCs/>
                <w:sz w:val="28"/>
                <w:szCs w:val="28"/>
              </w:rPr>
            </w:pPr>
            <w:r>
              <w:rPr>
                <w:b/>
                <w:bCs/>
                <w:sz w:val="28"/>
                <w:szCs w:val="28"/>
              </w:rPr>
              <w:t>工艺流程及污染工艺流程简述（图示）：</w:t>
            </w:r>
          </w:p>
          <w:p>
            <w:pPr>
              <w:adjustRightInd w:val="0"/>
              <w:snapToGrid w:val="0"/>
              <w:spacing w:line="360" w:lineRule="auto"/>
              <w:jc w:val="center"/>
              <w:rPr>
                <w:color w:val="FF0000"/>
                <w:sz w:val="24"/>
              </w:rPr>
            </w:pPr>
            <w:r>
              <w:rPr>
                <w:rFonts w:hint="eastAsia"/>
                <w:color w:val="FF0000"/>
                <w:sz w:val="24"/>
              </w:rPr>
              <w:object>
                <v:shape id="_x0000_i1025" o:spt="75" type="#_x0000_t75" style="height:485.1pt;width:292.85pt;" o:ole="t" filled="f" o:preferrelative="t" stroked="f" coordsize="21600,21600">
                  <v:path/>
                  <v:fill on="f" focussize="0,0"/>
                  <v:stroke on="f"/>
                  <v:imagedata r:id="rId15" o:title=""/>
                  <o:lock v:ext="edit" aspectratio="t"/>
                  <w10:wrap type="none"/>
                  <w10:anchorlock/>
                </v:shape>
                <o:OLEObject Type="Embed" ProgID="Visio.Drawing.15" ShapeID="_x0000_i1025" DrawAspect="Content" ObjectID="_1468075725" r:id="rId14">
                  <o:LockedField>false</o:LockedField>
                </o:OLEObject>
              </w:object>
            </w:r>
          </w:p>
          <w:p>
            <w:pPr>
              <w:pStyle w:val="3"/>
              <w:jc w:val="center"/>
              <w:rPr>
                <w:color w:val="0000FF"/>
                <w:lang w:val="zh-CN"/>
              </w:rPr>
            </w:pPr>
            <w:r>
              <w:rPr>
                <w:color w:val="0000FF"/>
                <w:lang w:val="zh-CN"/>
              </w:rPr>
              <w:t>图2-</w:t>
            </w:r>
            <w:r>
              <w:rPr>
                <w:rFonts w:hint="eastAsia"/>
                <w:color w:val="0000FF"/>
                <w:lang w:val="en-US" w:eastAsia="zh-CN"/>
              </w:rPr>
              <w:t>5</w:t>
            </w:r>
            <w:r>
              <w:rPr>
                <w:color w:val="0000FF"/>
                <w:lang w:val="zh-CN"/>
              </w:rPr>
              <w:t xml:space="preserve">  </w:t>
            </w:r>
            <w:r>
              <w:rPr>
                <w:rFonts w:hint="eastAsia"/>
                <w:color w:val="0000FF"/>
                <w:lang w:val="zh-CN"/>
              </w:rPr>
              <w:t>工艺流程及产污环节图</w:t>
            </w:r>
          </w:p>
          <w:p>
            <w:pPr>
              <w:spacing w:line="360" w:lineRule="auto"/>
              <w:ind w:firstLine="480" w:firstLineChars="200"/>
              <w:rPr>
                <w:sz w:val="24"/>
              </w:rPr>
            </w:pPr>
            <w:r>
              <w:rPr>
                <w:rFonts w:hint="eastAsia"/>
                <w:sz w:val="24"/>
              </w:rPr>
              <w:t>（1）压合：在木板之间涂抹白乳胶进行粘合，用冷压机进行冷压使板材间进一步贴合。该工序有少量有机废气和机械噪声产生。</w:t>
            </w:r>
          </w:p>
          <w:p>
            <w:pPr>
              <w:spacing w:line="360" w:lineRule="auto"/>
              <w:ind w:firstLine="480" w:firstLineChars="200"/>
              <w:rPr>
                <w:sz w:val="24"/>
              </w:rPr>
            </w:pPr>
            <w:r>
              <w:rPr>
                <w:rFonts w:hint="eastAsia"/>
                <w:sz w:val="24"/>
              </w:rPr>
              <w:t>（2）机加工：将板材用开料机按设计尺寸切割，将初加工好的板材采用钻机、拉机、雕刻机等进行精加工。该工序有粉尘、机械噪声和边角废料产生。</w:t>
            </w:r>
          </w:p>
          <w:p>
            <w:pPr>
              <w:spacing w:line="360" w:lineRule="auto"/>
              <w:ind w:firstLine="480" w:firstLineChars="200"/>
              <w:rPr>
                <w:sz w:val="24"/>
              </w:rPr>
            </w:pPr>
            <w:r>
              <w:rPr>
                <w:rFonts w:hint="eastAsia"/>
                <w:sz w:val="24"/>
              </w:rPr>
              <w:t>（3）砂光：木材表面不平整的地方需</w:t>
            </w:r>
            <w:r>
              <w:rPr>
                <w:rFonts w:hint="eastAsia"/>
                <w:sz w:val="24"/>
                <w:lang w:eastAsia="zh-CN"/>
              </w:rPr>
              <w:t>用砂光机</w:t>
            </w:r>
            <w:r>
              <w:rPr>
                <w:rFonts w:hint="eastAsia"/>
                <w:sz w:val="24"/>
              </w:rPr>
              <w:t>刮平，保证木材表面平整，需用砂光机进行打磨。该工序有粉尘、机械噪声和边角废料产生。</w:t>
            </w:r>
          </w:p>
          <w:p>
            <w:pPr>
              <w:spacing w:line="360" w:lineRule="auto"/>
              <w:ind w:firstLine="480" w:firstLineChars="200"/>
              <w:rPr>
                <w:sz w:val="24"/>
              </w:rPr>
            </w:pPr>
            <w:r>
              <w:rPr>
                <w:rFonts w:hint="eastAsia"/>
                <w:color w:val="0000FF"/>
                <w:sz w:val="24"/>
              </w:rPr>
              <w:t>（4）</w:t>
            </w:r>
            <w:r>
              <w:rPr>
                <w:color w:val="0000FF"/>
                <w:sz w:val="24"/>
              </w:rPr>
              <w:t>UV滚涂</w:t>
            </w:r>
            <w:r>
              <w:rPr>
                <w:rFonts w:hint="eastAsia"/>
                <w:color w:val="0000FF"/>
                <w:sz w:val="24"/>
              </w:rPr>
              <w:t>：采用</w:t>
            </w:r>
            <w:r>
              <w:rPr>
                <w:color w:val="0000FF"/>
                <w:sz w:val="24"/>
              </w:rPr>
              <w:t>UV滚涂</w:t>
            </w:r>
            <w:r>
              <w:rPr>
                <w:rFonts w:hint="eastAsia"/>
                <w:color w:val="0000FF"/>
                <w:sz w:val="24"/>
              </w:rPr>
              <w:t>机，</w:t>
            </w:r>
            <w:r>
              <w:rPr>
                <w:color w:val="0000FF"/>
                <w:sz w:val="24"/>
              </w:rPr>
              <w:t>滚涂UV油漆</w:t>
            </w:r>
            <w:r>
              <w:rPr>
                <w:rFonts w:hint="eastAsia"/>
                <w:color w:val="0000FF"/>
                <w:sz w:val="24"/>
              </w:rPr>
              <w:t>等，</w:t>
            </w:r>
            <w:r>
              <w:rPr>
                <w:sz w:val="24"/>
              </w:rPr>
              <w:t>“滚涂机”是涂装设备系列机械中的一种重要设备，其具有油漆损耗小、生产效率高、维护简单方便；可以和流水线很好的对接，组成自动化程度较高的生产线</w:t>
            </w:r>
            <w:r>
              <w:rPr>
                <w:rFonts w:hint="eastAsia"/>
                <w:sz w:val="24"/>
              </w:rPr>
              <w:t>，其主要工作原理为：</w:t>
            </w:r>
            <w:r>
              <w:rPr>
                <w:sz w:val="24"/>
              </w:rPr>
              <w:t>均布胶辊与均布钢轮平行靠紧，并匀速向内旋转，中间产生一个V形的空间，油漆就均匀地流在此处，调节均布胶辊与均布钢辊之间的紧密度，就可以控制粘附均布胶辊上的油漆厚度与均匀度；板块由输送带往前匀速推进，与胶辊适当接触，胶辊上的油漆就均匀的转印到板块表面上。</w:t>
            </w:r>
            <w:r>
              <w:rPr>
                <w:rFonts w:hint="eastAsia"/>
                <w:sz w:val="24"/>
              </w:rPr>
              <w:t>该工序有有机废气产生。</w:t>
            </w:r>
          </w:p>
          <w:p>
            <w:pPr>
              <w:pStyle w:val="8"/>
              <w:spacing w:line="360" w:lineRule="auto"/>
              <w:ind w:firstLine="480"/>
              <w:rPr>
                <w:color w:val="0000FF"/>
                <w:sz w:val="24"/>
                <w:szCs w:val="24"/>
              </w:rPr>
            </w:pPr>
            <w:r>
              <w:rPr>
                <w:rFonts w:hint="eastAsia"/>
                <w:color w:val="0000FF"/>
                <w:sz w:val="24"/>
                <w:szCs w:val="24"/>
              </w:rPr>
              <w:t>（</w:t>
            </w:r>
            <w:r>
              <w:rPr>
                <w:rFonts w:hint="eastAsia"/>
                <w:color w:val="0000FF"/>
                <w:sz w:val="24"/>
                <w:szCs w:val="24"/>
                <w:lang w:val="en-US" w:eastAsia="zh-CN"/>
              </w:rPr>
              <w:t>5</w:t>
            </w:r>
            <w:r>
              <w:rPr>
                <w:rFonts w:hint="eastAsia"/>
                <w:color w:val="0000FF"/>
                <w:sz w:val="24"/>
                <w:szCs w:val="24"/>
              </w:rPr>
              <w:t>）</w:t>
            </w:r>
            <w:r>
              <w:rPr>
                <w:rFonts w:hint="eastAsia"/>
                <w:color w:val="0000FF"/>
                <w:sz w:val="24"/>
                <w:szCs w:val="24"/>
                <w:lang w:eastAsia="zh-CN"/>
              </w:rPr>
              <w:t>底漆、面漆</w:t>
            </w:r>
            <w:r>
              <w:rPr>
                <w:rFonts w:hint="eastAsia"/>
                <w:color w:val="0000FF"/>
                <w:sz w:val="24"/>
                <w:szCs w:val="24"/>
              </w:rPr>
              <w:t>：项目设3个喷漆房，各喷漆房设1台喷台。进行表面涂装。</w:t>
            </w:r>
          </w:p>
          <w:p>
            <w:pPr>
              <w:pStyle w:val="8"/>
              <w:spacing w:line="360" w:lineRule="auto"/>
              <w:ind w:firstLine="480"/>
              <w:rPr>
                <w:color w:val="0000FF"/>
                <w:sz w:val="24"/>
                <w:szCs w:val="24"/>
              </w:rPr>
            </w:pPr>
            <w:r>
              <w:rPr>
                <w:rFonts w:hint="eastAsia"/>
                <w:color w:val="0000FF"/>
                <w:sz w:val="24"/>
                <w:szCs w:val="24"/>
              </w:rPr>
              <w:t>喷漆即通过喷枪在部件表面均匀喷涂上一层漆料。本项目共设有3个喷漆房，喷漆房喷漆过程处于密封状态，每个喷漆房设一台水帘机用于去除漆雾。通过排风机的抽风作用将工作中产生的含有漆雾的废气迅速引至水帘机内。水帘机主要是由自吸水泵循环抽水往水帘板上均匀地流下来，喷枪喷出的漆雾被水帘板上的水打到下面水池中，去除漆雾后的有机废气通过水帘机上方的风机引至除雾器去除水雾后再进入有机废气处理系统。</w:t>
            </w:r>
          </w:p>
          <w:p>
            <w:pPr>
              <w:pStyle w:val="8"/>
              <w:spacing w:line="360" w:lineRule="auto"/>
              <w:ind w:firstLine="480"/>
              <w:rPr>
                <w:sz w:val="24"/>
                <w:szCs w:val="24"/>
              </w:rPr>
            </w:pPr>
            <w:r>
              <w:rPr>
                <w:rFonts w:hint="eastAsia"/>
                <w:color w:val="0000FF"/>
                <w:sz w:val="24"/>
                <w:szCs w:val="24"/>
              </w:rPr>
              <w:t>项目喷漆房内设有喷漆区及晾干区</w:t>
            </w:r>
            <w:r>
              <w:rPr>
                <w:rFonts w:hint="eastAsia"/>
                <w:color w:val="0000FF"/>
                <w:sz w:val="24"/>
                <w:szCs w:val="24"/>
                <w:lang w:eastAsia="zh-CN"/>
              </w:rPr>
              <w:t>（本项目产品大部分体积、表面积较小，所需晾干位置小，项目设置晾干区面积可以满足晾干要求）</w:t>
            </w:r>
            <w:r>
              <w:rPr>
                <w:rFonts w:hint="eastAsia"/>
                <w:color w:val="0000FF"/>
                <w:sz w:val="24"/>
                <w:szCs w:val="24"/>
              </w:rPr>
              <w:t>，</w:t>
            </w:r>
            <w:r>
              <w:rPr>
                <w:rFonts w:hint="eastAsia"/>
                <w:color w:val="0000FF"/>
                <w:sz w:val="24"/>
                <w:szCs w:val="24"/>
                <w:lang w:eastAsia="zh-CN"/>
              </w:rPr>
              <w:t>喷漆后</w:t>
            </w:r>
            <w:r>
              <w:rPr>
                <w:rFonts w:hint="eastAsia"/>
                <w:color w:val="0000FF"/>
                <w:sz w:val="24"/>
                <w:szCs w:val="24"/>
              </w:rPr>
              <w:t>的晾干为自然晾干，无需加热。</w:t>
            </w:r>
            <w:r>
              <w:rPr>
                <w:rFonts w:hint="eastAsia"/>
                <w:sz w:val="24"/>
                <w:szCs w:val="24"/>
              </w:rPr>
              <w:t>喷漆、晾干、喷漆清洗过程均在密闭空间内进行，仅喷漆开门时有少量有机废气溢出。废气捕集效率按90%算，剩余10%为喷漆房开门时溢出，为无组织排放。</w:t>
            </w:r>
          </w:p>
          <w:p>
            <w:pPr>
              <w:pStyle w:val="8"/>
              <w:spacing w:line="360" w:lineRule="auto"/>
              <w:ind w:firstLine="480"/>
              <w:rPr>
                <w:sz w:val="24"/>
                <w:szCs w:val="24"/>
              </w:rPr>
            </w:pPr>
            <w:r>
              <w:rPr>
                <w:rFonts w:hint="eastAsia"/>
                <w:sz w:val="24"/>
                <w:szCs w:val="24"/>
              </w:rPr>
              <w:t>喷漆房产生的有机废气经收集后，引至有机废气处理系统，经过“二级活性炭吸附”处理后引至排气筒排放。</w:t>
            </w:r>
          </w:p>
          <w:p>
            <w:pPr>
              <w:spacing w:line="360" w:lineRule="auto"/>
              <w:ind w:firstLine="480" w:firstLineChars="200"/>
              <w:rPr>
                <w:sz w:val="24"/>
              </w:rPr>
            </w:pPr>
            <w:r>
              <w:rPr>
                <w:rFonts w:hint="eastAsia"/>
                <w:sz w:val="24"/>
              </w:rPr>
              <w:t>（6）</w:t>
            </w:r>
            <w:r>
              <w:rPr>
                <w:rFonts w:hint="eastAsia"/>
                <w:sz w:val="24"/>
                <w:lang w:eastAsia="zh-CN"/>
              </w:rPr>
              <w:t>装配、</w:t>
            </w:r>
            <w:r>
              <w:rPr>
                <w:rFonts w:hint="eastAsia"/>
                <w:sz w:val="24"/>
              </w:rPr>
              <w:t>检验、包装：</w:t>
            </w:r>
            <w:r>
              <w:rPr>
                <w:rFonts w:hint="eastAsia"/>
                <w:sz w:val="24"/>
                <w:lang w:eastAsia="zh-CN"/>
              </w:rPr>
              <w:t>对需要装配的产品使用铝型材进行装配，装配好</w:t>
            </w:r>
            <w:r>
              <w:rPr>
                <w:rFonts w:hint="eastAsia"/>
                <w:sz w:val="24"/>
              </w:rPr>
              <w:t>经检验合格后，包装出货。</w:t>
            </w:r>
          </w:p>
          <w:p>
            <w:pPr>
              <w:pStyle w:val="3"/>
              <w:ind w:firstLine="482"/>
            </w:pPr>
            <w:r>
              <w:rPr>
                <w:b/>
              </w:rPr>
              <w:t>项目主要污染工序：</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both"/>
              <w:rPr>
                <w:rFonts w:hint="eastAsia" w:eastAsia="黑体"/>
                <w:kern w:val="0"/>
                <w:sz w:val="24"/>
              </w:rPr>
            </w:pPr>
          </w:p>
          <w:p>
            <w:pPr>
              <w:autoSpaceDE w:val="0"/>
              <w:autoSpaceDN w:val="0"/>
              <w:adjustRightInd w:val="0"/>
              <w:snapToGrid w:val="0"/>
              <w:spacing w:before="120" w:beforeLines="50"/>
              <w:jc w:val="center"/>
              <w:rPr>
                <w:rFonts w:hint="eastAsia" w:eastAsia="黑体"/>
                <w:kern w:val="0"/>
                <w:sz w:val="24"/>
              </w:rPr>
            </w:pPr>
            <w:r>
              <w:rPr>
                <w:rFonts w:hint="eastAsia" w:eastAsia="黑体"/>
                <w:kern w:val="0"/>
                <w:sz w:val="24"/>
              </w:rPr>
              <w:t>表2-9  污染物种类、来源、排放方式等一览表</w:t>
            </w:r>
          </w:p>
          <w:tbl>
            <w:tblPr>
              <w:tblStyle w:val="33"/>
              <w:tblW w:w="48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64"/>
              <w:gridCol w:w="1089"/>
              <w:gridCol w:w="2249"/>
              <w:gridCol w:w="3042"/>
              <w:gridCol w:w="8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时段</w:t>
                  </w:r>
                </w:p>
              </w:tc>
              <w:tc>
                <w:tcPr>
                  <w:tcW w:w="1089" w:type="dxa"/>
                  <w:vAlign w:val="center"/>
                </w:tcPr>
                <w:p>
                  <w:pPr>
                    <w:pStyle w:val="146"/>
                    <w:spacing w:line="340" w:lineRule="exact"/>
                    <w:rPr>
                      <w:rFonts w:ascii="Times New Roman"/>
                      <w:w w:val="100"/>
                      <w:kern w:val="0"/>
                      <w:sz w:val="21"/>
                      <w:szCs w:val="21"/>
                    </w:rPr>
                  </w:pPr>
                  <w:r>
                    <w:rPr>
                      <w:rFonts w:ascii="Times New Roman"/>
                      <w:w w:val="100"/>
                      <w:kern w:val="0"/>
                      <w:sz w:val="21"/>
                      <w:szCs w:val="21"/>
                    </w:rPr>
                    <w:t>主要</w:t>
                  </w:r>
                </w:p>
                <w:p>
                  <w:pPr>
                    <w:pStyle w:val="146"/>
                    <w:spacing w:line="340" w:lineRule="exact"/>
                    <w:rPr>
                      <w:rFonts w:ascii="Times New Roman"/>
                      <w:w w:val="100"/>
                      <w:kern w:val="0"/>
                      <w:sz w:val="21"/>
                      <w:szCs w:val="21"/>
                    </w:rPr>
                  </w:pPr>
                  <w:r>
                    <w:rPr>
                      <w:rFonts w:ascii="Times New Roman"/>
                      <w:w w:val="100"/>
                      <w:kern w:val="0"/>
                      <w:sz w:val="21"/>
                      <w:szCs w:val="21"/>
                    </w:rPr>
                    <w:t>污染源</w:t>
                  </w:r>
                </w:p>
              </w:tc>
              <w:tc>
                <w:tcPr>
                  <w:tcW w:w="2249" w:type="dxa"/>
                  <w:vAlign w:val="center"/>
                </w:tcPr>
                <w:p>
                  <w:pPr>
                    <w:pStyle w:val="146"/>
                    <w:spacing w:line="340" w:lineRule="exact"/>
                    <w:rPr>
                      <w:rFonts w:ascii="Times New Roman"/>
                      <w:w w:val="100"/>
                      <w:kern w:val="0"/>
                      <w:sz w:val="21"/>
                      <w:szCs w:val="21"/>
                    </w:rPr>
                  </w:pPr>
                  <w:r>
                    <w:rPr>
                      <w:rFonts w:ascii="Times New Roman"/>
                      <w:w w:val="100"/>
                      <w:kern w:val="0"/>
                      <w:sz w:val="21"/>
                      <w:szCs w:val="21"/>
                    </w:rPr>
                    <w:t>来源</w:t>
                  </w:r>
                </w:p>
              </w:tc>
              <w:tc>
                <w:tcPr>
                  <w:tcW w:w="3042" w:type="dxa"/>
                  <w:vAlign w:val="center"/>
                </w:tcPr>
                <w:p>
                  <w:pPr>
                    <w:pStyle w:val="146"/>
                    <w:spacing w:line="340" w:lineRule="exact"/>
                    <w:rPr>
                      <w:rFonts w:ascii="Times New Roman"/>
                      <w:w w:val="100"/>
                      <w:kern w:val="0"/>
                      <w:sz w:val="21"/>
                      <w:szCs w:val="21"/>
                    </w:rPr>
                  </w:pPr>
                  <w:r>
                    <w:rPr>
                      <w:rFonts w:ascii="Times New Roman"/>
                      <w:w w:val="100"/>
                      <w:kern w:val="0"/>
                      <w:sz w:val="21"/>
                      <w:szCs w:val="21"/>
                    </w:rPr>
                    <w:t>污染物名称</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排放</w:t>
                  </w:r>
                </w:p>
                <w:p>
                  <w:pPr>
                    <w:pStyle w:val="146"/>
                    <w:spacing w:line="340" w:lineRule="exact"/>
                    <w:rPr>
                      <w:rFonts w:ascii="Times New Roman"/>
                      <w:w w:val="100"/>
                      <w:kern w:val="0"/>
                      <w:sz w:val="21"/>
                      <w:szCs w:val="21"/>
                    </w:rPr>
                  </w:pPr>
                  <w:r>
                    <w:rPr>
                      <w:rFonts w:ascii="Times New Roman"/>
                      <w:w w:val="100"/>
                      <w:kern w:val="0"/>
                      <w:sz w:val="21"/>
                      <w:szCs w:val="21"/>
                    </w:rPr>
                    <w:t>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restart"/>
                  <w:vAlign w:val="center"/>
                </w:tcPr>
                <w:p>
                  <w:pPr>
                    <w:pStyle w:val="146"/>
                    <w:spacing w:line="340" w:lineRule="exact"/>
                    <w:rPr>
                      <w:rFonts w:ascii="Times New Roman"/>
                      <w:w w:val="100"/>
                      <w:kern w:val="0"/>
                      <w:sz w:val="21"/>
                      <w:szCs w:val="21"/>
                    </w:rPr>
                  </w:pPr>
                  <w:r>
                    <w:rPr>
                      <w:rFonts w:ascii="Times New Roman"/>
                      <w:w w:val="100"/>
                      <w:kern w:val="0"/>
                      <w:sz w:val="21"/>
                      <w:szCs w:val="21"/>
                    </w:rPr>
                    <w:t>运</w:t>
                  </w:r>
                </w:p>
                <w:p>
                  <w:pPr>
                    <w:pStyle w:val="146"/>
                    <w:spacing w:line="340" w:lineRule="exact"/>
                    <w:rPr>
                      <w:rFonts w:ascii="Times New Roman"/>
                      <w:w w:val="100"/>
                      <w:kern w:val="0"/>
                      <w:sz w:val="21"/>
                      <w:szCs w:val="21"/>
                    </w:rPr>
                  </w:pPr>
                  <w:r>
                    <w:rPr>
                      <w:rFonts w:ascii="Times New Roman"/>
                      <w:w w:val="100"/>
                      <w:kern w:val="0"/>
                      <w:sz w:val="21"/>
                      <w:szCs w:val="21"/>
                    </w:rPr>
                    <w:t>营</w:t>
                  </w:r>
                </w:p>
                <w:p>
                  <w:pPr>
                    <w:pStyle w:val="146"/>
                    <w:spacing w:line="340" w:lineRule="exact"/>
                    <w:rPr>
                      <w:rFonts w:ascii="Times New Roman"/>
                      <w:w w:val="100"/>
                      <w:kern w:val="0"/>
                      <w:sz w:val="21"/>
                      <w:szCs w:val="21"/>
                    </w:rPr>
                  </w:pPr>
                  <w:r>
                    <w:rPr>
                      <w:rFonts w:ascii="Times New Roman"/>
                      <w:w w:val="100"/>
                      <w:kern w:val="0"/>
                      <w:sz w:val="21"/>
                      <w:szCs w:val="21"/>
                    </w:rPr>
                    <w:t>期</w:t>
                  </w:r>
                </w:p>
              </w:tc>
              <w:tc>
                <w:tcPr>
                  <w:tcW w:w="1089" w:type="dxa"/>
                  <w:vAlign w:val="center"/>
                </w:tcPr>
                <w:p>
                  <w:pPr>
                    <w:pStyle w:val="146"/>
                    <w:spacing w:line="340" w:lineRule="exact"/>
                    <w:rPr>
                      <w:rFonts w:ascii="Times New Roman"/>
                      <w:w w:val="100"/>
                      <w:kern w:val="0"/>
                      <w:sz w:val="21"/>
                      <w:szCs w:val="21"/>
                    </w:rPr>
                  </w:pPr>
                  <w:r>
                    <w:rPr>
                      <w:rFonts w:ascii="Times New Roman"/>
                      <w:w w:val="100"/>
                      <w:kern w:val="0"/>
                      <w:sz w:val="21"/>
                      <w:szCs w:val="21"/>
                    </w:rPr>
                    <w:t>废水</w:t>
                  </w:r>
                </w:p>
              </w:tc>
              <w:tc>
                <w:tcPr>
                  <w:tcW w:w="2249" w:type="dxa"/>
                  <w:vAlign w:val="center"/>
                </w:tcPr>
                <w:p>
                  <w:pPr>
                    <w:pStyle w:val="146"/>
                    <w:spacing w:line="340" w:lineRule="exact"/>
                    <w:rPr>
                      <w:rFonts w:ascii="Times New Roman"/>
                      <w:w w:val="100"/>
                      <w:kern w:val="0"/>
                      <w:sz w:val="21"/>
                      <w:szCs w:val="21"/>
                    </w:rPr>
                  </w:pPr>
                  <w:r>
                    <w:rPr>
                      <w:rFonts w:ascii="Times New Roman"/>
                      <w:w w:val="100"/>
                      <w:kern w:val="0"/>
                      <w:sz w:val="21"/>
                      <w:szCs w:val="21"/>
                    </w:rPr>
                    <w:t>生活污水</w:t>
                  </w:r>
                </w:p>
              </w:tc>
              <w:tc>
                <w:tcPr>
                  <w:tcW w:w="3042" w:type="dxa"/>
                  <w:vAlign w:val="center"/>
                </w:tcPr>
                <w:p>
                  <w:pPr>
                    <w:pStyle w:val="146"/>
                    <w:spacing w:line="340" w:lineRule="exact"/>
                    <w:jc w:val="left"/>
                    <w:rPr>
                      <w:rFonts w:ascii="Times New Roman"/>
                      <w:w w:val="100"/>
                      <w:kern w:val="0"/>
                      <w:sz w:val="21"/>
                      <w:szCs w:val="21"/>
                    </w:rPr>
                  </w:pPr>
                  <w:r>
                    <w:rPr>
                      <w:rFonts w:ascii="Times New Roman"/>
                      <w:w w:val="100"/>
                      <w:kern w:val="0"/>
                      <w:sz w:val="21"/>
                      <w:szCs w:val="21"/>
                    </w:rPr>
                    <w:t>CODcr、BOD</w:t>
                  </w:r>
                  <w:r>
                    <w:rPr>
                      <w:rFonts w:ascii="Times New Roman"/>
                      <w:w w:val="100"/>
                      <w:kern w:val="0"/>
                      <w:sz w:val="21"/>
                      <w:szCs w:val="21"/>
                      <w:vertAlign w:val="subscript"/>
                    </w:rPr>
                    <w:t>5</w:t>
                  </w:r>
                  <w:r>
                    <w:rPr>
                      <w:rFonts w:ascii="Times New Roman"/>
                      <w:w w:val="100"/>
                      <w:kern w:val="0"/>
                      <w:sz w:val="21"/>
                      <w:szCs w:val="21"/>
                    </w:rPr>
                    <w:t>、NH</w:t>
                  </w:r>
                  <w:r>
                    <w:rPr>
                      <w:rFonts w:ascii="Times New Roman"/>
                      <w:w w:val="100"/>
                      <w:kern w:val="0"/>
                      <w:sz w:val="21"/>
                      <w:szCs w:val="21"/>
                      <w:vertAlign w:val="subscript"/>
                    </w:rPr>
                    <w:t>3</w:t>
                  </w:r>
                  <w:r>
                    <w:rPr>
                      <w:rFonts w:ascii="Times New Roman"/>
                      <w:w w:val="100"/>
                      <w:kern w:val="0"/>
                      <w:sz w:val="21"/>
                      <w:szCs w:val="21"/>
                    </w:rPr>
                    <w:t>-N</w:t>
                  </w:r>
                  <w:r>
                    <w:rPr>
                      <w:rFonts w:hint="eastAsia" w:ascii="Times New Roman"/>
                      <w:w w:val="100"/>
                      <w:kern w:val="0"/>
                      <w:sz w:val="21"/>
                      <w:szCs w:val="21"/>
                    </w:rPr>
                    <w:t>、SS</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间断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Merge w:val="restart"/>
                  <w:vAlign w:val="center"/>
                </w:tcPr>
                <w:p>
                  <w:pPr>
                    <w:pStyle w:val="146"/>
                    <w:spacing w:line="340" w:lineRule="exact"/>
                    <w:rPr>
                      <w:rFonts w:ascii="Times New Roman"/>
                      <w:w w:val="100"/>
                      <w:kern w:val="0"/>
                      <w:sz w:val="21"/>
                      <w:szCs w:val="21"/>
                    </w:rPr>
                  </w:pPr>
                  <w:r>
                    <w:rPr>
                      <w:rFonts w:ascii="Times New Roman"/>
                      <w:w w:val="100"/>
                      <w:kern w:val="0"/>
                      <w:sz w:val="21"/>
                      <w:szCs w:val="21"/>
                    </w:rPr>
                    <w:t>废气</w:t>
                  </w:r>
                </w:p>
              </w:tc>
              <w:tc>
                <w:tcPr>
                  <w:tcW w:w="2249" w:type="dxa"/>
                  <w:vAlign w:val="center"/>
                </w:tcPr>
                <w:p>
                  <w:pPr>
                    <w:pStyle w:val="146"/>
                    <w:spacing w:line="340" w:lineRule="exact"/>
                    <w:jc w:val="left"/>
                    <w:rPr>
                      <w:rFonts w:ascii="Times New Roman"/>
                      <w:w w:val="100"/>
                      <w:kern w:val="0"/>
                      <w:sz w:val="21"/>
                      <w:szCs w:val="21"/>
                    </w:rPr>
                  </w:pPr>
                  <w:r>
                    <w:rPr>
                      <w:rFonts w:hint="eastAsia" w:ascii="Times New Roman"/>
                      <w:w w:val="100"/>
                      <w:kern w:val="0"/>
                      <w:sz w:val="21"/>
                      <w:szCs w:val="21"/>
                    </w:rPr>
                    <w:t>机加工、砂光产生的木屑粉尘</w:t>
                  </w:r>
                </w:p>
              </w:tc>
              <w:tc>
                <w:tcPr>
                  <w:tcW w:w="3042" w:type="dxa"/>
                  <w:tcBorders>
                    <w:bottom w:val="single" w:color="auto" w:sz="4" w:space="0"/>
                  </w:tcBorders>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粉尘</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间断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Merge w:val="continue"/>
                  <w:vAlign w:val="center"/>
                </w:tcPr>
                <w:p>
                  <w:pPr>
                    <w:pStyle w:val="146"/>
                    <w:spacing w:line="340" w:lineRule="exact"/>
                    <w:rPr>
                      <w:rFonts w:ascii="Times New Roman"/>
                      <w:w w:val="100"/>
                      <w:kern w:val="0"/>
                      <w:sz w:val="21"/>
                      <w:szCs w:val="21"/>
                    </w:rPr>
                  </w:pPr>
                </w:p>
              </w:tc>
              <w:tc>
                <w:tcPr>
                  <w:tcW w:w="2249" w:type="dxa"/>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喷漆产生的有机废气</w:t>
                  </w:r>
                </w:p>
              </w:tc>
              <w:tc>
                <w:tcPr>
                  <w:tcW w:w="3042" w:type="dxa"/>
                  <w:tcBorders>
                    <w:bottom w:val="single" w:color="auto" w:sz="4" w:space="0"/>
                  </w:tcBorders>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漆雾、甲苯及二甲苯、TVOC</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间断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Merge w:val="continue"/>
                  <w:vAlign w:val="center"/>
                </w:tcPr>
                <w:p>
                  <w:pPr>
                    <w:pStyle w:val="146"/>
                    <w:spacing w:line="340" w:lineRule="exact"/>
                    <w:rPr>
                      <w:rFonts w:ascii="Times New Roman"/>
                      <w:w w:val="100"/>
                      <w:kern w:val="0"/>
                      <w:sz w:val="21"/>
                      <w:szCs w:val="21"/>
                    </w:rPr>
                  </w:pPr>
                </w:p>
              </w:tc>
              <w:tc>
                <w:tcPr>
                  <w:tcW w:w="2249" w:type="dxa"/>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压合产生的有机废气</w:t>
                  </w:r>
                </w:p>
              </w:tc>
              <w:tc>
                <w:tcPr>
                  <w:tcW w:w="3042" w:type="dxa"/>
                  <w:tcBorders>
                    <w:bottom w:val="single" w:color="auto" w:sz="4" w:space="0"/>
                  </w:tcBorders>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TVOC</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间断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Merge w:val="continue"/>
                  <w:vAlign w:val="center"/>
                </w:tcPr>
                <w:p>
                  <w:pPr>
                    <w:pStyle w:val="146"/>
                    <w:spacing w:line="340" w:lineRule="exact"/>
                    <w:rPr>
                      <w:rFonts w:ascii="Times New Roman"/>
                      <w:w w:val="100"/>
                      <w:kern w:val="0"/>
                      <w:sz w:val="21"/>
                      <w:szCs w:val="21"/>
                    </w:rPr>
                  </w:pPr>
                </w:p>
              </w:tc>
              <w:tc>
                <w:tcPr>
                  <w:tcW w:w="2249" w:type="dxa"/>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滚涂UV漆</w:t>
                  </w:r>
                </w:p>
              </w:tc>
              <w:tc>
                <w:tcPr>
                  <w:tcW w:w="3042" w:type="dxa"/>
                  <w:tcBorders>
                    <w:bottom w:val="single" w:color="auto" w:sz="4" w:space="0"/>
                  </w:tcBorders>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TVOC</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间断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Merge w:val="restart"/>
                  <w:vAlign w:val="center"/>
                </w:tcPr>
                <w:p>
                  <w:pPr>
                    <w:pStyle w:val="146"/>
                    <w:spacing w:line="340" w:lineRule="exact"/>
                    <w:rPr>
                      <w:rFonts w:ascii="Times New Roman"/>
                      <w:w w:val="100"/>
                      <w:kern w:val="0"/>
                      <w:sz w:val="21"/>
                      <w:szCs w:val="21"/>
                    </w:rPr>
                  </w:pPr>
                  <w:r>
                    <w:rPr>
                      <w:rFonts w:ascii="Times New Roman"/>
                      <w:w w:val="100"/>
                      <w:kern w:val="0"/>
                      <w:sz w:val="21"/>
                      <w:szCs w:val="21"/>
                    </w:rPr>
                    <w:t>固体废物</w:t>
                  </w:r>
                </w:p>
              </w:tc>
              <w:tc>
                <w:tcPr>
                  <w:tcW w:w="2249" w:type="dxa"/>
                  <w:vAlign w:val="center"/>
                </w:tcPr>
                <w:p>
                  <w:pPr>
                    <w:pStyle w:val="146"/>
                    <w:spacing w:line="340" w:lineRule="exact"/>
                    <w:rPr>
                      <w:rFonts w:ascii="Times New Roman"/>
                      <w:w w:val="100"/>
                      <w:kern w:val="0"/>
                      <w:sz w:val="21"/>
                      <w:szCs w:val="21"/>
                    </w:rPr>
                  </w:pPr>
                  <w:r>
                    <w:rPr>
                      <w:rFonts w:ascii="Times New Roman"/>
                      <w:w w:val="100"/>
                      <w:kern w:val="0"/>
                      <w:sz w:val="21"/>
                      <w:szCs w:val="21"/>
                    </w:rPr>
                    <w:t>员工生活</w:t>
                  </w:r>
                </w:p>
              </w:tc>
              <w:tc>
                <w:tcPr>
                  <w:tcW w:w="3042" w:type="dxa"/>
                  <w:vAlign w:val="center"/>
                </w:tcPr>
                <w:p>
                  <w:pPr>
                    <w:pStyle w:val="146"/>
                    <w:spacing w:line="340" w:lineRule="exact"/>
                    <w:rPr>
                      <w:rFonts w:ascii="Times New Roman"/>
                      <w:w w:val="100"/>
                      <w:kern w:val="0"/>
                      <w:sz w:val="21"/>
                      <w:szCs w:val="21"/>
                    </w:rPr>
                  </w:pPr>
                  <w:r>
                    <w:rPr>
                      <w:rFonts w:ascii="Times New Roman"/>
                      <w:w w:val="100"/>
                      <w:kern w:val="0"/>
                      <w:sz w:val="21"/>
                      <w:szCs w:val="21"/>
                    </w:rPr>
                    <w:t>生活垃圾</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Merge w:val="continue"/>
                  <w:vAlign w:val="center"/>
                </w:tcPr>
                <w:p>
                  <w:pPr>
                    <w:pStyle w:val="146"/>
                    <w:spacing w:line="340" w:lineRule="exact"/>
                    <w:rPr>
                      <w:rFonts w:ascii="Times New Roman"/>
                      <w:w w:val="100"/>
                      <w:kern w:val="0"/>
                      <w:sz w:val="21"/>
                      <w:szCs w:val="21"/>
                    </w:rPr>
                  </w:pPr>
                </w:p>
              </w:tc>
              <w:tc>
                <w:tcPr>
                  <w:tcW w:w="2249" w:type="dxa"/>
                  <w:vAlign w:val="center"/>
                </w:tcPr>
                <w:p>
                  <w:pPr>
                    <w:pStyle w:val="146"/>
                    <w:spacing w:line="340" w:lineRule="exact"/>
                    <w:rPr>
                      <w:rFonts w:ascii="Times New Roman"/>
                      <w:w w:val="100"/>
                      <w:kern w:val="0"/>
                      <w:sz w:val="21"/>
                      <w:szCs w:val="21"/>
                    </w:rPr>
                  </w:pPr>
                  <w:r>
                    <w:rPr>
                      <w:rFonts w:hint="eastAsia" w:ascii="Times New Roman"/>
                      <w:w w:val="100"/>
                      <w:kern w:val="0"/>
                      <w:sz w:val="21"/>
                      <w:szCs w:val="21"/>
                    </w:rPr>
                    <w:t>生产固废</w:t>
                  </w:r>
                </w:p>
              </w:tc>
              <w:tc>
                <w:tcPr>
                  <w:tcW w:w="3042" w:type="dxa"/>
                  <w:vAlign w:val="center"/>
                </w:tcPr>
                <w:p>
                  <w:pPr>
                    <w:pStyle w:val="146"/>
                    <w:spacing w:line="340" w:lineRule="exact"/>
                    <w:jc w:val="left"/>
                    <w:rPr>
                      <w:rFonts w:ascii="Times New Roman"/>
                      <w:w w:val="100"/>
                      <w:kern w:val="0"/>
                      <w:sz w:val="21"/>
                      <w:szCs w:val="21"/>
                    </w:rPr>
                  </w:pPr>
                  <w:r>
                    <w:rPr>
                      <w:rFonts w:hint="eastAsia" w:ascii="Times New Roman"/>
                      <w:w w:val="100"/>
                      <w:kern w:val="0"/>
                      <w:sz w:val="21"/>
                      <w:szCs w:val="21"/>
                    </w:rPr>
                    <w:t>边角料、收集的粉尘等一般固废，水帘柜喷淋用水更换液、漆渣和除尘沉渣、废活性炭、废油漆桶、废抹布、喷枪清洗涂料渣等危险废物。</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4" w:type="dxa"/>
                  <w:vMerge w:val="continue"/>
                  <w:vAlign w:val="center"/>
                </w:tcPr>
                <w:p>
                  <w:pPr>
                    <w:pStyle w:val="146"/>
                    <w:spacing w:line="340" w:lineRule="exact"/>
                    <w:rPr>
                      <w:rFonts w:ascii="Times New Roman"/>
                      <w:w w:val="100"/>
                      <w:kern w:val="0"/>
                      <w:sz w:val="21"/>
                      <w:szCs w:val="21"/>
                    </w:rPr>
                  </w:pPr>
                </w:p>
              </w:tc>
              <w:tc>
                <w:tcPr>
                  <w:tcW w:w="1089" w:type="dxa"/>
                  <w:vAlign w:val="center"/>
                </w:tcPr>
                <w:p>
                  <w:pPr>
                    <w:pStyle w:val="146"/>
                    <w:spacing w:line="340" w:lineRule="exact"/>
                    <w:rPr>
                      <w:rFonts w:ascii="Times New Roman"/>
                      <w:w w:val="100"/>
                      <w:kern w:val="0"/>
                      <w:sz w:val="21"/>
                      <w:szCs w:val="21"/>
                    </w:rPr>
                  </w:pPr>
                  <w:r>
                    <w:rPr>
                      <w:rFonts w:ascii="Times New Roman"/>
                      <w:w w:val="100"/>
                      <w:kern w:val="0"/>
                      <w:sz w:val="21"/>
                      <w:szCs w:val="21"/>
                    </w:rPr>
                    <w:t>噪声</w:t>
                  </w:r>
                </w:p>
              </w:tc>
              <w:tc>
                <w:tcPr>
                  <w:tcW w:w="2249" w:type="dxa"/>
                  <w:vAlign w:val="center"/>
                </w:tcPr>
                <w:p>
                  <w:pPr>
                    <w:pStyle w:val="146"/>
                    <w:spacing w:line="340" w:lineRule="exact"/>
                    <w:rPr>
                      <w:rFonts w:ascii="Times New Roman"/>
                      <w:w w:val="100"/>
                      <w:kern w:val="0"/>
                      <w:sz w:val="21"/>
                      <w:szCs w:val="21"/>
                    </w:rPr>
                  </w:pPr>
                  <w:r>
                    <w:rPr>
                      <w:rFonts w:ascii="Times New Roman"/>
                      <w:w w:val="100"/>
                      <w:kern w:val="0"/>
                      <w:sz w:val="21"/>
                      <w:szCs w:val="21"/>
                    </w:rPr>
                    <w:t>车辆运输、设备噪声</w:t>
                  </w:r>
                </w:p>
              </w:tc>
              <w:tc>
                <w:tcPr>
                  <w:tcW w:w="3042" w:type="dxa"/>
                  <w:vAlign w:val="center"/>
                </w:tcPr>
                <w:p>
                  <w:pPr>
                    <w:pStyle w:val="146"/>
                    <w:spacing w:line="340" w:lineRule="exact"/>
                    <w:rPr>
                      <w:rFonts w:ascii="Times New Roman"/>
                      <w:w w:val="100"/>
                      <w:kern w:val="0"/>
                      <w:sz w:val="21"/>
                      <w:szCs w:val="21"/>
                    </w:rPr>
                  </w:pPr>
                  <w:r>
                    <w:rPr>
                      <w:rFonts w:ascii="Times New Roman"/>
                      <w:w w:val="100"/>
                      <w:kern w:val="0"/>
                      <w:sz w:val="21"/>
                      <w:szCs w:val="21"/>
                    </w:rPr>
                    <w:t>等效A声级</w:t>
                  </w:r>
                </w:p>
              </w:tc>
              <w:tc>
                <w:tcPr>
                  <w:tcW w:w="874" w:type="dxa"/>
                  <w:vAlign w:val="center"/>
                </w:tcPr>
                <w:p>
                  <w:pPr>
                    <w:pStyle w:val="146"/>
                    <w:spacing w:line="340" w:lineRule="exact"/>
                    <w:rPr>
                      <w:rFonts w:ascii="Times New Roman"/>
                      <w:w w:val="100"/>
                      <w:kern w:val="0"/>
                      <w:sz w:val="21"/>
                      <w:szCs w:val="21"/>
                    </w:rPr>
                  </w:pPr>
                  <w:r>
                    <w:rPr>
                      <w:rFonts w:ascii="Times New Roman"/>
                      <w:w w:val="100"/>
                      <w:kern w:val="0"/>
                      <w:sz w:val="21"/>
                      <w:szCs w:val="21"/>
                    </w:rPr>
                    <w:t>间断</w:t>
                  </w:r>
                </w:p>
              </w:tc>
            </w:tr>
          </w:tbl>
          <w:p>
            <w:pPr>
              <w:adjustRightInd w:val="0"/>
              <w:snapToGrid w:val="0"/>
              <w:spacing w:line="360" w:lineRule="auto"/>
              <w:rPr>
                <w:rFonts w:ascii="宋体" w:hAnsi="宋体"/>
                <w:bCs/>
                <w:color w:val="FF0000"/>
                <w:sz w:val="24"/>
              </w:rPr>
            </w:pPr>
          </w:p>
        </w:tc>
        <w:tc>
          <w:tcPr>
            <w:tcW w:w="4415" w:type="dxa"/>
          </w:tcPr>
          <w:p>
            <w:pPr>
              <w:adjustRightInd w:val="0"/>
              <w:snapToGrid w:val="0"/>
              <w:spacing w:line="360" w:lineRule="auto"/>
              <w:ind w:firstLine="480" w:firstLineChars="200"/>
              <w:rPr>
                <w:rFonts w:ascii="宋体" w:hAnsi="宋体"/>
                <w:bCs/>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0" w:hRule="atLeast"/>
          <w:jc w:val="center"/>
        </w:trPr>
        <w:tc>
          <w:tcPr>
            <w:tcW w:w="228" w:type="dxa"/>
            <w:vAlign w:val="center"/>
          </w:tcPr>
          <w:p>
            <w:pPr>
              <w:pStyle w:val="29"/>
              <w:adjustRightInd w:val="0"/>
              <w:snapToGrid w:val="0"/>
              <w:spacing w:before="0" w:beforeAutospacing="0" w:after="0" w:afterAutospacing="0"/>
              <w:jc w:val="center"/>
              <w:rPr>
                <w:rFonts w:cs="宋体"/>
                <w:szCs w:val="24"/>
              </w:rPr>
            </w:pPr>
            <w:r>
              <w:rPr>
                <w:rFonts w:hint="eastAsia" w:cs="宋体"/>
                <w:bCs/>
                <w:kern w:val="2"/>
                <w:szCs w:val="24"/>
              </w:rPr>
              <w:t>与项目有关的原有环境污染问题</w:t>
            </w:r>
          </w:p>
        </w:tc>
        <w:tc>
          <w:tcPr>
            <w:tcW w:w="4415" w:type="dxa"/>
          </w:tcPr>
          <w:p>
            <w:pPr>
              <w:spacing w:line="360" w:lineRule="auto"/>
              <w:rPr>
                <w:b/>
                <w:bCs/>
                <w:sz w:val="28"/>
                <w:szCs w:val="28"/>
              </w:rPr>
            </w:pPr>
            <w:r>
              <w:rPr>
                <w:b/>
                <w:bCs/>
                <w:sz w:val="28"/>
                <w:szCs w:val="28"/>
              </w:rPr>
              <w:t>本项目有关的</w:t>
            </w:r>
            <w:r>
              <w:rPr>
                <w:rFonts w:hint="eastAsia"/>
                <w:b/>
                <w:bCs/>
                <w:sz w:val="28"/>
                <w:szCs w:val="28"/>
              </w:rPr>
              <w:t>变更</w:t>
            </w:r>
            <w:r>
              <w:rPr>
                <w:b/>
                <w:bCs/>
                <w:sz w:val="28"/>
                <w:szCs w:val="28"/>
              </w:rPr>
              <w:t>前污染情况及主要环境问题：</w:t>
            </w:r>
          </w:p>
          <w:p>
            <w:pPr>
              <w:spacing w:line="360" w:lineRule="auto"/>
              <w:ind w:firstLine="440" w:firstLineChars="200"/>
              <w:rPr>
                <w:rFonts w:hint="eastAsia"/>
                <w:sz w:val="24"/>
              </w:rPr>
            </w:pPr>
            <w:r>
              <w:rPr>
                <w:rFonts w:hint="eastAsia"/>
                <w:bCs/>
                <w:spacing w:val="-10"/>
                <w:kern w:val="0"/>
                <w:sz w:val="24"/>
                <w:szCs w:val="20"/>
              </w:rPr>
              <w:t>原项目于2019年3月28日已取得原余干县环境保</w:t>
            </w:r>
            <w:r>
              <w:rPr>
                <w:rFonts w:hint="eastAsia"/>
                <w:sz w:val="24"/>
              </w:rPr>
              <w:t>护局《关于余干县豪士五金科技有限公司三角柜、锁柜、拉手板、展示柜建设项目环境影响报告表的批复》（干环环字</w:t>
            </w:r>
            <w:r>
              <w:rPr>
                <w:rFonts w:hint="eastAsia" w:ascii="宋体" w:hAnsi="宋体"/>
                <w:sz w:val="24"/>
              </w:rPr>
              <w:t>〔</w:t>
            </w:r>
            <w:r>
              <w:rPr>
                <w:rFonts w:hint="eastAsia"/>
                <w:sz w:val="24"/>
              </w:rPr>
              <w:t>2019</w:t>
            </w:r>
            <w:r>
              <w:rPr>
                <w:rFonts w:hint="eastAsia" w:ascii="宋体" w:hAnsi="宋体"/>
                <w:sz w:val="24"/>
              </w:rPr>
              <w:t>〕</w:t>
            </w:r>
            <w:r>
              <w:rPr>
                <w:rFonts w:hint="eastAsia"/>
                <w:sz w:val="24"/>
              </w:rPr>
              <w:t>22号），暂未验收。</w:t>
            </w:r>
          </w:p>
          <w:p>
            <w:pPr>
              <w:spacing w:line="360" w:lineRule="auto"/>
              <w:ind w:firstLine="482" w:firstLineChars="200"/>
              <w:rPr>
                <w:b/>
                <w:sz w:val="24"/>
              </w:rPr>
            </w:pPr>
            <w:r>
              <w:rPr>
                <w:rFonts w:hint="eastAsia" w:ascii="宋体" w:hAnsi="宋体" w:cs="宋体"/>
                <w:b/>
                <w:sz w:val="24"/>
              </w:rPr>
              <w:t>⑴</w:t>
            </w:r>
            <w:r>
              <w:rPr>
                <w:b/>
                <w:sz w:val="24"/>
              </w:rPr>
              <w:t>变更前工程建设内容</w:t>
            </w:r>
          </w:p>
          <w:p>
            <w:pPr>
              <w:spacing w:line="360" w:lineRule="auto"/>
              <w:ind w:firstLine="480" w:firstLineChars="200"/>
              <w:rPr>
                <w:sz w:val="24"/>
              </w:rPr>
            </w:pPr>
            <w:r>
              <w:rPr>
                <w:rFonts w:hint="eastAsia"/>
                <w:sz w:val="24"/>
              </w:rPr>
              <w:t>项目组成见表2-10。</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2-10  变更前建设内容一览表</w:t>
            </w:r>
          </w:p>
          <w:tbl>
            <w:tblPr>
              <w:tblStyle w:val="33"/>
              <w:tblW w:w="499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08"/>
              <w:gridCol w:w="1435"/>
              <w:gridCol w:w="54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tcBorders>
                    <w:tl2br w:val="nil"/>
                    <w:tr2bl w:val="nil"/>
                  </w:tcBorders>
                  <w:vAlign w:val="center"/>
                </w:tcPr>
                <w:p>
                  <w:pPr>
                    <w:spacing w:line="340" w:lineRule="exact"/>
                    <w:jc w:val="center"/>
                    <w:rPr>
                      <w:szCs w:val="21"/>
                    </w:rPr>
                  </w:pPr>
                  <w:r>
                    <w:rPr>
                      <w:szCs w:val="21"/>
                    </w:rPr>
                    <w:t>工程分类</w:t>
                  </w:r>
                </w:p>
              </w:tc>
              <w:tc>
                <w:tcPr>
                  <w:tcW w:w="1291" w:type="dxa"/>
                  <w:tcBorders>
                    <w:tl2br w:val="nil"/>
                    <w:tr2bl w:val="nil"/>
                  </w:tcBorders>
                  <w:vAlign w:val="center"/>
                </w:tcPr>
                <w:p>
                  <w:pPr>
                    <w:spacing w:line="340" w:lineRule="exact"/>
                    <w:jc w:val="center"/>
                    <w:rPr>
                      <w:szCs w:val="21"/>
                    </w:rPr>
                  </w:pPr>
                  <w:r>
                    <w:rPr>
                      <w:szCs w:val="21"/>
                    </w:rPr>
                    <w:t>名称</w:t>
                  </w:r>
                </w:p>
              </w:tc>
              <w:tc>
                <w:tcPr>
                  <w:tcW w:w="4879" w:type="dxa"/>
                  <w:tcBorders>
                    <w:tl2br w:val="nil"/>
                    <w:tr2bl w:val="nil"/>
                  </w:tcBorders>
                  <w:vAlign w:val="center"/>
                </w:tcPr>
                <w:p>
                  <w:pPr>
                    <w:spacing w:line="340" w:lineRule="exact"/>
                    <w:jc w:val="center"/>
                    <w:rPr>
                      <w:szCs w:val="21"/>
                    </w:rPr>
                  </w:pPr>
                  <w:r>
                    <w:rPr>
                      <w:rFonts w:hint="eastAsia"/>
                      <w:szCs w:val="21"/>
                    </w:rPr>
                    <w:t>工程规模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tcBorders>
                    <w:tl2br w:val="nil"/>
                    <w:tr2bl w:val="nil"/>
                  </w:tcBorders>
                  <w:vAlign w:val="center"/>
                </w:tcPr>
                <w:p>
                  <w:pPr>
                    <w:spacing w:line="340" w:lineRule="exact"/>
                    <w:jc w:val="center"/>
                    <w:rPr>
                      <w:szCs w:val="21"/>
                    </w:rPr>
                  </w:pPr>
                  <w:r>
                    <w:rPr>
                      <w:rFonts w:hint="eastAsia"/>
                      <w:szCs w:val="21"/>
                    </w:rPr>
                    <w:t>主体工程</w:t>
                  </w:r>
                </w:p>
              </w:tc>
              <w:tc>
                <w:tcPr>
                  <w:tcW w:w="1291" w:type="dxa"/>
                  <w:tcBorders>
                    <w:tl2br w:val="nil"/>
                    <w:tr2bl w:val="nil"/>
                  </w:tcBorders>
                  <w:vAlign w:val="center"/>
                </w:tcPr>
                <w:p>
                  <w:pPr>
                    <w:spacing w:line="340" w:lineRule="exact"/>
                    <w:jc w:val="center"/>
                    <w:rPr>
                      <w:szCs w:val="21"/>
                    </w:rPr>
                  </w:pPr>
                  <w:r>
                    <w:rPr>
                      <w:rFonts w:hint="eastAsia"/>
                      <w:szCs w:val="21"/>
                    </w:rPr>
                    <w:t>生产车间</w:t>
                  </w:r>
                </w:p>
              </w:tc>
              <w:tc>
                <w:tcPr>
                  <w:tcW w:w="4879" w:type="dxa"/>
                  <w:tcBorders>
                    <w:tl2br w:val="nil"/>
                    <w:tr2bl w:val="nil"/>
                  </w:tcBorders>
                  <w:vAlign w:val="center"/>
                </w:tcPr>
                <w:p>
                  <w:pPr>
                    <w:jc w:val="left"/>
                    <w:rPr>
                      <w:rFonts w:hAnsi="宋体"/>
                    </w:rPr>
                  </w:pPr>
                  <w:r>
                    <w:rPr>
                      <w:rFonts w:hint="eastAsia" w:hAnsi="宋体"/>
                    </w:rPr>
                    <w:t>1F，建筑面积约5150m</w:t>
                  </w:r>
                  <w:r>
                    <w:rPr>
                      <w:rFonts w:hint="eastAsia" w:hAnsi="宋体"/>
                      <w:vertAlign w:val="superscript"/>
                    </w:rPr>
                    <w:t>2</w:t>
                  </w:r>
                  <w:r>
                    <w:rPr>
                      <w:rFonts w:hint="eastAsia" w:hAnsi="宋体"/>
                    </w:rPr>
                    <w:t>，设置压合、机加工、砂光、</w:t>
                  </w:r>
                  <w:r>
                    <w:rPr>
                      <w:rFonts w:hAnsi="宋体"/>
                      <w:color w:val="FF0000"/>
                    </w:rPr>
                    <w:t>UV</w:t>
                  </w:r>
                  <w:r>
                    <w:rPr>
                      <w:rFonts w:hint="eastAsia" w:hAnsi="宋体"/>
                      <w:color w:val="FF0000"/>
                    </w:rPr>
                    <w:t>滚涂</w:t>
                  </w:r>
                  <w:r>
                    <w:rPr>
                      <w:rFonts w:hint="eastAsia" w:hAnsi="宋体"/>
                    </w:rPr>
                    <w:t>、丝印、检验包装</w:t>
                  </w:r>
                  <w:r>
                    <w:rPr>
                      <w:rFonts w:hint="eastAsia"/>
                      <w:bCs/>
                    </w:rPr>
                    <w:t>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restart"/>
                  <w:tcBorders>
                    <w:tl2br w:val="nil"/>
                    <w:tr2bl w:val="nil"/>
                  </w:tcBorders>
                  <w:vAlign w:val="center"/>
                </w:tcPr>
                <w:p>
                  <w:pPr>
                    <w:spacing w:line="340" w:lineRule="exact"/>
                    <w:jc w:val="center"/>
                    <w:rPr>
                      <w:szCs w:val="21"/>
                    </w:rPr>
                  </w:pPr>
                  <w:r>
                    <w:rPr>
                      <w:rFonts w:hint="eastAsia"/>
                      <w:szCs w:val="21"/>
                    </w:rPr>
                    <w:t>辅助工程</w:t>
                  </w:r>
                </w:p>
              </w:tc>
              <w:tc>
                <w:tcPr>
                  <w:tcW w:w="1291" w:type="dxa"/>
                  <w:tcBorders>
                    <w:tl2br w:val="nil"/>
                    <w:tr2bl w:val="nil"/>
                  </w:tcBorders>
                  <w:vAlign w:val="center"/>
                </w:tcPr>
                <w:p>
                  <w:pPr>
                    <w:spacing w:line="340" w:lineRule="exact"/>
                    <w:jc w:val="center"/>
                    <w:rPr>
                      <w:szCs w:val="21"/>
                    </w:rPr>
                  </w:pPr>
                  <w:r>
                    <w:rPr>
                      <w:rFonts w:hint="eastAsia"/>
                      <w:szCs w:val="21"/>
                    </w:rPr>
                    <w:t>综合楼</w:t>
                  </w:r>
                </w:p>
              </w:tc>
              <w:tc>
                <w:tcPr>
                  <w:tcW w:w="4879" w:type="dxa"/>
                  <w:tcBorders>
                    <w:tl2br w:val="nil"/>
                    <w:tr2bl w:val="nil"/>
                  </w:tcBorders>
                  <w:vAlign w:val="center"/>
                </w:tcPr>
                <w:p>
                  <w:pPr>
                    <w:spacing w:line="340" w:lineRule="exact"/>
                    <w:jc w:val="center"/>
                    <w:rPr>
                      <w:szCs w:val="21"/>
                    </w:rPr>
                  </w:pPr>
                  <w:r>
                    <w:rPr>
                      <w:rFonts w:hint="eastAsia"/>
                      <w:szCs w:val="21"/>
                    </w:rPr>
                    <w:t>3F，建筑面积2200m</w:t>
                  </w:r>
                  <w:r>
                    <w:rPr>
                      <w:rFonts w:hint="eastAsia"/>
                      <w:szCs w:val="21"/>
                      <w:vertAlign w:val="superscript"/>
                    </w:rPr>
                    <w:t>2</w:t>
                  </w:r>
                  <w:r>
                    <w:rPr>
                      <w:rFonts w:hint="eastAsia"/>
                      <w:szCs w:val="21"/>
                    </w:rPr>
                    <w:t>，用于办公。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continue"/>
                  <w:tcBorders>
                    <w:tl2br w:val="nil"/>
                    <w:tr2bl w:val="nil"/>
                  </w:tcBorders>
                  <w:vAlign w:val="center"/>
                </w:tcPr>
                <w:p>
                  <w:pPr>
                    <w:spacing w:line="340" w:lineRule="exact"/>
                    <w:jc w:val="center"/>
                    <w:rPr>
                      <w:szCs w:val="21"/>
                    </w:rPr>
                  </w:pPr>
                </w:p>
              </w:tc>
              <w:tc>
                <w:tcPr>
                  <w:tcW w:w="1291" w:type="dxa"/>
                  <w:tcBorders>
                    <w:tl2br w:val="nil"/>
                    <w:tr2bl w:val="nil"/>
                  </w:tcBorders>
                  <w:vAlign w:val="center"/>
                </w:tcPr>
                <w:p>
                  <w:pPr>
                    <w:spacing w:line="340" w:lineRule="exact"/>
                    <w:jc w:val="center"/>
                    <w:rPr>
                      <w:szCs w:val="21"/>
                    </w:rPr>
                  </w:pPr>
                  <w:r>
                    <w:rPr>
                      <w:rFonts w:hint="eastAsia"/>
                      <w:szCs w:val="21"/>
                    </w:rPr>
                    <w:t>原料仓库</w:t>
                  </w:r>
                </w:p>
              </w:tc>
              <w:tc>
                <w:tcPr>
                  <w:tcW w:w="4879" w:type="dxa"/>
                  <w:tcBorders>
                    <w:tl2br w:val="nil"/>
                    <w:tr2bl w:val="nil"/>
                  </w:tcBorders>
                  <w:vAlign w:val="center"/>
                </w:tcPr>
                <w:p>
                  <w:pPr>
                    <w:spacing w:line="340" w:lineRule="exact"/>
                    <w:jc w:val="center"/>
                    <w:rPr>
                      <w:szCs w:val="21"/>
                    </w:rPr>
                  </w:pPr>
                  <w:r>
                    <w:rPr>
                      <w:rFonts w:hint="eastAsia"/>
                      <w:szCs w:val="21"/>
                    </w:rPr>
                    <w:t>1F，建筑面积300m</w:t>
                  </w:r>
                  <w:r>
                    <w:rPr>
                      <w:rFonts w:hint="eastAsia"/>
                      <w:szCs w:val="21"/>
                      <w:vertAlign w:val="superscript"/>
                    </w:rPr>
                    <w:t>2</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restart"/>
                  <w:tcBorders>
                    <w:tl2br w:val="nil"/>
                    <w:tr2bl w:val="nil"/>
                  </w:tcBorders>
                  <w:vAlign w:val="center"/>
                </w:tcPr>
                <w:p>
                  <w:pPr>
                    <w:spacing w:line="340" w:lineRule="exact"/>
                    <w:jc w:val="center"/>
                    <w:rPr>
                      <w:szCs w:val="21"/>
                    </w:rPr>
                  </w:pPr>
                  <w:r>
                    <w:rPr>
                      <w:rFonts w:hint="eastAsia"/>
                      <w:szCs w:val="21"/>
                    </w:rPr>
                    <w:t>公用工程</w:t>
                  </w:r>
                </w:p>
              </w:tc>
              <w:tc>
                <w:tcPr>
                  <w:tcW w:w="1291" w:type="dxa"/>
                  <w:tcBorders>
                    <w:tl2br w:val="nil"/>
                    <w:tr2bl w:val="nil"/>
                  </w:tcBorders>
                  <w:vAlign w:val="center"/>
                </w:tcPr>
                <w:p>
                  <w:pPr>
                    <w:spacing w:line="340" w:lineRule="exact"/>
                    <w:jc w:val="center"/>
                    <w:rPr>
                      <w:szCs w:val="21"/>
                    </w:rPr>
                  </w:pPr>
                  <w:r>
                    <w:rPr>
                      <w:rFonts w:hint="eastAsia"/>
                      <w:szCs w:val="21"/>
                    </w:rPr>
                    <w:t>供水系统</w:t>
                  </w:r>
                </w:p>
              </w:tc>
              <w:tc>
                <w:tcPr>
                  <w:tcW w:w="4879" w:type="dxa"/>
                  <w:tcBorders>
                    <w:tl2br w:val="nil"/>
                    <w:tr2bl w:val="nil"/>
                  </w:tcBorders>
                  <w:vAlign w:val="center"/>
                </w:tcPr>
                <w:p>
                  <w:pPr>
                    <w:spacing w:line="340" w:lineRule="exact"/>
                    <w:jc w:val="center"/>
                    <w:rPr>
                      <w:szCs w:val="21"/>
                    </w:rPr>
                  </w:pPr>
                  <w:r>
                    <w:rPr>
                      <w:rFonts w:hint="eastAsia"/>
                      <w:szCs w:val="21"/>
                    </w:rPr>
                    <w:t>由园区管网供给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continue"/>
                  <w:tcBorders>
                    <w:tl2br w:val="nil"/>
                    <w:tr2bl w:val="nil"/>
                  </w:tcBorders>
                  <w:vAlign w:val="center"/>
                </w:tcPr>
                <w:p>
                  <w:pPr>
                    <w:spacing w:line="340" w:lineRule="exact"/>
                    <w:jc w:val="center"/>
                    <w:rPr>
                      <w:szCs w:val="21"/>
                    </w:rPr>
                  </w:pPr>
                </w:p>
              </w:tc>
              <w:tc>
                <w:tcPr>
                  <w:tcW w:w="1291" w:type="dxa"/>
                  <w:tcBorders>
                    <w:tl2br w:val="nil"/>
                    <w:tr2bl w:val="nil"/>
                  </w:tcBorders>
                  <w:vAlign w:val="center"/>
                </w:tcPr>
                <w:p>
                  <w:pPr>
                    <w:spacing w:line="340" w:lineRule="exact"/>
                    <w:jc w:val="center"/>
                    <w:rPr>
                      <w:szCs w:val="21"/>
                    </w:rPr>
                  </w:pPr>
                  <w:r>
                    <w:rPr>
                      <w:rFonts w:hint="eastAsia"/>
                      <w:szCs w:val="21"/>
                    </w:rPr>
                    <w:t>排水系统</w:t>
                  </w:r>
                </w:p>
              </w:tc>
              <w:tc>
                <w:tcPr>
                  <w:tcW w:w="4879" w:type="dxa"/>
                  <w:tcBorders>
                    <w:tl2br w:val="nil"/>
                    <w:tr2bl w:val="nil"/>
                  </w:tcBorders>
                  <w:vAlign w:val="center"/>
                </w:tcPr>
                <w:p>
                  <w:pPr>
                    <w:spacing w:line="340" w:lineRule="exact"/>
                    <w:jc w:val="left"/>
                    <w:rPr>
                      <w:szCs w:val="21"/>
                    </w:rPr>
                  </w:pPr>
                  <w:r>
                    <w:rPr>
                      <w:rFonts w:hint="eastAsia"/>
                      <w:szCs w:val="21"/>
                    </w:rPr>
                    <w:t>采用雨污分流制，生活污水经化粪池预处理后通过园区管网进入江西余干工业园区（黄金埠）污水处理厂进行深度处理后达标排放至信江；本项目生产废水循环使用，只补充，不外排。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continue"/>
                  <w:tcBorders>
                    <w:tl2br w:val="nil"/>
                    <w:tr2bl w:val="nil"/>
                  </w:tcBorders>
                  <w:vAlign w:val="center"/>
                </w:tcPr>
                <w:p>
                  <w:pPr>
                    <w:spacing w:line="340" w:lineRule="exact"/>
                    <w:jc w:val="center"/>
                    <w:rPr>
                      <w:szCs w:val="21"/>
                    </w:rPr>
                  </w:pPr>
                </w:p>
              </w:tc>
              <w:tc>
                <w:tcPr>
                  <w:tcW w:w="1291" w:type="dxa"/>
                  <w:tcBorders>
                    <w:tl2br w:val="nil"/>
                    <w:tr2bl w:val="nil"/>
                  </w:tcBorders>
                  <w:vAlign w:val="center"/>
                </w:tcPr>
                <w:p>
                  <w:pPr>
                    <w:spacing w:line="340" w:lineRule="exact"/>
                    <w:jc w:val="center"/>
                    <w:rPr>
                      <w:szCs w:val="21"/>
                    </w:rPr>
                  </w:pPr>
                  <w:r>
                    <w:rPr>
                      <w:rFonts w:hint="eastAsia"/>
                      <w:szCs w:val="21"/>
                    </w:rPr>
                    <w:t>供电系统</w:t>
                  </w:r>
                </w:p>
              </w:tc>
              <w:tc>
                <w:tcPr>
                  <w:tcW w:w="4879" w:type="dxa"/>
                  <w:tcBorders>
                    <w:tl2br w:val="nil"/>
                    <w:tr2bl w:val="nil"/>
                  </w:tcBorders>
                  <w:vAlign w:val="center"/>
                </w:tcPr>
                <w:p>
                  <w:pPr>
                    <w:spacing w:line="340" w:lineRule="exact"/>
                    <w:jc w:val="center"/>
                    <w:rPr>
                      <w:szCs w:val="21"/>
                    </w:rPr>
                  </w:pPr>
                  <w:r>
                    <w:rPr>
                      <w:rFonts w:hint="eastAsia"/>
                      <w:szCs w:val="21"/>
                    </w:rPr>
                    <w:t>由当地市政电网提供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restart"/>
                  <w:tcBorders>
                    <w:tl2br w:val="nil"/>
                    <w:tr2bl w:val="nil"/>
                  </w:tcBorders>
                  <w:vAlign w:val="center"/>
                </w:tcPr>
                <w:p>
                  <w:pPr>
                    <w:spacing w:line="340" w:lineRule="exact"/>
                    <w:jc w:val="center"/>
                    <w:rPr>
                      <w:szCs w:val="21"/>
                    </w:rPr>
                  </w:pPr>
                  <w:r>
                    <w:rPr>
                      <w:rFonts w:hint="eastAsia"/>
                      <w:szCs w:val="21"/>
                    </w:rPr>
                    <w:t>环保工程</w:t>
                  </w:r>
                </w:p>
              </w:tc>
              <w:tc>
                <w:tcPr>
                  <w:tcW w:w="129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4879" w:type="dxa"/>
                  <w:tcBorders>
                    <w:tl2br w:val="nil"/>
                    <w:tr2bl w:val="nil"/>
                  </w:tcBorders>
                  <w:vAlign w:val="center"/>
                </w:tcPr>
                <w:p>
                  <w:pPr>
                    <w:autoSpaceDE w:val="0"/>
                    <w:autoSpaceDN w:val="0"/>
                    <w:adjustRightInd w:val="0"/>
                    <w:spacing w:line="340" w:lineRule="exact"/>
                    <w:jc w:val="center"/>
                    <w:rPr>
                      <w:szCs w:val="21"/>
                    </w:rPr>
                  </w:pPr>
                  <w:r>
                    <w:rPr>
                      <w:rFonts w:hint="eastAsia"/>
                      <w:szCs w:val="21"/>
                    </w:rPr>
                    <w:t>压合工序、</w:t>
                  </w:r>
                  <w:r>
                    <w:rPr>
                      <w:color w:val="FF0000"/>
                      <w:szCs w:val="21"/>
                    </w:rPr>
                    <w:t>UV</w:t>
                  </w:r>
                  <w:r>
                    <w:rPr>
                      <w:rFonts w:hint="eastAsia"/>
                      <w:color w:val="FF0000"/>
                      <w:szCs w:val="21"/>
                    </w:rPr>
                    <w:t>滚涂</w:t>
                  </w:r>
                  <w:r>
                    <w:rPr>
                      <w:rFonts w:hint="eastAsia"/>
                      <w:szCs w:val="21"/>
                    </w:rPr>
                    <w:t>工序、丝印工序产生的有机废气采用活性炭吸附装置吸附经1根15m高排气筒（1#排气筒）排放，</w:t>
                  </w:r>
                </w:p>
                <w:p>
                  <w:pPr>
                    <w:spacing w:line="340" w:lineRule="exact"/>
                    <w:jc w:val="left"/>
                    <w:rPr>
                      <w:color w:val="000000" w:themeColor="text1"/>
                      <w14:textFill>
                        <w14:solidFill>
                          <w14:schemeClr w14:val="tx1"/>
                        </w14:solidFill>
                      </w14:textFill>
                    </w:rPr>
                  </w:pPr>
                  <w:r>
                    <w:rPr>
                      <w:rFonts w:hint="eastAsia"/>
                      <w:szCs w:val="21"/>
                    </w:rPr>
                    <w:t>本项目开料、机加工过程中会产生一定量的粉尘经设置集气罩+</w:t>
                  </w:r>
                  <w:r>
                    <w:fldChar w:fldCharType="begin"/>
                  </w:r>
                  <w:r>
                    <w:instrText xml:space="preserve">HYPERLINK "https://baike.baidu.com/item/%E4%B8%AD%E5%A4%AE%E9%99%A4%E5%B0%98%E7%B3%BB%E7%BB%9F/5863157" \t "_blank"</w:instrText>
                  </w:r>
                  <w:r>
                    <w:fldChar w:fldCharType="separate"/>
                  </w:r>
                  <w:r>
                    <w:rPr>
                      <w:rFonts w:hint="eastAsia"/>
                      <w:szCs w:val="21"/>
                    </w:rPr>
                    <w:t>中央除尘系统</w:t>
                  </w:r>
                  <w:r>
                    <w:rPr>
                      <w:szCs w:val="21"/>
                    </w:rPr>
                    <w:fldChar w:fldCharType="end"/>
                  </w:r>
                  <w:r>
                    <w:rPr>
                      <w:rFonts w:hint="eastAsia"/>
                      <w:szCs w:val="21"/>
                    </w:rPr>
                    <w:t xml:space="preserve"> +一根15m高排气筒（2#排气筒）排放</w:t>
                  </w: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continue"/>
                  <w:tcBorders>
                    <w:tl2br w:val="nil"/>
                    <w:tr2bl w:val="nil"/>
                  </w:tcBorders>
                  <w:vAlign w:val="center"/>
                </w:tcPr>
                <w:p>
                  <w:pPr>
                    <w:spacing w:line="340" w:lineRule="exact"/>
                    <w:jc w:val="center"/>
                    <w:rPr>
                      <w:szCs w:val="21"/>
                    </w:rPr>
                  </w:pPr>
                </w:p>
              </w:tc>
              <w:tc>
                <w:tcPr>
                  <w:tcW w:w="1291" w:type="dxa"/>
                  <w:tcBorders>
                    <w:tl2br w:val="nil"/>
                    <w:tr2bl w:val="nil"/>
                  </w:tcBorders>
                  <w:vAlign w:val="center"/>
                </w:tcPr>
                <w:p>
                  <w:pPr>
                    <w:spacing w:line="340" w:lineRule="exact"/>
                    <w:jc w:val="center"/>
                    <w:rPr>
                      <w:szCs w:val="21"/>
                    </w:rPr>
                  </w:pPr>
                  <w:r>
                    <w:rPr>
                      <w:rFonts w:hint="eastAsia"/>
                      <w:szCs w:val="21"/>
                    </w:rPr>
                    <w:t>废水</w:t>
                  </w:r>
                </w:p>
              </w:tc>
              <w:tc>
                <w:tcPr>
                  <w:tcW w:w="4879" w:type="dxa"/>
                  <w:tcBorders>
                    <w:tl2br w:val="nil"/>
                    <w:tr2bl w:val="nil"/>
                  </w:tcBorders>
                  <w:vAlign w:val="center"/>
                </w:tcPr>
                <w:p>
                  <w:pPr>
                    <w:spacing w:line="340" w:lineRule="exact"/>
                    <w:jc w:val="left"/>
                    <w:rPr>
                      <w:szCs w:val="21"/>
                    </w:rPr>
                  </w:pPr>
                  <w:r>
                    <w:rPr>
                      <w:rFonts w:hint="eastAsia"/>
                      <w:szCs w:val="21"/>
                    </w:rPr>
                    <w:t>生活污水经化粪池预处理后通过园区管网进入江西余干工业园区（黄金埠）污水处理厂进行深度处理后达标排放至信江；生产废水循环使用，</w:t>
                  </w:r>
                  <w:r>
                    <w:rPr>
                      <w:rFonts w:hint="eastAsia"/>
                    </w:rPr>
                    <w:t>定期清掏沉渣，每月进行更换一次，废水作为危废处理。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continue"/>
                  <w:tcBorders>
                    <w:tl2br w:val="nil"/>
                    <w:tr2bl w:val="nil"/>
                  </w:tcBorders>
                  <w:vAlign w:val="center"/>
                </w:tcPr>
                <w:p>
                  <w:pPr>
                    <w:spacing w:line="340" w:lineRule="exact"/>
                    <w:jc w:val="center"/>
                    <w:rPr>
                      <w:szCs w:val="21"/>
                    </w:rPr>
                  </w:pPr>
                </w:p>
              </w:tc>
              <w:tc>
                <w:tcPr>
                  <w:tcW w:w="1291" w:type="dxa"/>
                  <w:tcBorders>
                    <w:tl2br w:val="nil"/>
                    <w:tr2bl w:val="nil"/>
                  </w:tcBorders>
                  <w:vAlign w:val="center"/>
                </w:tcPr>
                <w:p>
                  <w:pPr>
                    <w:spacing w:line="340" w:lineRule="exact"/>
                    <w:jc w:val="center"/>
                    <w:rPr>
                      <w:szCs w:val="21"/>
                    </w:rPr>
                  </w:pPr>
                  <w:r>
                    <w:rPr>
                      <w:rFonts w:hint="eastAsia"/>
                      <w:szCs w:val="21"/>
                    </w:rPr>
                    <w:t>噪声</w:t>
                  </w:r>
                </w:p>
              </w:tc>
              <w:tc>
                <w:tcPr>
                  <w:tcW w:w="4879" w:type="dxa"/>
                  <w:tcBorders>
                    <w:tl2br w:val="nil"/>
                    <w:tr2bl w:val="nil"/>
                  </w:tcBorders>
                  <w:vAlign w:val="center"/>
                </w:tcPr>
                <w:p>
                  <w:pPr>
                    <w:spacing w:line="340" w:lineRule="exact"/>
                    <w:jc w:val="center"/>
                    <w:rPr>
                      <w:szCs w:val="21"/>
                    </w:rPr>
                  </w:pPr>
                  <w:r>
                    <w:rPr>
                      <w:rFonts w:hint="eastAsia"/>
                      <w:szCs w:val="21"/>
                    </w:rPr>
                    <w:t>选用低噪声设备、风机加装消声器、泵类减震等措施。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77" w:type="dxa"/>
                  <w:vMerge w:val="continue"/>
                  <w:tcBorders>
                    <w:tl2br w:val="nil"/>
                    <w:tr2bl w:val="nil"/>
                  </w:tcBorders>
                  <w:vAlign w:val="center"/>
                </w:tcPr>
                <w:p>
                  <w:pPr>
                    <w:spacing w:line="340" w:lineRule="exact"/>
                    <w:jc w:val="center"/>
                    <w:rPr>
                      <w:szCs w:val="21"/>
                    </w:rPr>
                  </w:pPr>
                </w:p>
              </w:tc>
              <w:tc>
                <w:tcPr>
                  <w:tcW w:w="1291" w:type="dxa"/>
                  <w:tcBorders>
                    <w:tl2br w:val="nil"/>
                    <w:tr2bl w:val="nil"/>
                  </w:tcBorders>
                  <w:vAlign w:val="center"/>
                </w:tcPr>
                <w:p>
                  <w:pPr>
                    <w:spacing w:line="340" w:lineRule="exact"/>
                    <w:jc w:val="center"/>
                    <w:rPr>
                      <w:szCs w:val="21"/>
                    </w:rPr>
                  </w:pPr>
                  <w:r>
                    <w:rPr>
                      <w:rFonts w:hint="eastAsia"/>
                      <w:szCs w:val="21"/>
                    </w:rPr>
                    <w:t>固废</w:t>
                  </w:r>
                </w:p>
              </w:tc>
              <w:tc>
                <w:tcPr>
                  <w:tcW w:w="4879" w:type="dxa"/>
                  <w:tcBorders>
                    <w:tl2br w:val="nil"/>
                    <w:tr2bl w:val="nil"/>
                  </w:tcBorders>
                  <w:vAlign w:val="center"/>
                </w:tcPr>
                <w:p>
                  <w:pPr>
                    <w:spacing w:line="340" w:lineRule="exact"/>
                    <w:jc w:val="left"/>
                    <w:rPr>
                      <w:szCs w:val="21"/>
                    </w:rPr>
                  </w:pPr>
                  <w:r>
                    <w:rPr>
                      <w:rFonts w:hint="eastAsia"/>
                      <w:szCs w:val="21"/>
                    </w:rPr>
                    <w:t>设一般工业固废暂存间（面积50m</w:t>
                  </w:r>
                  <w:r>
                    <w:rPr>
                      <w:rFonts w:hint="eastAsia"/>
                      <w:szCs w:val="21"/>
                      <w:vertAlign w:val="superscript"/>
                    </w:rPr>
                    <w:t>2</w:t>
                  </w:r>
                  <w:r>
                    <w:rPr>
                      <w:rFonts w:hint="eastAsia"/>
                      <w:szCs w:val="21"/>
                    </w:rPr>
                    <w:t>），危废暂存间（面积20m</w:t>
                  </w:r>
                  <w:r>
                    <w:rPr>
                      <w:rFonts w:hint="eastAsia"/>
                      <w:szCs w:val="21"/>
                      <w:vertAlign w:val="superscript"/>
                    </w:rPr>
                    <w:t>2</w:t>
                  </w:r>
                  <w:r>
                    <w:rPr>
                      <w:rFonts w:hint="eastAsia"/>
                      <w:szCs w:val="21"/>
                    </w:rPr>
                    <w:t>）。</w:t>
                  </w:r>
                </w:p>
              </w:tc>
            </w:tr>
          </w:tbl>
          <w:p>
            <w:pPr>
              <w:spacing w:line="360" w:lineRule="auto"/>
              <w:ind w:firstLine="482" w:firstLineChars="200"/>
              <w:rPr>
                <w:b/>
                <w:sz w:val="24"/>
              </w:rPr>
            </w:pPr>
            <w:r>
              <w:rPr>
                <w:rFonts w:hint="eastAsia" w:ascii="宋体" w:hAnsi="宋体" w:cs="宋体"/>
                <w:b/>
                <w:sz w:val="24"/>
              </w:rPr>
              <w:t>⑵</w:t>
            </w:r>
            <w:r>
              <w:rPr>
                <w:rFonts w:hint="eastAsia"/>
                <w:b/>
                <w:sz w:val="24"/>
              </w:rPr>
              <w:t>变更</w:t>
            </w:r>
            <w:r>
              <w:rPr>
                <w:b/>
                <w:sz w:val="24"/>
              </w:rPr>
              <w:t>前项目工艺流程</w:t>
            </w:r>
          </w:p>
          <w:p>
            <w:pPr>
              <w:pStyle w:val="44"/>
              <w:jc w:val="center"/>
              <w:rPr>
                <w:color w:val="auto"/>
              </w:rPr>
            </w:pPr>
            <w:r>
              <w:rPr>
                <w:rFonts w:ascii="Verdana" w:hAnsi="Verdana"/>
                <w:color w:val="333333"/>
                <w:szCs w:val="21"/>
                <w:shd w:val="clear" w:color="auto" w:fill="FFFFFF"/>
              </w:rPr>
              <w:object>
                <v:shape id="_x0000_i1026" o:spt="75" type="#_x0000_t75" style="height:103.75pt;width:398.3pt;" o:ole="t" filled="f" o:preferrelative="t" stroked="f" coordsize="21600,21600">
                  <v:path/>
                  <v:fill on="f" focussize="0,0"/>
                  <v:stroke on="f" joinstyle="miter"/>
                  <v:imagedata r:id="rId17" o:title=""/>
                  <o:lock v:ext="edit" aspectratio="t"/>
                  <w10:wrap type="none"/>
                  <w10:anchorlock/>
                </v:shape>
                <o:OLEObject Type="Embed" ProgID="Visio.Drawing.11" ShapeID="_x0000_i1026" DrawAspect="Content" ObjectID="_1468075726" r:id="rId16">
                  <o:LockedField>false</o:LockedField>
                </o:OLEObject>
              </w:object>
            </w:r>
          </w:p>
          <w:p>
            <w:pPr>
              <w:adjustRightInd w:val="0"/>
              <w:snapToGrid w:val="0"/>
              <w:spacing w:before="120" w:beforeLines="50"/>
              <w:jc w:val="center"/>
              <w:rPr>
                <w:rFonts w:eastAsia="黑体"/>
                <w:sz w:val="24"/>
              </w:rPr>
            </w:pPr>
            <w:r>
              <w:rPr>
                <w:rFonts w:eastAsia="黑体"/>
                <w:sz w:val="24"/>
              </w:rPr>
              <w:t>图2-</w:t>
            </w:r>
            <w:r>
              <w:rPr>
                <w:rFonts w:hint="eastAsia" w:eastAsia="黑体"/>
                <w:sz w:val="24"/>
                <w:lang w:val="en-US" w:eastAsia="zh-CN"/>
              </w:rPr>
              <w:t>6</w:t>
            </w:r>
            <w:r>
              <w:rPr>
                <w:rFonts w:hint="eastAsia" w:eastAsia="黑体"/>
                <w:sz w:val="24"/>
              </w:rPr>
              <w:t xml:space="preserve"> </w:t>
            </w:r>
            <w:r>
              <w:rPr>
                <w:rFonts w:eastAsia="黑体"/>
                <w:sz w:val="24"/>
              </w:rPr>
              <w:t xml:space="preserve"> 项目生产工艺流程及产污节点示意图</w:t>
            </w:r>
          </w:p>
          <w:p>
            <w:pPr>
              <w:snapToGrid w:val="0"/>
              <w:spacing w:before="120" w:beforeLines="50" w:line="360" w:lineRule="auto"/>
              <w:ind w:firstLine="482" w:firstLineChars="200"/>
              <w:rPr>
                <w:rFonts w:hint="eastAsia" w:eastAsia="宋体"/>
                <w:b/>
                <w:sz w:val="24"/>
                <w:lang w:eastAsia="zh-CN"/>
              </w:rPr>
            </w:pPr>
            <w:r>
              <w:rPr>
                <w:b/>
                <w:sz w:val="24"/>
              </w:rPr>
              <w:t>工艺简介</w:t>
            </w:r>
            <w:r>
              <w:rPr>
                <w:rFonts w:hint="eastAsia"/>
                <w:b/>
                <w:sz w:val="24"/>
                <w:lang w:eastAsia="zh-CN"/>
              </w:rPr>
              <w:t>：</w:t>
            </w:r>
          </w:p>
          <w:p>
            <w:pPr>
              <w:spacing w:line="360" w:lineRule="auto"/>
              <w:ind w:firstLine="480" w:firstLineChars="200"/>
              <w:rPr>
                <w:sz w:val="24"/>
              </w:rPr>
            </w:pPr>
            <w:r>
              <w:rPr>
                <w:rFonts w:hint="eastAsia"/>
                <w:sz w:val="24"/>
              </w:rPr>
              <w:t>（1）压合：在木板之间涂抹白乳胶进行粘合，用冷压机进行冷压使板材间进一步贴合。该工序有少量有机废气和机械噪声产生。</w:t>
            </w:r>
          </w:p>
          <w:p>
            <w:pPr>
              <w:spacing w:line="360" w:lineRule="auto"/>
              <w:ind w:firstLine="480" w:firstLineChars="200"/>
              <w:rPr>
                <w:sz w:val="24"/>
              </w:rPr>
            </w:pPr>
            <w:r>
              <w:rPr>
                <w:rFonts w:hint="eastAsia"/>
                <w:sz w:val="24"/>
              </w:rPr>
              <w:t>（2）开料、机加工：将板材用开料机按设计尺寸切割，将初加工好的板材采用钻机、拉机、雕刻机等进行精加工。</w:t>
            </w:r>
            <w:bookmarkStart w:id="1" w:name="OLE_LINK3"/>
            <w:bookmarkStart w:id="2" w:name="OLE_LINK2"/>
            <w:r>
              <w:rPr>
                <w:rFonts w:hint="eastAsia"/>
                <w:sz w:val="24"/>
              </w:rPr>
              <w:t>该工序有粉尘、机械噪声和边角废料产生。</w:t>
            </w:r>
            <w:bookmarkEnd w:id="1"/>
            <w:bookmarkEnd w:id="2"/>
          </w:p>
          <w:p>
            <w:pPr>
              <w:spacing w:line="360" w:lineRule="auto"/>
              <w:ind w:firstLine="480" w:firstLineChars="200"/>
              <w:rPr>
                <w:sz w:val="24"/>
              </w:rPr>
            </w:pPr>
            <w:r>
              <w:rPr>
                <w:rFonts w:hint="eastAsia"/>
                <w:sz w:val="24"/>
              </w:rPr>
              <w:t>（3）砂光：木材表面不平整的地方需刮平，保证木材表面平整，需用砂光机进行打磨。该工序有粉尘、机械噪声和边角废料产生。</w:t>
            </w:r>
          </w:p>
          <w:p>
            <w:pPr>
              <w:spacing w:line="360" w:lineRule="auto"/>
              <w:ind w:firstLine="480" w:firstLineChars="200"/>
              <w:rPr>
                <w:sz w:val="24"/>
              </w:rPr>
            </w:pPr>
            <w:r>
              <w:rPr>
                <w:rFonts w:hint="eastAsia"/>
                <w:sz w:val="24"/>
              </w:rPr>
              <w:t>（4）</w:t>
            </w:r>
            <w:r>
              <w:rPr>
                <w:sz w:val="24"/>
              </w:rPr>
              <w:t>UV滚涂</w:t>
            </w:r>
            <w:r>
              <w:rPr>
                <w:rFonts w:hint="eastAsia"/>
                <w:sz w:val="24"/>
              </w:rPr>
              <w:t>：采用</w:t>
            </w:r>
            <w:r>
              <w:rPr>
                <w:sz w:val="24"/>
              </w:rPr>
              <w:t>UV滚涂</w:t>
            </w:r>
            <w:r>
              <w:rPr>
                <w:rFonts w:hint="eastAsia"/>
                <w:sz w:val="24"/>
              </w:rPr>
              <w:t>机，</w:t>
            </w:r>
            <w:r>
              <w:rPr>
                <w:sz w:val="24"/>
              </w:rPr>
              <w:t>滚涂UV油漆</w:t>
            </w:r>
            <w:r>
              <w:rPr>
                <w:rFonts w:hint="eastAsia"/>
                <w:sz w:val="24"/>
              </w:rPr>
              <w:t>、P</w:t>
            </w:r>
            <w:r>
              <w:rPr>
                <w:rFonts w:hint="eastAsia"/>
                <w:sz w:val="24"/>
                <w:lang w:val="en-US" w:eastAsia="zh-CN"/>
              </w:rPr>
              <w:t>U</w:t>
            </w:r>
            <w:r>
              <w:rPr>
                <w:rFonts w:hint="eastAsia"/>
                <w:sz w:val="24"/>
              </w:rPr>
              <w:t>漆等，</w:t>
            </w:r>
            <w:r>
              <w:rPr>
                <w:sz w:val="24"/>
              </w:rPr>
              <w:t>“滚涂机”是涂装设备系列机械中的一种重要设备，其具有油漆损耗小、生产效率高、维护简单方便；可以和流水线很好</w:t>
            </w:r>
            <w:r>
              <w:rPr>
                <w:rFonts w:hint="eastAsia"/>
                <w:sz w:val="24"/>
              </w:rPr>
              <w:t>地</w:t>
            </w:r>
            <w:r>
              <w:rPr>
                <w:sz w:val="24"/>
              </w:rPr>
              <w:t>对接，组成自动化程度较高的生产线</w:t>
            </w:r>
            <w:r>
              <w:rPr>
                <w:rFonts w:hint="eastAsia"/>
                <w:sz w:val="24"/>
              </w:rPr>
              <w:t>，其主要工作原理为：</w:t>
            </w:r>
            <w:r>
              <w:rPr>
                <w:sz w:val="24"/>
              </w:rPr>
              <w:t>均布胶辊与均布钢轮平行靠紧，并匀速向内旋转，中间产生一个V形的空间，油漆就均匀地流在此处，调节均布胶辊与均布钢辊之间的紧密度，就可以控制粘附均布胶辊上的油漆厚度与均匀度；板块由输送带往前匀速推进，与胶辊适当接触，胶辊上的油漆就均匀的转印到板块表面上。</w:t>
            </w:r>
            <w:r>
              <w:rPr>
                <w:rFonts w:hint="eastAsia"/>
                <w:sz w:val="24"/>
              </w:rPr>
              <w:t>该工序有有机废气产生。</w:t>
            </w:r>
          </w:p>
          <w:p>
            <w:pPr>
              <w:spacing w:line="360" w:lineRule="auto"/>
              <w:ind w:firstLine="480" w:firstLineChars="200"/>
              <w:rPr>
                <w:sz w:val="24"/>
              </w:rPr>
            </w:pPr>
            <w:r>
              <w:rPr>
                <w:rFonts w:hint="eastAsia"/>
                <w:sz w:val="24"/>
              </w:rPr>
              <w:t>（5）丝印：根据客户需要在板材上印刷所需要的品牌标识或文字，采用油墨印刷。该工序有少量有机废气产生。</w:t>
            </w:r>
          </w:p>
          <w:p>
            <w:pPr>
              <w:spacing w:line="360" w:lineRule="auto"/>
              <w:ind w:firstLine="480" w:firstLineChars="200"/>
              <w:rPr>
                <w:sz w:val="24"/>
              </w:rPr>
            </w:pPr>
            <w:r>
              <w:rPr>
                <w:rFonts w:hint="eastAsia"/>
                <w:sz w:val="24"/>
              </w:rPr>
              <w:t>（6）检验、包装：经检验合格后，包装出货。</w:t>
            </w:r>
          </w:p>
          <w:p>
            <w:pPr>
              <w:pStyle w:val="40"/>
              <w:spacing w:before="0" w:after="0" w:line="360" w:lineRule="auto"/>
              <w:ind w:left="481" w:leftChars="229"/>
              <w:rPr>
                <w:rFonts w:ascii="Times New Roman" w:cs="Times New Roman"/>
                <w:color w:val="auto"/>
              </w:rPr>
            </w:pPr>
            <w:r>
              <w:rPr>
                <w:rFonts w:hint="eastAsia" w:ascii="Times New Roman" w:cs="Times New Roman"/>
                <w:b/>
                <w:color w:val="auto"/>
              </w:rPr>
              <w:t>（3）变更</w:t>
            </w:r>
            <w:r>
              <w:rPr>
                <w:rFonts w:ascii="Times New Roman" w:cs="Times New Roman"/>
                <w:b/>
                <w:color w:val="auto"/>
              </w:rPr>
              <w:t>前项目污染源强及治理措施</w:t>
            </w:r>
          </w:p>
          <w:p>
            <w:pPr>
              <w:adjustRightInd w:val="0"/>
              <w:snapToGrid w:val="0"/>
              <w:spacing w:line="360" w:lineRule="auto"/>
              <w:ind w:firstLine="480" w:firstLineChars="200"/>
              <w:jc w:val="left"/>
              <w:rPr>
                <w:kern w:val="21"/>
                <w:sz w:val="24"/>
              </w:rPr>
            </w:pPr>
            <w:r>
              <w:rPr>
                <w:rFonts w:hint="eastAsia" w:ascii="宋体" w:hAnsi="宋体" w:cs="宋体"/>
                <w:kern w:val="21"/>
                <w:sz w:val="24"/>
              </w:rPr>
              <w:t>1）废水</w:t>
            </w:r>
          </w:p>
          <w:p>
            <w:pPr>
              <w:adjustRightInd w:val="0"/>
              <w:snapToGrid w:val="0"/>
              <w:spacing w:line="360" w:lineRule="auto"/>
              <w:ind w:firstLine="480" w:firstLineChars="200"/>
              <w:jc w:val="left"/>
              <w:rPr>
                <w:kern w:val="21"/>
                <w:sz w:val="24"/>
              </w:rPr>
            </w:pPr>
            <w:r>
              <w:rPr>
                <w:kern w:val="21"/>
                <w:sz w:val="24"/>
              </w:rPr>
              <w:t>本项目不产生生产废水，废水主要为生活污水。</w:t>
            </w:r>
          </w:p>
          <w:p>
            <w:pPr>
              <w:adjustRightInd w:val="0"/>
              <w:snapToGrid w:val="0"/>
              <w:spacing w:line="360" w:lineRule="auto"/>
              <w:ind w:firstLine="480" w:firstLineChars="200"/>
              <w:jc w:val="left"/>
              <w:rPr>
                <w:kern w:val="21"/>
                <w:sz w:val="24"/>
              </w:rPr>
            </w:pPr>
            <w:r>
              <w:rPr>
                <w:kern w:val="21"/>
                <w:sz w:val="24"/>
              </w:rPr>
              <w:t>项目建成后劳动定员为1</w:t>
            </w:r>
            <w:r>
              <w:rPr>
                <w:rFonts w:hint="eastAsia"/>
                <w:kern w:val="21"/>
                <w:sz w:val="24"/>
              </w:rPr>
              <w:t>0</w:t>
            </w:r>
            <w:r>
              <w:rPr>
                <w:kern w:val="21"/>
                <w:sz w:val="24"/>
              </w:rPr>
              <w:t>0人，年工作时间为300天，</w:t>
            </w:r>
            <w:r>
              <w:rPr>
                <w:rFonts w:hint="eastAsia"/>
                <w:kern w:val="21"/>
                <w:sz w:val="24"/>
              </w:rPr>
              <w:t>不</w:t>
            </w:r>
            <w:r>
              <w:rPr>
                <w:kern w:val="21"/>
                <w:sz w:val="24"/>
              </w:rPr>
              <w:t>在厂区内</w:t>
            </w:r>
            <w:r>
              <w:rPr>
                <w:rFonts w:hint="eastAsia"/>
                <w:kern w:val="21"/>
                <w:sz w:val="24"/>
              </w:rPr>
              <w:t>住宿</w:t>
            </w:r>
            <w:r>
              <w:rPr>
                <w:kern w:val="21"/>
                <w:sz w:val="24"/>
              </w:rPr>
              <w:t>。根据类比调查，用水定额按</w:t>
            </w:r>
            <w:r>
              <w:rPr>
                <w:rFonts w:hint="eastAsia"/>
                <w:kern w:val="21"/>
                <w:sz w:val="24"/>
              </w:rPr>
              <w:t>10</w:t>
            </w:r>
            <w:r>
              <w:rPr>
                <w:kern w:val="21"/>
                <w:sz w:val="24"/>
              </w:rPr>
              <w:t>0升/人•日计，则项目人员耗水量为1</w:t>
            </w:r>
            <w:r>
              <w:rPr>
                <w:rFonts w:hint="eastAsia"/>
                <w:kern w:val="21"/>
                <w:sz w:val="24"/>
              </w:rPr>
              <w:t>0</w:t>
            </w:r>
            <w:r>
              <w:rPr>
                <w:kern w:val="21"/>
                <w:sz w:val="24"/>
              </w:rPr>
              <w:t>t/d，合</w:t>
            </w:r>
            <w:r>
              <w:rPr>
                <w:rFonts w:hint="eastAsia"/>
                <w:kern w:val="21"/>
                <w:sz w:val="24"/>
              </w:rPr>
              <w:t>30</w:t>
            </w:r>
            <w:r>
              <w:rPr>
                <w:kern w:val="21"/>
                <w:sz w:val="24"/>
              </w:rPr>
              <w:t>00t/a。按80%的排放系数计算，其排放量为</w:t>
            </w:r>
            <w:r>
              <w:rPr>
                <w:rFonts w:hint="eastAsia"/>
                <w:kern w:val="21"/>
                <w:sz w:val="24"/>
              </w:rPr>
              <w:t>24</w:t>
            </w:r>
            <w:r>
              <w:rPr>
                <w:kern w:val="21"/>
                <w:sz w:val="24"/>
              </w:rPr>
              <w:t>00t/a。</w:t>
            </w:r>
          </w:p>
          <w:p>
            <w:pPr>
              <w:adjustRightInd w:val="0"/>
              <w:snapToGrid w:val="0"/>
              <w:spacing w:line="360" w:lineRule="auto"/>
              <w:ind w:firstLine="480" w:firstLineChars="200"/>
              <w:jc w:val="left"/>
              <w:rPr>
                <w:kern w:val="21"/>
                <w:sz w:val="24"/>
              </w:rPr>
            </w:pPr>
            <w:r>
              <w:rPr>
                <w:kern w:val="21"/>
                <w:sz w:val="24"/>
              </w:rPr>
              <w:t>生活污水主要污染</w:t>
            </w:r>
            <w:r>
              <w:rPr>
                <w:rFonts w:hint="eastAsia"/>
                <w:kern w:val="21"/>
                <w:sz w:val="24"/>
              </w:rPr>
              <w:t>物</w:t>
            </w:r>
            <w:r>
              <w:rPr>
                <w:kern w:val="21"/>
                <w:sz w:val="24"/>
              </w:rPr>
              <w:t>为COD</w:t>
            </w:r>
            <w:r>
              <w:rPr>
                <w:kern w:val="21"/>
                <w:sz w:val="24"/>
                <w:vertAlign w:val="subscript"/>
              </w:rPr>
              <w:t>Cr</w:t>
            </w:r>
            <w:r>
              <w:rPr>
                <w:kern w:val="21"/>
                <w:sz w:val="24"/>
              </w:rPr>
              <w:t>、SS、NH</w:t>
            </w:r>
            <w:r>
              <w:rPr>
                <w:kern w:val="21"/>
                <w:sz w:val="24"/>
                <w:vertAlign w:val="subscript"/>
              </w:rPr>
              <w:t>3</w:t>
            </w:r>
            <w:r>
              <w:rPr>
                <w:kern w:val="21"/>
                <w:sz w:val="24"/>
              </w:rPr>
              <w:t>-N，其产生浓度分别为250mg/</w:t>
            </w:r>
            <w:r>
              <w:rPr>
                <w:rFonts w:hint="eastAsia"/>
                <w:kern w:val="21"/>
                <w:sz w:val="24"/>
              </w:rPr>
              <w:t>L</w:t>
            </w:r>
            <w:r>
              <w:rPr>
                <w:kern w:val="21"/>
                <w:sz w:val="24"/>
              </w:rPr>
              <w:t>、200mg/L、25mg/L。项目生活污水经化粪池处理达《污水综合排放标准》（GB8978-1996）三级标准后，排入园区污水处理厂，统一处理达到《城镇生活污水处理厂污染物排放标准》（GB18918-2002）一级B标准后排放。</w:t>
            </w:r>
          </w:p>
          <w:p>
            <w:pPr>
              <w:adjustRightInd w:val="0"/>
              <w:snapToGrid w:val="0"/>
              <w:spacing w:line="360" w:lineRule="auto"/>
              <w:ind w:firstLine="480" w:firstLineChars="200"/>
              <w:rPr>
                <w:kern w:val="21"/>
                <w:sz w:val="24"/>
              </w:rPr>
            </w:pPr>
            <w:r>
              <w:rPr>
                <w:kern w:val="21"/>
                <w:sz w:val="24"/>
              </w:rPr>
              <w:t>本项目废水产生情况汇总</w:t>
            </w:r>
            <w:r>
              <w:rPr>
                <w:rFonts w:hint="eastAsia"/>
                <w:kern w:val="21"/>
                <w:sz w:val="24"/>
              </w:rPr>
              <w:t>见表2-</w:t>
            </w:r>
            <w:r>
              <w:rPr>
                <w:kern w:val="21"/>
                <w:sz w:val="24"/>
              </w:rPr>
              <w:t>11</w:t>
            </w:r>
            <w:r>
              <w:rPr>
                <w:rFonts w:hint="eastAsia"/>
                <w:kern w:val="21"/>
                <w:sz w:val="24"/>
              </w:rPr>
              <w:t>。</w:t>
            </w: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表2-11 　全厂废水产生及排放情况表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99"/>
              <w:gridCol w:w="1042"/>
              <w:gridCol w:w="1097"/>
              <w:gridCol w:w="831"/>
              <w:gridCol w:w="1027"/>
              <w:gridCol w:w="876"/>
              <w:gridCol w:w="1014"/>
              <w:gridCol w:w="9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182" w:type="dxa"/>
                  <w:gridSpan w:val="2"/>
                  <w:vMerge w:val="restart"/>
                  <w:vAlign w:val="center"/>
                </w:tcPr>
                <w:p>
                  <w:pPr>
                    <w:adjustRightInd w:val="0"/>
                    <w:snapToGrid w:val="0"/>
                    <w:spacing w:line="400" w:lineRule="exact"/>
                    <w:jc w:val="center"/>
                    <w:rPr>
                      <w:b/>
                      <w:bCs/>
                      <w:spacing w:val="3"/>
                      <w:szCs w:val="21"/>
                    </w:rPr>
                  </w:pPr>
                  <w:r>
                    <w:rPr>
                      <w:b/>
                      <w:bCs/>
                      <w:spacing w:val="3"/>
                      <w:szCs w:val="21"/>
                    </w:rPr>
                    <w:t>名称</w:t>
                  </w:r>
                </w:p>
              </w:tc>
              <w:tc>
                <w:tcPr>
                  <w:tcW w:w="1986" w:type="dxa"/>
                  <w:gridSpan w:val="2"/>
                  <w:vAlign w:val="center"/>
                </w:tcPr>
                <w:p>
                  <w:pPr>
                    <w:adjustRightInd w:val="0"/>
                    <w:snapToGrid w:val="0"/>
                    <w:spacing w:line="400" w:lineRule="exact"/>
                    <w:jc w:val="center"/>
                    <w:rPr>
                      <w:b/>
                      <w:bCs/>
                      <w:spacing w:val="3"/>
                      <w:szCs w:val="21"/>
                    </w:rPr>
                  </w:pPr>
                  <w:r>
                    <w:rPr>
                      <w:b/>
                      <w:bCs/>
                      <w:spacing w:val="3"/>
                      <w:szCs w:val="21"/>
                    </w:rPr>
                    <w:t>产生量及产生浓度</w:t>
                  </w:r>
                </w:p>
              </w:tc>
              <w:tc>
                <w:tcPr>
                  <w:tcW w:w="1949" w:type="dxa"/>
                  <w:gridSpan w:val="2"/>
                  <w:vAlign w:val="center"/>
                </w:tcPr>
                <w:p>
                  <w:pPr>
                    <w:adjustRightInd w:val="0"/>
                    <w:snapToGrid w:val="0"/>
                    <w:spacing w:line="400" w:lineRule="exact"/>
                    <w:jc w:val="center"/>
                    <w:rPr>
                      <w:b/>
                      <w:bCs/>
                      <w:spacing w:val="3"/>
                      <w:szCs w:val="21"/>
                    </w:rPr>
                  </w:pPr>
                  <w:r>
                    <w:rPr>
                      <w:b/>
                      <w:bCs/>
                      <w:spacing w:val="3"/>
                      <w:szCs w:val="21"/>
                    </w:rPr>
                    <w:t>进污水处理厂前排放量及排放浓度</w:t>
                  </w:r>
                </w:p>
              </w:tc>
              <w:tc>
                <w:tcPr>
                  <w:tcW w:w="2056" w:type="dxa"/>
                  <w:gridSpan w:val="2"/>
                  <w:vAlign w:val="center"/>
                </w:tcPr>
                <w:p>
                  <w:pPr>
                    <w:adjustRightInd w:val="0"/>
                    <w:snapToGrid w:val="0"/>
                    <w:spacing w:line="400" w:lineRule="exact"/>
                    <w:jc w:val="center"/>
                    <w:rPr>
                      <w:b/>
                      <w:bCs/>
                      <w:spacing w:val="3"/>
                      <w:szCs w:val="21"/>
                    </w:rPr>
                  </w:pPr>
                  <w:r>
                    <w:rPr>
                      <w:b/>
                      <w:bCs/>
                      <w:spacing w:val="3"/>
                      <w:szCs w:val="21"/>
                    </w:rPr>
                    <w:t>经污水处理厂处理后排放量及排放浓度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182" w:type="dxa"/>
                  <w:gridSpan w:val="2"/>
                  <w:vMerge w:val="continue"/>
                  <w:vAlign w:val="center"/>
                </w:tcPr>
                <w:p>
                  <w:pPr>
                    <w:adjustRightInd w:val="0"/>
                    <w:snapToGrid w:val="0"/>
                    <w:spacing w:line="400" w:lineRule="exact"/>
                    <w:jc w:val="center"/>
                    <w:rPr>
                      <w:spacing w:val="3"/>
                      <w:szCs w:val="21"/>
                    </w:rPr>
                  </w:pPr>
                </w:p>
              </w:tc>
              <w:tc>
                <w:tcPr>
                  <w:tcW w:w="1133" w:type="dxa"/>
                  <w:vAlign w:val="center"/>
                </w:tcPr>
                <w:p>
                  <w:pPr>
                    <w:adjustRightInd w:val="0"/>
                    <w:snapToGrid w:val="0"/>
                    <w:spacing w:line="400" w:lineRule="exact"/>
                    <w:jc w:val="center"/>
                    <w:rPr>
                      <w:spacing w:val="3"/>
                      <w:szCs w:val="21"/>
                    </w:rPr>
                  </w:pPr>
                  <w:r>
                    <w:rPr>
                      <w:b/>
                      <w:bCs/>
                      <w:spacing w:val="3"/>
                      <w:szCs w:val="21"/>
                    </w:rPr>
                    <w:t>产生浓度</w:t>
                  </w:r>
                  <w:r>
                    <w:rPr>
                      <w:spacing w:val="3"/>
                      <w:szCs w:val="21"/>
                    </w:rPr>
                    <w:t>mg/L</w:t>
                  </w:r>
                </w:p>
              </w:tc>
              <w:tc>
                <w:tcPr>
                  <w:tcW w:w="853" w:type="dxa"/>
                  <w:vAlign w:val="center"/>
                </w:tcPr>
                <w:p>
                  <w:pPr>
                    <w:adjustRightInd w:val="0"/>
                    <w:snapToGrid w:val="0"/>
                    <w:spacing w:line="400" w:lineRule="exact"/>
                    <w:jc w:val="center"/>
                    <w:rPr>
                      <w:spacing w:val="3"/>
                      <w:szCs w:val="21"/>
                    </w:rPr>
                  </w:pPr>
                  <w:r>
                    <w:rPr>
                      <w:b/>
                      <w:bCs/>
                      <w:spacing w:val="3"/>
                      <w:szCs w:val="21"/>
                    </w:rPr>
                    <w:t>产生量t/a</w:t>
                  </w:r>
                </w:p>
              </w:tc>
              <w:tc>
                <w:tcPr>
                  <w:tcW w:w="1057" w:type="dxa"/>
                  <w:vAlign w:val="center"/>
                </w:tcPr>
                <w:p>
                  <w:pPr>
                    <w:adjustRightInd w:val="0"/>
                    <w:snapToGrid w:val="0"/>
                    <w:spacing w:line="400" w:lineRule="exact"/>
                    <w:jc w:val="center"/>
                    <w:rPr>
                      <w:spacing w:val="3"/>
                      <w:szCs w:val="21"/>
                    </w:rPr>
                  </w:pPr>
                  <w:r>
                    <w:rPr>
                      <w:b/>
                      <w:bCs/>
                      <w:spacing w:val="3"/>
                      <w:szCs w:val="21"/>
                    </w:rPr>
                    <w:t>排放浓度</w:t>
                  </w:r>
                  <w:r>
                    <w:rPr>
                      <w:spacing w:val="3"/>
                      <w:szCs w:val="21"/>
                    </w:rPr>
                    <w:t>mg/L</w:t>
                  </w:r>
                </w:p>
              </w:tc>
              <w:tc>
                <w:tcPr>
                  <w:tcW w:w="892" w:type="dxa"/>
                  <w:vAlign w:val="center"/>
                </w:tcPr>
                <w:p>
                  <w:pPr>
                    <w:adjustRightInd w:val="0"/>
                    <w:snapToGrid w:val="0"/>
                    <w:spacing w:line="400" w:lineRule="exact"/>
                    <w:jc w:val="center"/>
                    <w:rPr>
                      <w:spacing w:val="3"/>
                      <w:szCs w:val="21"/>
                    </w:rPr>
                  </w:pPr>
                  <w:r>
                    <w:rPr>
                      <w:b/>
                      <w:bCs/>
                      <w:spacing w:val="3"/>
                      <w:szCs w:val="21"/>
                    </w:rPr>
                    <w:t>排放量t/a</w:t>
                  </w:r>
                </w:p>
              </w:tc>
              <w:tc>
                <w:tcPr>
                  <w:tcW w:w="1043" w:type="dxa"/>
                  <w:vAlign w:val="center"/>
                </w:tcPr>
                <w:p>
                  <w:pPr>
                    <w:adjustRightInd w:val="0"/>
                    <w:snapToGrid w:val="0"/>
                    <w:spacing w:line="400" w:lineRule="exact"/>
                    <w:jc w:val="center"/>
                    <w:rPr>
                      <w:spacing w:val="3"/>
                      <w:szCs w:val="21"/>
                    </w:rPr>
                  </w:pPr>
                  <w:r>
                    <w:rPr>
                      <w:b/>
                      <w:bCs/>
                      <w:spacing w:val="3"/>
                      <w:szCs w:val="21"/>
                    </w:rPr>
                    <w:t>排放浓度</w:t>
                  </w:r>
                  <w:r>
                    <w:rPr>
                      <w:spacing w:val="3"/>
                      <w:szCs w:val="21"/>
                    </w:rPr>
                    <w:t>mg/L</w:t>
                  </w:r>
                </w:p>
              </w:tc>
              <w:tc>
                <w:tcPr>
                  <w:tcW w:w="1013" w:type="dxa"/>
                  <w:vAlign w:val="center"/>
                </w:tcPr>
                <w:p>
                  <w:pPr>
                    <w:adjustRightInd w:val="0"/>
                    <w:snapToGrid w:val="0"/>
                    <w:spacing w:line="400" w:lineRule="exact"/>
                    <w:jc w:val="center"/>
                    <w:rPr>
                      <w:spacing w:val="3"/>
                      <w:szCs w:val="21"/>
                    </w:rPr>
                  </w:pPr>
                  <w:r>
                    <w:rPr>
                      <w:b/>
                      <w:bCs/>
                      <w:spacing w:val="3"/>
                      <w:szCs w:val="21"/>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21" w:type="dxa"/>
                  <w:vMerge w:val="restart"/>
                  <w:vAlign w:val="center"/>
                </w:tcPr>
                <w:p>
                  <w:pPr>
                    <w:adjustRightInd w:val="0"/>
                    <w:snapToGrid w:val="0"/>
                    <w:spacing w:line="400" w:lineRule="exact"/>
                    <w:jc w:val="center"/>
                    <w:rPr>
                      <w:spacing w:val="3"/>
                      <w:szCs w:val="21"/>
                    </w:rPr>
                  </w:pPr>
                  <w:r>
                    <w:rPr>
                      <w:spacing w:val="3"/>
                      <w:szCs w:val="21"/>
                    </w:rPr>
                    <w:t>生活污水（2400t/a）</w:t>
                  </w:r>
                </w:p>
              </w:tc>
              <w:tc>
                <w:tcPr>
                  <w:tcW w:w="1061" w:type="dxa"/>
                  <w:vAlign w:val="center"/>
                </w:tcPr>
                <w:p>
                  <w:pPr>
                    <w:adjustRightInd w:val="0"/>
                    <w:snapToGrid w:val="0"/>
                    <w:spacing w:line="400" w:lineRule="exact"/>
                    <w:jc w:val="center"/>
                    <w:rPr>
                      <w:spacing w:val="3"/>
                      <w:szCs w:val="21"/>
                    </w:rPr>
                  </w:pPr>
                  <w:r>
                    <w:rPr>
                      <w:spacing w:val="3"/>
                      <w:szCs w:val="21"/>
                    </w:rPr>
                    <w:t>COD</w:t>
                  </w:r>
                </w:p>
              </w:tc>
              <w:tc>
                <w:tcPr>
                  <w:tcW w:w="1133" w:type="dxa"/>
                  <w:vAlign w:val="center"/>
                </w:tcPr>
                <w:p>
                  <w:pPr>
                    <w:jc w:val="center"/>
                    <w:rPr>
                      <w:szCs w:val="21"/>
                    </w:rPr>
                  </w:pPr>
                  <w:r>
                    <w:rPr>
                      <w:szCs w:val="21"/>
                    </w:rPr>
                    <w:t>250</w:t>
                  </w:r>
                </w:p>
              </w:tc>
              <w:tc>
                <w:tcPr>
                  <w:tcW w:w="853" w:type="dxa"/>
                  <w:vAlign w:val="center"/>
                </w:tcPr>
                <w:p>
                  <w:pPr>
                    <w:jc w:val="center"/>
                    <w:rPr>
                      <w:szCs w:val="21"/>
                    </w:rPr>
                  </w:pPr>
                  <w:r>
                    <w:rPr>
                      <w:szCs w:val="21"/>
                    </w:rPr>
                    <w:t>0.6</w:t>
                  </w:r>
                </w:p>
              </w:tc>
              <w:tc>
                <w:tcPr>
                  <w:tcW w:w="1057" w:type="dxa"/>
                  <w:vAlign w:val="center"/>
                </w:tcPr>
                <w:p>
                  <w:pPr>
                    <w:jc w:val="center"/>
                    <w:rPr>
                      <w:szCs w:val="21"/>
                    </w:rPr>
                  </w:pPr>
                  <w:r>
                    <w:rPr>
                      <w:szCs w:val="21"/>
                    </w:rPr>
                    <w:t>200</w:t>
                  </w:r>
                </w:p>
              </w:tc>
              <w:tc>
                <w:tcPr>
                  <w:tcW w:w="892" w:type="dxa"/>
                  <w:vAlign w:val="center"/>
                </w:tcPr>
                <w:p>
                  <w:pPr>
                    <w:jc w:val="center"/>
                    <w:rPr>
                      <w:szCs w:val="21"/>
                    </w:rPr>
                  </w:pPr>
                  <w:r>
                    <w:rPr>
                      <w:szCs w:val="21"/>
                    </w:rPr>
                    <w:t>0.48</w:t>
                  </w:r>
                </w:p>
              </w:tc>
              <w:tc>
                <w:tcPr>
                  <w:tcW w:w="1043" w:type="dxa"/>
                  <w:vAlign w:val="center"/>
                </w:tcPr>
                <w:p>
                  <w:pPr>
                    <w:jc w:val="center"/>
                    <w:rPr>
                      <w:szCs w:val="21"/>
                    </w:rPr>
                  </w:pPr>
                  <w:r>
                    <w:rPr>
                      <w:szCs w:val="21"/>
                    </w:rPr>
                    <w:t>60</w:t>
                  </w:r>
                </w:p>
              </w:tc>
              <w:tc>
                <w:tcPr>
                  <w:tcW w:w="1013" w:type="dxa"/>
                  <w:vAlign w:val="center"/>
                </w:tcPr>
                <w:p>
                  <w:pPr>
                    <w:jc w:val="center"/>
                    <w:rPr>
                      <w:szCs w:val="21"/>
                    </w:rPr>
                  </w:pPr>
                  <w:r>
                    <w:rPr>
                      <w:szCs w:val="21"/>
                    </w:rPr>
                    <w:t>0.144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21" w:type="dxa"/>
                  <w:vMerge w:val="continue"/>
                  <w:vAlign w:val="center"/>
                </w:tcPr>
                <w:p>
                  <w:pPr>
                    <w:adjustRightInd w:val="0"/>
                    <w:snapToGrid w:val="0"/>
                    <w:spacing w:line="400" w:lineRule="exact"/>
                    <w:jc w:val="center"/>
                    <w:rPr>
                      <w:spacing w:val="3"/>
                      <w:szCs w:val="21"/>
                    </w:rPr>
                  </w:pPr>
                </w:p>
              </w:tc>
              <w:tc>
                <w:tcPr>
                  <w:tcW w:w="1061" w:type="dxa"/>
                  <w:vAlign w:val="center"/>
                </w:tcPr>
                <w:p>
                  <w:pPr>
                    <w:adjustRightInd w:val="0"/>
                    <w:snapToGrid w:val="0"/>
                    <w:spacing w:line="400" w:lineRule="exact"/>
                    <w:jc w:val="center"/>
                    <w:rPr>
                      <w:spacing w:val="3"/>
                      <w:szCs w:val="21"/>
                    </w:rPr>
                  </w:pPr>
                  <w:r>
                    <w:rPr>
                      <w:spacing w:val="3"/>
                      <w:szCs w:val="21"/>
                    </w:rPr>
                    <w:t>SS</w:t>
                  </w:r>
                </w:p>
              </w:tc>
              <w:tc>
                <w:tcPr>
                  <w:tcW w:w="1133" w:type="dxa"/>
                  <w:vAlign w:val="center"/>
                </w:tcPr>
                <w:p>
                  <w:pPr>
                    <w:jc w:val="center"/>
                    <w:rPr>
                      <w:szCs w:val="21"/>
                    </w:rPr>
                  </w:pPr>
                  <w:r>
                    <w:rPr>
                      <w:szCs w:val="21"/>
                    </w:rPr>
                    <w:t>200</w:t>
                  </w:r>
                </w:p>
              </w:tc>
              <w:tc>
                <w:tcPr>
                  <w:tcW w:w="853" w:type="dxa"/>
                  <w:vAlign w:val="center"/>
                </w:tcPr>
                <w:p>
                  <w:pPr>
                    <w:jc w:val="center"/>
                    <w:rPr>
                      <w:szCs w:val="21"/>
                    </w:rPr>
                  </w:pPr>
                  <w:r>
                    <w:rPr>
                      <w:szCs w:val="21"/>
                    </w:rPr>
                    <w:t>0.48</w:t>
                  </w:r>
                </w:p>
              </w:tc>
              <w:tc>
                <w:tcPr>
                  <w:tcW w:w="1057" w:type="dxa"/>
                  <w:vAlign w:val="center"/>
                </w:tcPr>
                <w:p>
                  <w:pPr>
                    <w:jc w:val="center"/>
                    <w:rPr>
                      <w:szCs w:val="21"/>
                    </w:rPr>
                  </w:pPr>
                  <w:r>
                    <w:rPr>
                      <w:szCs w:val="21"/>
                    </w:rPr>
                    <w:t>140</w:t>
                  </w:r>
                </w:p>
              </w:tc>
              <w:tc>
                <w:tcPr>
                  <w:tcW w:w="892" w:type="dxa"/>
                  <w:vAlign w:val="center"/>
                </w:tcPr>
                <w:p>
                  <w:pPr>
                    <w:jc w:val="center"/>
                    <w:rPr>
                      <w:szCs w:val="21"/>
                    </w:rPr>
                  </w:pPr>
                  <w:r>
                    <w:rPr>
                      <w:szCs w:val="21"/>
                    </w:rPr>
                    <w:t>0.336</w:t>
                  </w:r>
                </w:p>
              </w:tc>
              <w:tc>
                <w:tcPr>
                  <w:tcW w:w="1043" w:type="dxa"/>
                  <w:vAlign w:val="center"/>
                </w:tcPr>
                <w:p>
                  <w:pPr>
                    <w:jc w:val="center"/>
                    <w:rPr>
                      <w:szCs w:val="21"/>
                    </w:rPr>
                  </w:pPr>
                  <w:r>
                    <w:rPr>
                      <w:szCs w:val="21"/>
                    </w:rPr>
                    <w:t>20</w:t>
                  </w:r>
                </w:p>
              </w:tc>
              <w:tc>
                <w:tcPr>
                  <w:tcW w:w="1013" w:type="dxa"/>
                  <w:vAlign w:val="center"/>
                </w:tcPr>
                <w:p>
                  <w:pPr>
                    <w:jc w:val="center"/>
                    <w:rPr>
                      <w:szCs w:val="21"/>
                    </w:rPr>
                  </w:pPr>
                  <w:r>
                    <w:rPr>
                      <w:szCs w:val="21"/>
                    </w:rPr>
                    <w:t>0.048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21" w:type="dxa"/>
                  <w:vMerge w:val="continue"/>
                  <w:vAlign w:val="center"/>
                </w:tcPr>
                <w:p>
                  <w:pPr>
                    <w:adjustRightInd w:val="0"/>
                    <w:snapToGrid w:val="0"/>
                    <w:spacing w:line="400" w:lineRule="exact"/>
                    <w:jc w:val="center"/>
                    <w:rPr>
                      <w:spacing w:val="3"/>
                      <w:szCs w:val="21"/>
                    </w:rPr>
                  </w:pPr>
                </w:p>
              </w:tc>
              <w:tc>
                <w:tcPr>
                  <w:tcW w:w="1061" w:type="dxa"/>
                  <w:vAlign w:val="center"/>
                </w:tcPr>
                <w:p>
                  <w:pPr>
                    <w:adjustRightInd w:val="0"/>
                    <w:snapToGrid w:val="0"/>
                    <w:spacing w:line="400" w:lineRule="exact"/>
                    <w:jc w:val="center"/>
                    <w:rPr>
                      <w:spacing w:val="3"/>
                      <w:szCs w:val="21"/>
                    </w:rPr>
                  </w:pPr>
                  <w:r>
                    <w:rPr>
                      <w:spacing w:val="3"/>
                      <w:szCs w:val="21"/>
                    </w:rPr>
                    <w:t>NH</w:t>
                  </w:r>
                  <w:r>
                    <w:rPr>
                      <w:spacing w:val="3"/>
                      <w:szCs w:val="21"/>
                      <w:vertAlign w:val="subscript"/>
                    </w:rPr>
                    <w:t>3</w:t>
                  </w:r>
                  <w:r>
                    <w:rPr>
                      <w:spacing w:val="3"/>
                      <w:szCs w:val="21"/>
                    </w:rPr>
                    <w:t>-N</w:t>
                  </w:r>
                </w:p>
              </w:tc>
              <w:tc>
                <w:tcPr>
                  <w:tcW w:w="1133" w:type="dxa"/>
                  <w:vAlign w:val="center"/>
                </w:tcPr>
                <w:p>
                  <w:pPr>
                    <w:jc w:val="center"/>
                    <w:rPr>
                      <w:szCs w:val="21"/>
                    </w:rPr>
                  </w:pPr>
                  <w:r>
                    <w:rPr>
                      <w:szCs w:val="21"/>
                    </w:rPr>
                    <w:t>25</w:t>
                  </w:r>
                </w:p>
              </w:tc>
              <w:tc>
                <w:tcPr>
                  <w:tcW w:w="853" w:type="dxa"/>
                  <w:vAlign w:val="center"/>
                </w:tcPr>
                <w:p>
                  <w:pPr>
                    <w:jc w:val="center"/>
                    <w:rPr>
                      <w:szCs w:val="21"/>
                    </w:rPr>
                  </w:pPr>
                  <w:r>
                    <w:rPr>
                      <w:szCs w:val="21"/>
                    </w:rPr>
                    <w:t>0.06</w:t>
                  </w:r>
                </w:p>
              </w:tc>
              <w:tc>
                <w:tcPr>
                  <w:tcW w:w="1057" w:type="dxa"/>
                  <w:vAlign w:val="center"/>
                </w:tcPr>
                <w:p>
                  <w:pPr>
                    <w:jc w:val="center"/>
                    <w:rPr>
                      <w:szCs w:val="21"/>
                    </w:rPr>
                  </w:pPr>
                  <w:r>
                    <w:rPr>
                      <w:szCs w:val="21"/>
                    </w:rPr>
                    <w:t>25</w:t>
                  </w:r>
                </w:p>
              </w:tc>
              <w:tc>
                <w:tcPr>
                  <w:tcW w:w="892" w:type="dxa"/>
                  <w:vAlign w:val="center"/>
                </w:tcPr>
                <w:p>
                  <w:pPr>
                    <w:jc w:val="center"/>
                    <w:rPr>
                      <w:szCs w:val="21"/>
                    </w:rPr>
                  </w:pPr>
                  <w:r>
                    <w:rPr>
                      <w:szCs w:val="21"/>
                    </w:rPr>
                    <w:t>0.06</w:t>
                  </w:r>
                </w:p>
              </w:tc>
              <w:tc>
                <w:tcPr>
                  <w:tcW w:w="1043" w:type="dxa"/>
                  <w:vAlign w:val="center"/>
                </w:tcPr>
                <w:p>
                  <w:pPr>
                    <w:jc w:val="center"/>
                    <w:rPr>
                      <w:szCs w:val="21"/>
                    </w:rPr>
                  </w:pPr>
                  <w:r>
                    <w:rPr>
                      <w:szCs w:val="21"/>
                    </w:rPr>
                    <w:t>8</w:t>
                  </w:r>
                </w:p>
              </w:tc>
              <w:tc>
                <w:tcPr>
                  <w:tcW w:w="1013" w:type="dxa"/>
                  <w:vAlign w:val="center"/>
                </w:tcPr>
                <w:p>
                  <w:pPr>
                    <w:jc w:val="center"/>
                    <w:rPr>
                      <w:szCs w:val="21"/>
                    </w:rPr>
                  </w:pPr>
                  <w:r>
                    <w:rPr>
                      <w:szCs w:val="21"/>
                    </w:rPr>
                    <w:t>0.019</w:t>
                  </w:r>
                </w:p>
              </w:tc>
            </w:tr>
          </w:tbl>
          <w:p>
            <w:pPr>
              <w:pStyle w:val="48"/>
              <w:ind w:firstLine="480"/>
            </w:pPr>
            <w:r>
              <w:rPr>
                <w:rFonts w:hint="eastAsia"/>
              </w:rPr>
              <w:t>2）废气</w:t>
            </w:r>
          </w:p>
          <w:p>
            <w:pPr>
              <w:snapToGrid w:val="0"/>
              <w:spacing w:line="360" w:lineRule="auto"/>
              <w:ind w:firstLine="480" w:firstLineChars="200"/>
              <w:rPr>
                <w:rFonts w:hint="eastAsia" w:eastAsia="宋体"/>
                <w:sz w:val="24"/>
                <w:lang w:val="en-US" w:eastAsia="zh-CN"/>
              </w:rPr>
            </w:pPr>
            <w:r>
              <w:rPr>
                <w:sz w:val="24"/>
              </w:rPr>
              <w:t>有组织废气</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sz w:val="24"/>
              </w:rPr>
              <w:t>压合工序</w:t>
            </w:r>
            <w:r>
              <w:rPr>
                <w:sz w:val="24"/>
              </w:rPr>
              <w:t>有机废气</w:t>
            </w:r>
          </w:p>
          <w:p>
            <w:pPr>
              <w:spacing w:line="360" w:lineRule="auto"/>
              <w:ind w:firstLine="480" w:firstLineChars="200"/>
              <w:rPr>
                <w:sz w:val="24"/>
              </w:rPr>
            </w:pPr>
            <w:r>
              <w:rPr>
                <w:sz w:val="24"/>
              </w:rPr>
              <w:t>本项目</w:t>
            </w:r>
            <w:r>
              <w:rPr>
                <w:rFonts w:hint="eastAsia"/>
                <w:sz w:val="24"/>
              </w:rPr>
              <w:t>压合工序使用少量的白乳胶对木材进行粘合，</w:t>
            </w:r>
            <w:r>
              <w:rPr>
                <w:sz w:val="24"/>
              </w:rPr>
              <w:t>会产生</w:t>
            </w:r>
            <w:r>
              <w:rPr>
                <w:rFonts w:hint="eastAsia"/>
                <w:sz w:val="24"/>
              </w:rPr>
              <w:t>少量</w:t>
            </w:r>
            <w:r>
              <w:rPr>
                <w:sz w:val="24"/>
              </w:rPr>
              <w:t>有机废气，主要污染物为</w:t>
            </w:r>
            <w:r>
              <w:rPr>
                <w:rFonts w:hint="eastAsia"/>
                <w:sz w:val="24"/>
              </w:rPr>
              <w:t>TVOC。根据类比，有机废气挥发量按原料总量的5%计，项目白乳胶用量为500 kg/a，则TVOC产生量为25 kg/a。</w:t>
            </w:r>
          </w:p>
          <w:p>
            <w:pPr>
              <w:spacing w:line="360" w:lineRule="auto"/>
              <w:ind w:firstLine="480" w:firstLineChars="200"/>
              <w:rPr>
                <w:sz w:val="24"/>
              </w:rPr>
            </w:pPr>
            <w:r>
              <w:rPr>
                <w:rFonts w:hint="eastAsia" w:ascii="宋体" w:hAnsi="宋体" w:cs="宋体"/>
                <w:sz w:val="24"/>
              </w:rPr>
              <w:t>②</w:t>
            </w:r>
            <w:r>
              <w:rPr>
                <w:rFonts w:hint="eastAsia"/>
                <w:sz w:val="24"/>
              </w:rPr>
              <w:t>UV滚涂工序</w:t>
            </w:r>
            <w:r>
              <w:rPr>
                <w:sz w:val="24"/>
              </w:rPr>
              <w:t>有机废气</w:t>
            </w:r>
          </w:p>
          <w:p>
            <w:pPr>
              <w:spacing w:line="360" w:lineRule="auto"/>
              <w:ind w:firstLine="480" w:firstLineChars="200"/>
              <w:rPr>
                <w:color w:val="FF0000"/>
                <w:sz w:val="24"/>
              </w:rPr>
            </w:pPr>
            <w:r>
              <w:rPr>
                <w:rFonts w:hint="eastAsia"/>
                <w:sz w:val="24"/>
              </w:rPr>
              <w:t>采用</w:t>
            </w:r>
            <w:r>
              <w:rPr>
                <w:sz w:val="24"/>
              </w:rPr>
              <w:t>UV滚涂</w:t>
            </w:r>
            <w:r>
              <w:rPr>
                <w:rFonts w:hint="eastAsia"/>
                <w:sz w:val="24"/>
              </w:rPr>
              <w:t>机</w:t>
            </w:r>
            <w:r>
              <w:rPr>
                <w:sz w:val="24"/>
              </w:rPr>
              <w:t>滚涂UV油漆</w:t>
            </w:r>
            <w:r>
              <w:rPr>
                <w:rFonts w:hint="eastAsia"/>
                <w:sz w:val="24"/>
              </w:rPr>
              <w:t>、P</w:t>
            </w:r>
            <w:r>
              <w:rPr>
                <w:rFonts w:hint="eastAsia"/>
                <w:sz w:val="24"/>
                <w:lang w:val="en-US" w:eastAsia="zh-CN"/>
              </w:rPr>
              <w:t>U</w:t>
            </w:r>
            <w:r>
              <w:rPr>
                <w:rFonts w:hint="eastAsia"/>
                <w:sz w:val="24"/>
              </w:rPr>
              <w:t>漆过程中会产生有机废气，主要污染物为TVOC、二甲苯等，</w:t>
            </w:r>
            <w:r>
              <w:rPr>
                <w:sz w:val="24"/>
              </w:rPr>
              <w:t>按环评最不利原则，溶剂在滚涂过程中全部挥发计算。UV油漆</w:t>
            </w:r>
            <w:r>
              <w:rPr>
                <w:rFonts w:hint="eastAsia"/>
                <w:sz w:val="24"/>
              </w:rPr>
              <w:t>固化量95%，溶剂按5%计算，则TVOC产生量为0.1t/a；P</w:t>
            </w:r>
            <w:r>
              <w:rPr>
                <w:rFonts w:hint="eastAsia"/>
                <w:sz w:val="24"/>
                <w:lang w:val="en-US" w:eastAsia="zh-CN"/>
              </w:rPr>
              <w:t>U</w:t>
            </w:r>
            <w:r>
              <w:rPr>
                <w:rFonts w:hint="eastAsia"/>
                <w:sz w:val="24"/>
              </w:rPr>
              <w:t>漆</w:t>
            </w:r>
            <w:r>
              <w:rPr>
                <w:rFonts w:hint="eastAsia"/>
                <w:kern w:val="0"/>
                <w:sz w:val="24"/>
              </w:rPr>
              <w:t>有机溶剂占15%（绝大部分为乙酸乙酯，二甲苯约占5%），则</w:t>
            </w:r>
            <w:r>
              <w:rPr>
                <w:rFonts w:hint="eastAsia"/>
                <w:sz w:val="24"/>
              </w:rPr>
              <w:t>TVOC产生量为0.2t/a，二甲苯产生量为0.1 t/a；原料中溶剂量按</w:t>
            </w:r>
            <w:r>
              <w:rPr>
                <w:sz w:val="24"/>
              </w:rPr>
              <w:t>全部挥发计算</w:t>
            </w:r>
            <w:r>
              <w:rPr>
                <w:rFonts w:hint="eastAsia"/>
                <w:sz w:val="24"/>
              </w:rPr>
              <w:t>，则TVOC产生量0.9t/a，二甲苯产生量为0.1 t/a。合计TVOC产生量1.2t/a，二甲苯产生量为0.2t/a。</w:t>
            </w:r>
          </w:p>
          <w:p>
            <w:pPr>
              <w:spacing w:line="360" w:lineRule="auto"/>
              <w:ind w:firstLine="480" w:firstLineChars="200"/>
              <w:rPr>
                <w:sz w:val="24"/>
              </w:rPr>
            </w:pPr>
            <w:r>
              <w:rPr>
                <w:rFonts w:hint="eastAsia" w:ascii="宋体" w:hAnsi="宋体" w:cs="宋体"/>
                <w:sz w:val="24"/>
              </w:rPr>
              <w:t>③</w:t>
            </w:r>
            <w:r>
              <w:rPr>
                <w:rFonts w:hint="eastAsia"/>
                <w:sz w:val="24"/>
              </w:rPr>
              <w:t>丝印</w:t>
            </w:r>
            <w:r>
              <w:rPr>
                <w:sz w:val="24"/>
              </w:rPr>
              <w:t>工</w:t>
            </w:r>
            <w:r>
              <w:rPr>
                <w:rFonts w:hint="eastAsia"/>
                <w:sz w:val="24"/>
              </w:rPr>
              <w:t>序</w:t>
            </w:r>
            <w:r>
              <w:rPr>
                <w:sz w:val="24"/>
              </w:rPr>
              <w:t>有机废气</w:t>
            </w:r>
          </w:p>
          <w:p>
            <w:pPr>
              <w:spacing w:line="360" w:lineRule="auto"/>
              <w:ind w:firstLine="480" w:firstLineChars="200"/>
              <w:rPr>
                <w:sz w:val="24"/>
              </w:rPr>
            </w:pPr>
            <w:r>
              <w:rPr>
                <w:sz w:val="24"/>
              </w:rPr>
              <w:t>项目</w:t>
            </w:r>
            <w:r>
              <w:rPr>
                <w:rFonts w:hint="eastAsia"/>
                <w:sz w:val="24"/>
              </w:rPr>
              <w:t>丝印</w:t>
            </w:r>
            <w:r>
              <w:rPr>
                <w:sz w:val="24"/>
              </w:rPr>
              <w:t>工</w:t>
            </w:r>
            <w:r>
              <w:rPr>
                <w:rFonts w:hint="eastAsia"/>
                <w:sz w:val="24"/>
              </w:rPr>
              <w:t>序</w:t>
            </w:r>
            <w:r>
              <w:rPr>
                <w:sz w:val="24"/>
              </w:rPr>
              <w:t>使用</w:t>
            </w:r>
            <w:r>
              <w:rPr>
                <w:rFonts w:hint="eastAsia"/>
                <w:sz w:val="24"/>
              </w:rPr>
              <w:t>油墨在板材上印刷所需要的品牌标识或文字，</w:t>
            </w:r>
            <w:r>
              <w:rPr>
                <w:sz w:val="24"/>
              </w:rPr>
              <w:t>主要污染物为乙醇、丙烯等挥发生有机物（</w:t>
            </w:r>
            <w:r>
              <w:rPr>
                <w:rFonts w:hint="eastAsia"/>
                <w:sz w:val="24"/>
              </w:rPr>
              <w:t>TVOC</w:t>
            </w:r>
            <w:r>
              <w:rPr>
                <w:sz w:val="24"/>
              </w:rPr>
              <w:t>），</w:t>
            </w:r>
            <w:r>
              <w:rPr>
                <w:rFonts w:hint="eastAsia"/>
                <w:sz w:val="24"/>
              </w:rPr>
              <w:t>参考广东省《</w:t>
            </w:r>
            <w:r>
              <w:rPr>
                <w:sz w:val="24"/>
              </w:rPr>
              <w:t xml:space="preserve"> </w:t>
            </w:r>
            <w:r>
              <w:rPr>
                <w:rFonts w:hint="eastAsia"/>
                <w:sz w:val="24"/>
              </w:rPr>
              <w:t>印刷行业挥发性有机化合物排放标准》</w:t>
            </w:r>
            <w:r>
              <w:rPr>
                <w:sz w:val="24"/>
              </w:rPr>
              <w:t>（ DB44/ 815-2010）</w:t>
            </w:r>
            <w:r>
              <w:rPr>
                <w:rFonts w:hint="eastAsia"/>
                <w:sz w:val="24"/>
              </w:rPr>
              <w:t>中关于油墨挥发率计算，产生量按油墨量的5%计算，项目油墨用量为100kg/a，则TVOC产生量为5 kg/a。</w:t>
            </w:r>
          </w:p>
          <w:p>
            <w:pPr>
              <w:spacing w:line="360" w:lineRule="auto"/>
              <w:ind w:firstLine="480" w:firstLineChars="200"/>
              <w:rPr>
                <w:sz w:val="24"/>
              </w:rPr>
            </w:pPr>
            <w:r>
              <w:rPr>
                <w:rFonts w:hint="eastAsia"/>
                <w:sz w:val="24"/>
              </w:rPr>
              <w:t>压合工序、UV滚涂工序、丝印</w:t>
            </w:r>
            <w:r>
              <w:rPr>
                <w:sz w:val="24"/>
              </w:rPr>
              <w:t>工</w:t>
            </w:r>
            <w:r>
              <w:rPr>
                <w:rFonts w:hint="eastAsia"/>
                <w:sz w:val="24"/>
              </w:rPr>
              <w:t>序产生的</w:t>
            </w:r>
            <w:r>
              <w:rPr>
                <w:sz w:val="24"/>
              </w:rPr>
              <w:t>有机废气</w:t>
            </w:r>
            <w:r>
              <w:rPr>
                <w:rFonts w:hint="eastAsia"/>
                <w:sz w:val="24"/>
              </w:rPr>
              <w:t>，</w:t>
            </w:r>
            <w:r>
              <w:rPr>
                <w:sz w:val="24"/>
              </w:rPr>
              <w:t>采用活性炭吸附装置吸附处理，处理效率</w:t>
            </w:r>
            <w:r>
              <w:rPr>
                <w:color w:val="FF0000"/>
                <w:sz w:val="24"/>
              </w:rPr>
              <w:t>90%</w:t>
            </w:r>
            <w:r>
              <w:rPr>
                <w:sz w:val="24"/>
              </w:rPr>
              <w:t>，经处理后的尾气</w:t>
            </w:r>
            <w:r>
              <w:rPr>
                <w:rFonts w:hint="eastAsia"/>
                <w:sz w:val="24"/>
              </w:rPr>
              <w:t>合并</w:t>
            </w:r>
            <w:r>
              <w:rPr>
                <w:sz w:val="24"/>
              </w:rPr>
              <w:t>经1根15m高排气筒（</w:t>
            </w:r>
            <w:r>
              <w:rPr>
                <w:rFonts w:hint="eastAsia"/>
                <w:sz w:val="24"/>
              </w:rPr>
              <w:t>1</w:t>
            </w:r>
            <w:r>
              <w:rPr>
                <w:sz w:val="24"/>
              </w:rPr>
              <w:t>#排气筒）排放，废气排放浓度及排放速率满足</w:t>
            </w:r>
            <w:r>
              <w:rPr>
                <w:kern w:val="0"/>
                <w:sz w:val="24"/>
              </w:rPr>
              <w:t>《工业企业挥发性有机物排放控制标准》（DB12/524-2014）表2</w:t>
            </w:r>
            <w:r>
              <w:rPr>
                <w:kern w:val="0"/>
                <w:sz w:val="24"/>
                <w:szCs w:val="20"/>
              </w:rPr>
              <w:t>中二级标准</w:t>
            </w:r>
            <w:r>
              <w:rPr>
                <w:rFonts w:hint="eastAsia"/>
                <w:kern w:val="0"/>
                <w:sz w:val="24"/>
                <w:szCs w:val="20"/>
              </w:rPr>
              <w:t>要求</w:t>
            </w:r>
            <w:r>
              <w:rPr>
                <w:kern w:val="0"/>
                <w:sz w:val="24"/>
                <w:szCs w:val="20"/>
              </w:rPr>
              <w:t>。</w:t>
            </w:r>
          </w:p>
          <w:p>
            <w:pPr>
              <w:spacing w:line="360" w:lineRule="auto"/>
              <w:ind w:firstLine="480" w:firstLineChars="200"/>
              <w:rPr>
                <w:color w:val="0000FF"/>
                <w:sz w:val="24"/>
              </w:rPr>
            </w:pPr>
            <w:r>
              <w:rPr>
                <w:color w:val="0000FF"/>
                <w:sz w:val="24"/>
              </w:rPr>
              <w:t>有机废气产生与排放情况见表</w:t>
            </w:r>
            <w:r>
              <w:rPr>
                <w:rFonts w:hint="eastAsia"/>
                <w:color w:val="0000FF"/>
                <w:sz w:val="24"/>
              </w:rPr>
              <w:t>2-</w:t>
            </w:r>
            <w:r>
              <w:rPr>
                <w:color w:val="0000FF"/>
                <w:sz w:val="24"/>
              </w:rPr>
              <w:t>12。</w:t>
            </w:r>
          </w:p>
          <w:p>
            <w:pPr>
              <w:autoSpaceDE w:val="0"/>
              <w:autoSpaceDN w:val="0"/>
              <w:adjustRightInd w:val="0"/>
              <w:snapToGrid w:val="0"/>
              <w:spacing w:before="120" w:beforeLines="50"/>
              <w:jc w:val="center"/>
              <w:rPr>
                <w:rFonts w:eastAsia="黑体"/>
                <w:color w:val="0000FF"/>
                <w:kern w:val="0"/>
                <w:sz w:val="24"/>
              </w:rPr>
            </w:pPr>
            <w:r>
              <w:rPr>
                <w:rFonts w:hint="eastAsia" w:eastAsia="黑体"/>
                <w:color w:val="0000FF"/>
                <w:kern w:val="0"/>
                <w:sz w:val="24"/>
              </w:rPr>
              <w:t>表2-12　有机废气产生与排放情况</w:t>
            </w:r>
          </w:p>
          <w:tbl>
            <w:tblPr>
              <w:tblStyle w:val="33"/>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933"/>
              <w:gridCol w:w="1154"/>
              <w:gridCol w:w="1368"/>
              <w:gridCol w:w="1023"/>
              <w:gridCol w:w="136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adjustRightInd w:val="0"/>
                    <w:snapToGrid w:val="0"/>
                    <w:spacing w:line="400" w:lineRule="exact"/>
                    <w:jc w:val="center"/>
                    <w:rPr>
                      <w:color w:val="0000FF"/>
                      <w:spacing w:val="3"/>
                      <w:szCs w:val="21"/>
                    </w:rPr>
                  </w:pPr>
                  <w:r>
                    <w:rPr>
                      <w:color w:val="0000FF"/>
                      <w:spacing w:val="3"/>
                      <w:szCs w:val="21"/>
                    </w:rPr>
                    <w:t>项目</w:t>
                  </w:r>
                </w:p>
              </w:tc>
              <w:tc>
                <w:tcPr>
                  <w:tcW w:w="992" w:type="dxa"/>
                  <w:vMerge w:val="restart"/>
                  <w:vAlign w:val="center"/>
                </w:tcPr>
                <w:p>
                  <w:pPr>
                    <w:adjustRightInd w:val="0"/>
                    <w:snapToGrid w:val="0"/>
                    <w:spacing w:line="400" w:lineRule="exact"/>
                    <w:jc w:val="center"/>
                    <w:rPr>
                      <w:color w:val="0000FF"/>
                      <w:spacing w:val="3"/>
                      <w:szCs w:val="21"/>
                    </w:rPr>
                  </w:pPr>
                  <w:r>
                    <w:rPr>
                      <w:color w:val="0000FF"/>
                      <w:spacing w:val="3"/>
                      <w:szCs w:val="21"/>
                    </w:rPr>
                    <w:t>烟气量(m</w:t>
                  </w:r>
                  <w:r>
                    <w:rPr>
                      <w:color w:val="0000FF"/>
                      <w:spacing w:val="3"/>
                      <w:szCs w:val="21"/>
                      <w:vertAlign w:val="superscript"/>
                    </w:rPr>
                    <w:t>3</w:t>
                  </w:r>
                  <w:r>
                    <w:rPr>
                      <w:color w:val="0000FF"/>
                      <w:spacing w:val="3"/>
                      <w:szCs w:val="21"/>
                    </w:rPr>
                    <w:t>/a)</w:t>
                  </w:r>
                </w:p>
              </w:tc>
              <w:tc>
                <w:tcPr>
                  <w:tcW w:w="1276" w:type="dxa"/>
                  <w:vMerge w:val="restart"/>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污染物</w:t>
                  </w:r>
                </w:p>
              </w:tc>
              <w:tc>
                <w:tcPr>
                  <w:tcW w:w="2551" w:type="dxa"/>
                  <w:gridSpan w:val="2"/>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产生情况</w:t>
                  </w:r>
                </w:p>
              </w:tc>
              <w:tc>
                <w:tcPr>
                  <w:tcW w:w="2410" w:type="dxa"/>
                  <w:gridSpan w:val="2"/>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adjustRightInd w:val="0"/>
                    <w:snapToGrid w:val="0"/>
                    <w:spacing w:line="400" w:lineRule="exact"/>
                    <w:jc w:val="center"/>
                    <w:rPr>
                      <w:color w:val="0000FF"/>
                      <w:spacing w:val="3"/>
                      <w:szCs w:val="21"/>
                    </w:rPr>
                  </w:pPr>
                </w:p>
              </w:tc>
              <w:tc>
                <w:tcPr>
                  <w:tcW w:w="992" w:type="dxa"/>
                  <w:vMerge w:val="continue"/>
                  <w:vAlign w:val="center"/>
                </w:tcPr>
                <w:p>
                  <w:pPr>
                    <w:adjustRightInd w:val="0"/>
                    <w:snapToGrid w:val="0"/>
                    <w:spacing w:line="400" w:lineRule="exact"/>
                    <w:jc w:val="center"/>
                    <w:rPr>
                      <w:color w:val="0000FF"/>
                      <w:spacing w:val="3"/>
                      <w:szCs w:val="21"/>
                    </w:rPr>
                  </w:pPr>
                </w:p>
              </w:tc>
              <w:tc>
                <w:tcPr>
                  <w:tcW w:w="1276" w:type="dxa"/>
                  <w:vMerge w:val="continue"/>
                  <w:vAlign w:val="center"/>
                </w:tcPr>
                <w:p>
                  <w:pPr>
                    <w:pStyle w:val="44"/>
                    <w:spacing w:line="400" w:lineRule="exact"/>
                    <w:jc w:val="center"/>
                    <w:rPr>
                      <w:rFonts w:ascii="Times New Roman" w:hAnsi="Times New Roman" w:eastAsia="宋体"/>
                      <w:color w:val="0000FF"/>
                      <w:spacing w:val="3"/>
                      <w:szCs w:val="21"/>
                    </w:rPr>
                  </w:pPr>
                </w:p>
              </w:tc>
              <w:tc>
                <w:tcPr>
                  <w:tcW w:w="1417" w:type="dxa"/>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产生浓度（mg/m</w:t>
                  </w:r>
                  <w:r>
                    <w:rPr>
                      <w:rFonts w:ascii="Times New Roman" w:hAnsi="Times New Roman" w:eastAsia="宋体"/>
                      <w:color w:val="0000FF"/>
                      <w:spacing w:val="3"/>
                      <w:szCs w:val="21"/>
                      <w:vertAlign w:val="superscript"/>
                    </w:rPr>
                    <w:t>3</w:t>
                  </w:r>
                  <w:r>
                    <w:rPr>
                      <w:rFonts w:ascii="Times New Roman" w:hAnsi="Times New Roman" w:eastAsia="宋体"/>
                      <w:color w:val="0000FF"/>
                      <w:spacing w:val="3"/>
                      <w:szCs w:val="21"/>
                    </w:rPr>
                    <w:t>）</w:t>
                  </w:r>
                </w:p>
              </w:tc>
              <w:tc>
                <w:tcPr>
                  <w:tcW w:w="1134" w:type="dxa"/>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产生量(t/a)</w:t>
                  </w:r>
                </w:p>
              </w:tc>
              <w:tc>
                <w:tcPr>
                  <w:tcW w:w="1417" w:type="dxa"/>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排放浓度（mg/m</w:t>
                  </w:r>
                  <w:r>
                    <w:rPr>
                      <w:rFonts w:ascii="Times New Roman" w:hAnsi="Times New Roman" w:eastAsia="宋体"/>
                      <w:color w:val="0000FF"/>
                      <w:spacing w:val="3"/>
                      <w:szCs w:val="21"/>
                      <w:vertAlign w:val="superscript"/>
                    </w:rPr>
                    <w:t>3</w:t>
                  </w:r>
                  <w:r>
                    <w:rPr>
                      <w:rFonts w:ascii="Times New Roman" w:hAnsi="Times New Roman" w:eastAsia="宋体"/>
                      <w:color w:val="0000FF"/>
                      <w:spacing w:val="3"/>
                      <w:szCs w:val="21"/>
                    </w:rPr>
                    <w:t>）</w:t>
                  </w:r>
                </w:p>
              </w:tc>
              <w:tc>
                <w:tcPr>
                  <w:tcW w:w="993" w:type="dxa"/>
                  <w:vAlign w:val="center"/>
                </w:tcPr>
                <w:p>
                  <w:pPr>
                    <w:pStyle w:val="44"/>
                    <w:spacing w:line="400" w:lineRule="exact"/>
                    <w:jc w:val="center"/>
                    <w:rPr>
                      <w:rFonts w:ascii="Times New Roman" w:hAnsi="Times New Roman" w:eastAsia="宋体"/>
                      <w:color w:val="0000FF"/>
                      <w:spacing w:val="3"/>
                      <w:szCs w:val="21"/>
                    </w:rPr>
                  </w:pPr>
                  <w:r>
                    <w:rPr>
                      <w:rFonts w:ascii="Times New Roman" w:hAnsi="Times New Roman" w:eastAsia="宋体"/>
                      <w:color w:val="0000FF"/>
                      <w:spacing w:val="3"/>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adjustRightInd w:val="0"/>
                    <w:snapToGrid w:val="0"/>
                    <w:spacing w:line="400" w:lineRule="exact"/>
                    <w:jc w:val="center"/>
                    <w:rPr>
                      <w:color w:val="0000FF"/>
                      <w:spacing w:val="3"/>
                      <w:szCs w:val="21"/>
                    </w:rPr>
                  </w:pPr>
                  <w:r>
                    <w:rPr>
                      <w:rFonts w:hint="eastAsia"/>
                      <w:color w:val="0000FF"/>
                      <w:spacing w:val="3"/>
                      <w:szCs w:val="21"/>
                    </w:rPr>
                    <w:t>压合工序</w:t>
                  </w:r>
                </w:p>
              </w:tc>
              <w:tc>
                <w:tcPr>
                  <w:tcW w:w="992" w:type="dxa"/>
                  <w:vAlign w:val="center"/>
                </w:tcPr>
                <w:p>
                  <w:pPr>
                    <w:spacing w:line="400" w:lineRule="exact"/>
                    <w:jc w:val="center"/>
                    <w:rPr>
                      <w:color w:val="0000FF"/>
                      <w:szCs w:val="21"/>
                    </w:rPr>
                  </w:pPr>
                </w:p>
              </w:tc>
              <w:tc>
                <w:tcPr>
                  <w:tcW w:w="1276" w:type="dxa"/>
                  <w:vAlign w:val="center"/>
                </w:tcPr>
                <w:p>
                  <w:pPr>
                    <w:pStyle w:val="44"/>
                    <w:spacing w:line="400" w:lineRule="exact"/>
                    <w:jc w:val="center"/>
                    <w:rPr>
                      <w:rFonts w:ascii="Times New Roman" w:hAnsi="Times New Roman" w:eastAsia="宋体"/>
                      <w:color w:val="0000FF"/>
                      <w:spacing w:val="3"/>
                      <w:szCs w:val="21"/>
                    </w:rPr>
                  </w:pPr>
                  <w:r>
                    <w:rPr>
                      <w:rFonts w:hint="eastAsia" w:ascii="Times New Roman" w:hAnsi="Times New Roman" w:eastAsia="宋体"/>
                      <w:color w:val="0000FF"/>
                      <w:szCs w:val="21"/>
                    </w:rPr>
                    <w:t>TVOC</w:t>
                  </w:r>
                </w:p>
              </w:tc>
              <w:tc>
                <w:tcPr>
                  <w:tcW w:w="1417" w:type="dxa"/>
                  <w:vAlign w:val="center"/>
                </w:tcPr>
                <w:p>
                  <w:pPr>
                    <w:spacing w:line="400" w:lineRule="exact"/>
                    <w:jc w:val="center"/>
                    <w:rPr>
                      <w:color w:val="0000FF"/>
                      <w:szCs w:val="21"/>
                    </w:rPr>
                  </w:pPr>
                </w:p>
              </w:tc>
              <w:tc>
                <w:tcPr>
                  <w:tcW w:w="1134" w:type="dxa"/>
                  <w:vAlign w:val="center"/>
                </w:tcPr>
                <w:p>
                  <w:pPr>
                    <w:spacing w:line="400" w:lineRule="exact"/>
                    <w:jc w:val="center"/>
                    <w:rPr>
                      <w:color w:val="0000FF"/>
                      <w:szCs w:val="21"/>
                    </w:rPr>
                  </w:pPr>
                  <w:r>
                    <w:rPr>
                      <w:rFonts w:hint="eastAsia"/>
                      <w:color w:val="0000FF"/>
                      <w:szCs w:val="21"/>
                    </w:rPr>
                    <w:t>0.025</w:t>
                  </w:r>
                </w:p>
              </w:tc>
              <w:tc>
                <w:tcPr>
                  <w:tcW w:w="1417" w:type="dxa"/>
                  <w:vAlign w:val="center"/>
                </w:tcPr>
                <w:p>
                  <w:pPr>
                    <w:spacing w:line="400" w:lineRule="exact"/>
                    <w:jc w:val="center"/>
                    <w:rPr>
                      <w:color w:val="0000FF"/>
                      <w:szCs w:val="21"/>
                    </w:rPr>
                  </w:pPr>
                </w:p>
              </w:tc>
              <w:tc>
                <w:tcPr>
                  <w:tcW w:w="993" w:type="dxa"/>
                  <w:vAlign w:val="bottom"/>
                </w:tcPr>
                <w:p>
                  <w:pPr>
                    <w:adjustRightInd w:val="0"/>
                    <w:snapToGrid w:val="0"/>
                    <w:spacing w:line="400" w:lineRule="exact"/>
                    <w:jc w:val="center"/>
                    <w:rPr>
                      <w:color w:val="0000FF"/>
                      <w:spacing w:val="3"/>
                      <w:szCs w:val="21"/>
                    </w:rPr>
                  </w:pPr>
                  <w:r>
                    <w:rPr>
                      <w:rFonts w:hint="eastAsia"/>
                      <w:color w:val="0000FF"/>
                      <w:spacing w:val="3"/>
                      <w:szCs w:val="21"/>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adjustRightInd w:val="0"/>
                    <w:snapToGrid w:val="0"/>
                    <w:spacing w:line="400" w:lineRule="exact"/>
                    <w:jc w:val="center"/>
                    <w:rPr>
                      <w:color w:val="0000FF"/>
                      <w:spacing w:val="3"/>
                      <w:szCs w:val="21"/>
                    </w:rPr>
                  </w:pPr>
                  <w:r>
                    <w:rPr>
                      <w:rFonts w:hint="eastAsia"/>
                      <w:color w:val="0000FF"/>
                      <w:spacing w:val="3"/>
                      <w:szCs w:val="21"/>
                    </w:rPr>
                    <w:t>UV滚涂工序</w:t>
                  </w:r>
                </w:p>
              </w:tc>
              <w:tc>
                <w:tcPr>
                  <w:tcW w:w="992" w:type="dxa"/>
                  <w:vMerge w:val="restart"/>
                  <w:vAlign w:val="center"/>
                </w:tcPr>
                <w:p>
                  <w:pPr>
                    <w:spacing w:line="400" w:lineRule="exact"/>
                    <w:jc w:val="center"/>
                    <w:rPr>
                      <w:color w:val="0000FF"/>
                      <w:szCs w:val="21"/>
                    </w:rPr>
                  </w:pPr>
                </w:p>
              </w:tc>
              <w:tc>
                <w:tcPr>
                  <w:tcW w:w="1276" w:type="dxa"/>
                  <w:vAlign w:val="center"/>
                </w:tcPr>
                <w:p>
                  <w:pPr>
                    <w:spacing w:line="400" w:lineRule="exact"/>
                    <w:jc w:val="center"/>
                    <w:rPr>
                      <w:color w:val="0000FF"/>
                      <w:spacing w:val="3"/>
                      <w:szCs w:val="21"/>
                    </w:rPr>
                  </w:pPr>
                  <w:r>
                    <w:rPr>
                      <w:color w:val="0000FF"/>
                      <w:spacing w:val="3"/>
                      <w:szCs w:val="21"/>
                    </w:rPr>
                    <w:t>二甲苯</w:t>
                  </w:r>
                </w:p>
              </w:tc>
              <w:tc>
                <w:tcPr>
                  <w:tcW w:w="1417" w:type="dxa"/>
                  <w:vAlign w:val="bottom"/>
                </w:tcPr>
                <w:p>
                  <w:pPr>
                    <w:spacing w:line="400" w:lineRule="exact"/>
                    <w:jc w:val="center"/>
                    <w:rPr>
                      <w:color w:val="0000FF"/>
                      <w:szCs w:val="21"/>
                    </w:rPr>
                  </w:pPr>
                </w:p>
              </w:tc>
              <w:tc>
                <w:tcPr>
                  <w:tcW w:w="1134" w:type="dxa"/>
                  <w:vAlign w:val="center"/>
                </w:tcPr>
                <w:p>
                  <w:pPr>
                    <w:spacing w:line="400" w:lineRule="exact"/>
                    <w:jc w:val="center"/>
                    <w:rPr>
                      <w:color w:val="0000FF"/>
                      <w:szCs w:val="21"/>
                    </w:rPr>
                  </w:pPr>
                  <w:r>
                    <w:rPr>
                      <w:rFonts w:hint="eastAsia"/>
                      <w:color w:val="0000FF"/>
                      <w:szCs w:val="21"/>
                    </w:rPr>
                    <w:t>0.2</w:t>
                  </w:r>
                </w:p>
              </w:tc>
              <w:tc>
                <w:tcPr>
                  <w:tcW w:w="1417" w:type="dxa"/>
                  <w:vAlign w:val="center"/>
                </w:tcPr>
                <w:p>
                  <w:pPr>
                    <w:spacing w:line="400" w:lineRule="exact"/>
                    <w:jc w:val="center"/>
                    <w:rPr>
                      <w:color w:val="0000FF"/>
                      <w:szCs w:val="21"/>
                    </w:rPr>
                  </w:pPr>
                </w:p>
              </w:tc>
              <w:tc>
                <w:tcPr>
                  <w:tcW w:w="993" w:type="dxa"/>
                  <w:vAlign w:val="bottom"/>
                </w:tcPr>
                <w:p>
                  <w:pPr>
                    <w:adjustRightInd w:val="0"/>
                    <w:snapToGrid w:val="0"/>
                    <w:spacing w:line="400" w:lineRule="exact"/>
                    <w:jc w:val="center"/>
                    <w:rPr>
                      <w:color w:val="0000FF"/>
                      <w:spacing w:val="3"/>
                      <w:szCs w:val="21"/>
                    </w:rPr>
                  </w:pPr>
                  <w:r>
                    <w:rPr>
                      <w:rFonts w:hint="eastAsia"/>
                      <w:color w:val="0000FF"/>
                      <w:spacing w:val="3"/>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adjustRightInd w:val="0"/>
                    <w:snapToGrid w:val="0"/>
                    <w:spacing w:line="400" w:lineRule="exact"/>
                    <w:jc w:val="center"/>
                    <w:rPr>
                      <w:color w:val="0000FF"/>
                      <w:spacing w:val="3"/>
                      <w:szCs w:val="21"/>
                    </w:rPr>
                  </w:pPr>
                </w:p>
              </w:tc>
              <w:tc>
                <w:tcPr>
                  <w:tcW w:w="992" w:type="dxa"/>
                  <w:vMerge w:val="continue"/>
                  <w:vAlign w:val="center"/>
                </w:tcPr>
                <w:p>
                  <w:pPr>
                    <w:spacing w:line="400" w:lineRule="exact"/>
                    <w:jc w:val="center"/>
                    <w:rPr>
                      <w:color w:val="0000FF"/>
                      <w:szCs w:val="21"/>
                    </w:rPr>
                  </w:pPr>
                </w:p>
              </w:tc>
              <w:tc>
                <w:tcPr>
                  <w:tcW w:w="1276" w:type="dxa"/>
                  <w:vAlign w:val="center"/>
                </w:tcPr>
                <w:p>
                  <w:pPr>
                    <w:spacing w:line="400" w:lineRule="exact"/>
                    <w:jc w:val="center"/>
                    <w:rPr>
                      <w:color w:val="0000FF"/>
                      <w:spacing w:val="3"/>
                      <w:szCs w:val="21"/>
                    </w:rPr>
                  </w:pPr>
                  <w:r>
                    <w:rPr>
                      <w:rFonts w:hint="eastAsia"/>
                      <w:color w:val="0000FF"/>
                      <w:szCs w:val="21"/>
                    </w:rPr>
                    <w:t>TVOC</w:t>
                  </w:r>
                </w:p>
              </w:tc>
              <w:tc>
                <w:tcPr>
                  <w:tcW w:w="1417" w:type="dxa"/>
                  <w:vAlign w:val="bottom"/>
                </w:tcPr>
                <w:p>
                  <w:pPr>
                    <w:spacing w:line="400" w:lineRule="exact"/>
                    <w:jc w:val="center"/>
                    <w:rPr>
                      <w:color w:val="0000FF"/>
                      <w:szCs w:val="21"/>
                    </w:rPr>
                  </w:pPr>
                </w:p>
              </w:tc>
              <w:tc>
                <w:tcPr>
                  <w:tcW w:w="1134" w:type="dxa"/>
                  <w:vAlign w:val="center"/>
                </w:tcPr>
                <w:p>
                  <w:pPr>
                    <w:spacing w:line="400" w:lineRule="exact"/>
                    <w:jc w:val="center"/>
                    <w:rPr>
                      <w:color w:val="0000FF"/>
                      <w:szCs w:val="21"/>
                    </w:rPr>
                  </w:pPr>
                  <w:r>
                    <w:rPr>
                      <w:rFonts w:hint="eastAsia"/>
                      <w:color w:val="0000FF"/>
                      <w:szCs w:val="21"/>
                    </w:rPr>
                    <w:t>1.2</w:t>
                  </w:r>
                </w:p>
              </w:tc>
              <w:tc>
                <w:tcPr>
                  <w:tcW w:w="1417" w:type="dxa"/>
                  <w:vAlign w:val="center"/>
                </w:tcPr>
                <w:p>
                  <w:pPr>
                    <w:spacing w:line="400" w:lineRule="exact"/>
                    <w:jc w:val="center"/>
                    <w:rPr>
                      <w:color w:val="0000FF"/>
                      <w:szCs w:val="21"/>
                    </w:rPr>
                  </w:pPr>
                </w:p>
              </w:tc>
              <w:tc>
                <w:tcPr>
                  <w:tcW w:w="993" w:type="dxa"/>
                  <w:vAlign w:val="bottom"/>
                </w:tcPr>
                <w:p>
                  <w:pPr>
                    <w:adjustRightInd w:val="0"/>
                    <w:snapToGrid w:val="0"/>
                    <w:spacing w:line="400" w:lineRule="exact"/>
                    <w:jc w:val="center"/>
                    <w:rPr>
                      <w:color w:val="0000FF"/>
                      <w:spacing w:val="3"/>
                      <w:szCs w:val="21"/>
                    </w:rPr>
                  </w:pPr>
                  <w:r>
                    <w:rPr>
                      <w:rFonts w:hint="eastAsia"/>
                      <w:color w:val="0000FF"/>
                      <w:spacing w:val="3"/>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adjustRightInd w:val="0"/>
                    <w:snapToGrid w:val="0"/>
                    <w:spacing w:line="400" w:lineRule="exact"/>
                    <w:jc w:val="center"/>
                    <w:rPr>
                      <w:color w:val="0000FF"/>
                      <w:spacing w:val="3"/>
                      <w:szCs w:val="21"/>
                    </w:rPr>
                  </w:pPr>
                  <w:r>
                    <w:rPr>
                      <w:rFonts w:hint="eastAsia"/>
                      <w:color w:val="0000FF"/>
                      <w:spacing w:val="3"/>
                      <w:szCs w:val="21"/>
                    </w:rPr>
                    <w:t>丝印</w:t>
                  </w:r>
                  <w:r>
                    <w:rPr>
                      <w:color w:val="0000FF"/>
                      <w:spacing w:val="3"/>
                      <w:szCs w:val="21"/>
                    </w:rPr>
                    <w:t>工</w:t>
                  </w:r>
                  <w:r>
                    <w:rPr>
                      <w:rFonts w:hint="eastAsia"/>
                      <w:color w:val="0000FF"/>
                      <w:spacing w:val="3"/>
                      <w:szCs w:val="21"/>
                    </w:rPr>
                    <w:t>序</w:t>
                  </w:r>
                </w:p>
              </w:tc>
              <w:tc>
                <w:tcPr>
                  <w:tcW w:w="992" w:type="dxa"/>
                  <w:vAlign w:val="center"/>
                </w:tcPr>
                <w:p>
                  <w:pPr>
                    <w:spacing w:line="400" w:lineRule="exact"/>
                    <w:jc w:val="center"/>
                    <w:rPr>
                      <w:color w:val="0000FF"/>
                      <w:szCs w:val="21"/>
                    </w:rPr>
                  </w:pPr>
                </w:p>
              </w:tc>
              <w:tc>
                <w:tcPr>
                  <w:tcW w:w="1276" w:type="dxa"/>
                  <w:vAlign w:val="center"/>
                </w:tcPr>
                <w:p>
                  <w:pPr>
                    <w:pStyle w:val="44"/>
                    <w:spacing w:line="400" w:lineRule="exact"/>
                    <w:jc w:val="center"/>
                    <w:rPr>
                      <w:rFonts w:ascii="Times New Roman" w:hAnsi="Times New Roman"/>
                      <w:color w:val="0000FF"/>
                      <w:szCs w:val="21"/>
                    </w:rPr>
                  </w:pPr>
                  <w:r>
                    <w:rPr>
                      <w:rFonts w:hint="eastAsia" w:ascii="Times New Roman" w:hAnsi="Times New Roman"/>
                      <w:color w:val="0000FF"/>
                      <w:szCs w:val="21"/>
                    </w:rPr>
                    <w:t>TVOC</w:t>
                  </w:r>
                </w:p>
              </w:tc>
              <w:tc>
                <w:tcPr>
                  <w:tcW w:w="1417" w:type="dxa"/>
                  <w:vAlign w:val="center"/>
                </w:tcPr>
                <w:p>
                  <w:pPr>
                    <w:spacing w:line="400" w:lineRule="exact"/>
                    <w:jc w:val="center"/>
                    <w:rPr>
                      <w:color w:val="0000FF"/>
                      <w:szCs w:val="21"/>
                    </w:rPr>
                  </w:pPr>
                </w:p>
              </w:tc>
              <w:tc>
                <w:tcPr>
                  <w:tcW w:w="1134" w:type="dxa"/>
                  <w:vAlign w:val="center"/>
                </w:tcPr>
                <w:p>
                  <w:pPr>
                    <w:spacing w:line="400" w:lineRule="exact"/>
                    <w:jc w:val="center"/>
                    <w:rPr>
                      <w:color w:val="0000FF"/>
                      <w:szCs w:val="21"/>
                    </w:rPr>
                  </w:pPr>
                  <w:r>
                    <w:rPr>
                      <w:rFonts w:hint="eastAsia"/>
                      <w:color w:val="0000FF"/>
                      <w:szCs w:val="21"/>
                    </w:rPr>
                    <w:t>0.005</w:t>
                  </w:r>
                </w:p>
              </w:tc>
              <w:tc>
                <w:tcPr>
                  <w:tcW w:w="1417" w:type="dxa"/>
                  <w:vAlign w:val="center"/>
                </w:tcPr>
                <w:p>
                  <w:pPr>
                    <w:spacing w:line="400" w:lineRule="exact"/>
                    <w:jc w:val="center"/>
                    <w:rPr>
                      <w:color w:val="0000FF"/>
                      <w:szCs w:val="21"/>
                    </w:rPr>
                  </w:pPr>
                </w:p>
              </w:tc>
              <w:tc>
                <w:tcPr>
                  <w:tcW w:w="993" w:type="dxa"/>
                  <w:vAlign w:val="bottom"/>
                </w:tcPr>
                <w:p>
                  <w:pPr>
                    <w:adjustRightInd w:val="0"/>
                    <w:snapToGrid w:val="0"/>
                    <w:spacing w:line="400" w:lineRule="exact"/>
                    <w:jc w:val="center"/>
                    <w:rPr>
                      <w:color w:val="0000FF"/>
                      <w:spacing w:val="3"/>
                      <w:szCs w:val="21"/>
                    </w:rPr>
                  </w:pPr>
                  <w:r>
                    <w:rPr>
                      <w:rFonts w:hint="eastAsia"/>
                      <w:color w:val="0000FF"/>
                      <w:spacing w:val="3"/>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adjustRightInd w:val="0"/>
                    <w:snapToGrid w:val="0"/>
                    <w:spacing w:line="400" w:lineRule="exact"/>
                    <w:jc w:val="center"/>
                    <w:rPr>
                      <w:color w:val="0000FF"/>
                      <w:spacing w:val="3"/>
                      <w:szCs w:val="21"/>
                    </w:rPr>
                  </w:pPr>
                  <w:r>
                    <w:rPr>
                      <w:rFonts w:hint="eastAsia"/>
                      <w:color w:val="0000FF"/>
                      <w:spacing w:val="3"/>
                      <w:szCs w:val="21"/>
                    </w:rPr>
                    <w:t>1</w:t>
                  </w:r>
                  <w:r>
                    <w:rPr>
                      <w:color w:val="0000FF"/>
                      <w:spacing w:val="3"/>
                      <w:szCs w:val="21"/>
                    </w:rPr>
                    <w:t>#排气筒合计</w:t>
                  </w:r>
                </w:p>
              </w:tc>
              <w:tc>
                <w:tcPr>
                  <w:tcW w:w="992" w:type="dxa"/>
                  <w:vMerge w:val="restart"/>
                  <w:vAlign w:val="center"/>
                </w:tcPr>
                <w:p>
                  <w:pPr>
                    <w:spacing w:line="400" w:lineRule="exact"/>
                    <w:jc w:val="center"/>
                    <w:rPr>
                      <w:color w:val="0000FF"/>
                      <w:szCs w:val="21"/>
                    </w:rPr>
                  </w:pPr>
                  <w:r>
                    <w:rPr>
                      <w:rFonts w:hint="eastAsia"/>
                      <w:color w:val="0000FF"/>
                      <w:szCs w:val="21"/>
                    </w:rPr>
                    <w:t>5000</w:t>
                  </w:r>
                </w:p>
              </w:tc>
              <w:tc>
                <w:tcPr>
                  <w:tcW w:w="1276" w:type="dxa"/>
                  <w:vAlign w:val="center"/>
                </w:tcPr>
                <w:p>
                  <w:pPr>
                    <w:spacing w:line="400" w:lineRule="exact"/>
                    <w:jc w:val="center"/>
                    <w:rPr>
                      <w:color w:val="0000FF"/>
                      <w:spacing w:val="3"/>
                      <w:szCs w:val="21"/>
                    </w:rPr>
                  </w:pPr>
                  <w:r>
                    <w:rPr>
                      <w:color w:val="0000FF"/>
                      <w:spacing w:val="3"/>
                      <w:szCs w:val="21"/>
                    </w:rPr>
                    <w:t>二甲苯</w:t>
                  </w:r>
                </w:p>
              </w:tc>
              <w:tc>
                <w:tcPr>
                  <w:tcW w:w="1417" w:type="dxa"/>
                  <w:vAlign w:val="bottom"/>
                </w:tcPr>
                <w:p>
                  <w:pPr>
                    <w:spacing w:line="400" w:lineRule="exact"/>
                    <w:jc w:val="center"/>
                    <w:rPr>
                      <w:color w:val="0000FF"/>
                      <w:szCs w:val="21"/>
                    </w:rPr>
                  </w:pPr>
                  <w:r>
                    <w:rPr>
                      <w:rFonts w:hint="eastAsia"/>
                      <w:color w:val="0000FF"/>
                      <w:szCs w:val="21"/>
                    </w:rPr>
                    <w:t>14.8</w:t>
                  </w:r>
                </w:p>
              </w:tc>
              <w:tc>
                <w:tcPr>
                  <w:tcW w:w="1134" w:type="dxa"/>
                  <w:vAlign w:val="center"/>
                </w:tcPr>
                <w:p>
                  <w:pPr>
                    <w:spacing w:line="400" w:lineRule="exact"/>
                    <w:jc w:val="center"/>
                    <w:rPr>
                      <w:color w:val="0000FF"/>
                      <w:szCs w:val="21"/>
                    </w:rPr>
                  </w:pPr>
                  <w:r>
                    <w:rPr>
                      <w:rFonts w:hint="eastAsia"/>
                      <w:color w:val="0000FF"/>
                      <w:szCs w:val="21"/>
                    </w:rPr>
                    <w:t>0.2</w:t>
                  </w:r>
                </w:p>
              </w:tc>
              <w:tc>
                <w:tcPr>
                  <w:tcW w:w="1417" w:type="dxa"/>
                  <w:vAlign w:val="center"/>
                </w:tcPr>
                <w:p>
                  <w:pPr>
                    <w:spacing w:line="400" w:lineRule="exact"/>
                    <w:jc w:val="center"/>
                    <w:rPr>
                      <w:color w:val="0000FF"/>
                      <w:szCs w:val="21"/>
                    </w:rPr>
                  </w:pPr>
                  <w:r>
                    <w:rPr>
                      <w:rFonts w:hint="eastAsia"/>
                      <w:color w:val="0000FF"/>
                      <w:szCs w:val="21"/>
                    </w:rPr>
                    <w:t>1.5</w:t>
                  </w:r>
                </w:p>
              </w:tc>
              <w:tc>
                <w:tcPr>
                  <w:tcW w:w="993" w:type="dxa"/>
                  <w:vAlign w:val="center"/>
                </w:tcPr>
                <w:p>
                  <w:pPr>
                    <w:adjustRightInd w:val="0"/>
                    <w:snapToGrid w:val="0"/>
                    <w:spacing w:line="400" w:lineRule="exact"/>
                    <w:jc w:val="center"/>
                    <w:rPr>
                      <w:color w:val="0000FF"/>
                      <w:spacing w:val="3"/>
                      <w:szCs w:val="21"/>
                    </w:rPr>
                  </w:pPr>
                  <w:r>
                    <w:rPr>
                      <w:rFonts w:hint="eastAsia"/>
                      <w:color w:val="0000FF"/>
                      <w:spacing w:val="3"/>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adjustRightInd w:val="0"/>
                    <w:snapToGrid w:val="0"/>
                    <w:spacing w:line="400" w:lineRule="exact"/>
                    <w:jc w:val="center"/>
                    <w:rPr>
                      <w:color w:val="0000FF"/>
                      <w:spacing w:val="3"/>
                      <w:szCs w:val="21"/>
                    </w:rPr>
                  </w:pPr>
                </w:p>
              </w:tc>
              <w:tc>
                <w:tcPr>
                  <w:tcW w:w="992" w:type="dxa"/>
                  <w:vMerge w:val="continue"/>
                  <w:vAlign w:val="center"/>
                </w:tcPr>
                <w:p>
                  <w:pPr>
                    <w:adjustRightInd w:val="0"/>
                    <w:snapToGrid w:val="0"/>
                    <w:spacing w:line="400" w:lineRule="exact"/>
                    <w:jc w:val="center"/>
                    <w:rPr>
                      <w:color w:val="0000FF"/>
                      <w:spacing w:val="3"/>
                      <w:szCs w:val="21"/>
                    </w:rPr>
                  </w:pPr>
                </w:p>
              </w:tc>
              <w:tc>
                <w:tcPr>
                  <w:tcW w:w="1276" w:type="dxa"/>
                  <w:vAlign w:val="center"/>
                </w:tcPr>
                <w:p>
                  <w:pPr>
                    <w:spacing w:line="400" w:lineRule="exact"/>
                    <w:jc w:val="center"/>
                    <w:rPr>
                      <w:color w:val="0000FF"/>
                      <w:spacing w:val="3"/>
                      <w:szCs w:val="21"/>
                    </w:rPr>
                  </w:pPr>
                  <w:r>
                    <w:rPr>
                      <w:rFonts w:hint="eastAsia"/>
                      <w:color w:val="0000FF"/>
                      <w:szCs w:val="21"/>
                    </w:rPr>
                    <w:t>TVOC</w:t>
                  </w:r>
                </w:p>
              </w:tc>
              <w:tc>
                <w:tcPr>
                  <w:tcW w:w="1417" w:type="dxa"/>
                  <w:vAlign w:val="bottom"/>
                </w:tcPr>
                <w:p>
                  <w:pPr>
                    <w:spacing w:line="400" w:lineRule="exact"/>
                    <w:jc w:val="center"/>
                    <w:rPr>
                      <w:color w:val="0000FF"/>
                      <w:szCs w:val="21"/>
                    </w:rPr>
                  </w:pPr>
                  <w:r>
                    <w:rPr>
                      <w:rFonts w:hint="eastAsia"/>
                      <w:color w:val="0000FF"/>
                      <w:szCs w:val="21"/>
                    </w:rPr>
                    <w:t>91.1</w:t>
                  </w:r>
                </w:p>
              </w:tc>
              <w:tc>
                <w:tcPr>
                  <w:tcW w:w="1134" w:type="dxa"/>
                  <w:vAlign w:val="center"/>
                </w:tcPr>
                <w:p>
                  <w:pPr>
                    <w:spacing w:line="400" w:lineRule="exact"/>
                    <w:jc w:val="center"/>
                    <w:rPr>
                      <w:color w:val="0000FF"/>
                      <w:szCs w:val="21"/>
                    </w:rPr>
                  </w:pPr>
                  <w:r>
                    <w:rPr>
                      <w:rFonts w:hint="eastAsia"/>
                      <w:color w:val="0000FF"/>
                      <w:szCs w:val="21"/>
                    </w:rPr>
                    <w:t>1.23</w:t>
                  </w:r>
                </w:p>
              </w:tc>
              <w:tc>
                <w:tcPr>
                  <w:tcW w:w="1417" w:type="dxa"/>
                  <w:vAlign w:val="center"/>
                </w:tcPr>
                <w:p>
                  <w:pPr>
                    <w:spacing w:line="400" w:lineRule="exact"/>
                    <w:jc w:val="center"/>
                    <w:rPr>
                      <w:color w:val="0000FF"/>
                      <w:szCs w:val="21"/>
                    </w:rPr>
                  </w:pPr>
                  <w:r>
                    <w:rPr>
                      <w:rFonts w:hint="eastAsia"/>
                      <w:color w:val="0000FF"/>
                      <w:szCs w:val="21"/>
                    </w:rPr>
                    <w:t>9.1</w:t>
                  </w:r>
                </w:p>
              </w:tc>
              <w:tc>
                <w:tcPr>
                  <w:tcW w:w="993" w:type="dxa"/>
                  <w:vAlign w:val="center"/>
                </w:tcPr>
                <w:p>
                  <w:pPr>
                    <w:adjustRightInd w:val="0"/>
                    <w:snapToGrid w:val="0"/>
                    <w:spacing w:line="400" w:lineRule="exact"/>
                    <w:jc w:val="center"/>
                    <w:rPr>
                      <w:color w:val="0000FF"/>
                      <w:spacing w:val="3"/>
                      <w:szCs w:val="21"/>
                    </w:rPr>
                  </w:pPr>
                  <w:r>
                    <w:rPr>
                      <w:rFonts w:hint="eastAsia"/>
                      <w:color w:val="0000FF"/>
                      <w:spacing w:val="3"/>
                      <w:szCs w:val="21"/>
                    </w:rPr>
                    <w:t>0.123</w:t>
                  </w:r>
                </w:p>
              </w:tc>
            </w:tr>
          </w:tbl>
          <w:p>
            <w:pPr>
              <w:spacing w:line="360" w:lineRule="auto"/>
              <w:ind w:firstLine="480" w:firstLineChars="200"/>
              <w:rPr>
                <w:color w:val="0000FF"/>
                <w:sz w:val="24"/>
              </w:rPr>
            </w:pPr>
            <w:r>
              <w:rPr>
                <w:rFonts w:hint="eastAsia" w:ascii="宋体" w:hAnsi="宋体" w:cs="宋体"/>
                <w:color w:val="0000FF"/>
                <w:sz w:val="24"/>
              </w:rPr>
              <w:t>④</w:t>
            </w:r>
            <w:r>
              <w:rPr>
                <w:rFonts w:hint="eastAsia"/>
                <w:color w:val="0000FF"/>
                <w:sz w:val="24"/>
              </w:rPr>
              <w:t>粉尘</w:t>
            </w:r>
          </w:p>
          <w:p>
            <w:pPr>
              <w:spacing w:line="360" w:lineRule="auto"/>
              <w:ind w:firstLine="480" w:firstLineChars="200"/>
              <w:rPr>
                <w:color w:val="0000FF"/>
                <w:sz w:val="24"/>
              </w:rPr>
            </w:pPr>
            <w:r>
              <w:rPr>
                <w:color w:val="0000FF"/>
                <w:sz w:val="24"/>
              </w:rPr>
              <w:t>本项目</w:t>
            </w:r>
            <w:r>
              <w:rPr>
                <w:rFonts w:hint="eastAsia"/>
                <w:color w:val="0000FF"/>
                <w:sz w:val="24"/>
              </w:rPr>
              <w:t>开料、机加工过程中会产生一定量的粉尘，参考</w:t>
            </w:r>
            <w:r>
              <w:rPr>
                <w:color w:val="0000FF"/>
                <w:sz w:val="24"/>
              </w:rPr>
              <w:t>《第一次全国污染源普查工业污染源手产排污系数手册</w:t>
            </w:r>
            <w:r>
              <w:rPr>
                <w:rFonts w:hint="eastAsia"/>
                <w:color w:val="0000FF"/>
                <w:sz w:val="24"/>
              </w:rPr>
              <w:t>》中锯材加工业中粉尘的产污系数，工业粉尘产污系数按0.321kg/m</w:t>
            </w:r>
            <w:r>
              <w:rPr>
                <w:rFonts w:hint="eastAsia"/>
                <w:color w:val="0000FF"/>
                <w:sz w:val="24"/>
                <w:vertAlign w:val="superscript"/>
              </w:rPr>
              <w:t>3</w:t>
            </w:r>
            <w:r>
              <w:rPr>
                <w:rFonts w:hint="eastAsia"/>
                <w:color w:val="0000FF"/>
                <w:sz w:val="24"/>
              </w:rPr>
              <w:t>产品，项目木材用量</w:t>
            </w:r>
            <w:r>
              <w:rPr>
                <w:color w:val="0000FF"/>
              </w:rPr>
              <w:t>约</w:t>
            </w:r>
            <w:r>
              <w:rPr>
                <w:rFonts w:hint="eastAsia"/>
                <w:color w:val="0000FF"/>
                <w:sz w:val="24"/>
              </w:rPr>
              <w:t>为</w:t>
            </w:r>
            <w:r>
              <w:rPr>
                <w:color w:val="0000FF"/>
                <w:sz w:val="24"/>
              </w:rPr>
              <w:t>600m</w:t>
            </w:r>
            <w:r>
              <w:rPr>
                <w:color w:val="0000FF"/>
                <w:sz w:val="24"/>
                <w:vertAlign w:val="superscript"/>
              </w:rPr>
              <w:t>3</w:t>
            </w:r>
            <w:r>
              <w:rPr>
                <w:color w:val="0000FF"/>
                <w:sz w:val="24"/>
              </w:rPr>
              <w:t>/a</w:t>
            </w:r>
            <w:r>
              <w:rPr>
                <w:rFonts w:hint="eastAsia"/>
                <w:color w:val="0000FF"/>
                <w:sz w:val="24"/>
              </w:rPr>
              <w:t>，则粉尘产生量</w:t>
            </w:r>
            <w:r>
              <w:rPr>
                <w:color w:val="0000FF"/>
                <w:sz w:val="24"/>
              </w:rPr>
              <w:t>为</w:t>
            </w:r>
            <w:r>
              <w:rPr>
                <w:rFonts w:hint="eastAsia"/>
                <w:color w:val="0000FF"/>
                <w:sz w:val="24"/>
              </w:rPr>
              <w:t>192.6kg</w:t>
            </w:r>
            <w:r>
              <w:rPr>
                <w:color w:val="0000FF"/>
                <w:sz w:val="24"/>
              </w:rPr>
              <w:t>/a</w:t>
            </w:r>
            <w:r>
              <w:rPr>
                <w:rFonts w:hint="eastAsia"/>
                <w:color w:val="0000FF"/>
                <w:sz w:val="24"/>
              </w:rPr>
              <w:t>，年工作2700h，则粉尘产生速率0.071kg</w:t>
            </w:r>
            <w:r>
              <w:rPr>
                <w:color w:val="0000FF"/>
                <w:sz w:val="24"/>
              </w:rPr>
              <w:t>/</w:t>
            </w:r>
            <w:r>
              <w:rPr>
                <w:rFonts w:hint="eastAsia"/>
                <w:color w:val="0000FF"/>
                <w:sz w:val="24"/>
              </w:rPr>
              <w:t>h</w:t>
            </w:r>
            <w:r>
              <w:rPr>
                <w:color w:val="0000FF"/>
                <w:sz w:val="24"/>
              </w:rPr>
              <w:t>。经设置集气罩+</w:t>
            </w:r>
            <w:r>
              <w:rPr>
                <w:color w:val="0000FF"/>
              </w:rPr>
              <w:fldChar w:fldCharType="begin"/>
            </w:r>
            <w:r>
              <w:rPr>
                <w:color w:val="0000FF"/>
              </w:rPr>
              <w:instrText xml:space="preserve"> HYPERLINK "https://baike.baidu.com/item/%E4%B8%AD%E5%A4%AE%E9%99%A4%E5%B0%98%E7%B3%BB%E7%BB%9F/5863157" \t "_blank" </w:instrText>
            </w:r>
            <w:r>
              <w:rPr>
                <w:color w:val="0000FF"/>
              </w:rPr>
              <w:fldChar w:fldCharType="separate"/>
            </w:r>
            <w:r>
              <w:rPr>
                <w:color w:val="0000FF"/>
                <w:sz w:val="24"/>
              </w:rPr>
              <w:t>中央除尘系统</w:t>
            </w:r>
            <w:r>
              <w:rPr>
                <w:color w:val="0000FF"/>
                <w:sz w:val="24"/>
              </w:rPr>
              <w:fldChar w:fldCharType="end"/>
            </w:r>
            <w:r>
              <w:rPr>
                <w:color w:val="0000FF"/>
                <w:sz w:val="24"/>
              </w:rPr>
              <w:t>+一根15m高排气筒排放，抽风量为</w:t>
            </w:r>
            <w:r>
              <w:rPr>
                <w:rFonts w:hint="eastAsia"/>
                <w:color w:val="0000FF"/>
                <w:sz w:val="24"/>
              </w:rPr>
              <w:t>25</w:t>
            </w:r>
            <w:r>
              <w:rPr>
                <w:color w:val="0000FF"/>
                <w:sz w:val="24"/>
              </w:rPr>
              <w:t>00m</w:t>
            </w:r>
            <w:r>
              <w:rPr>
                <w:color w:val="0000FF"/>
                <w:sz w:val="24"/>
                <w:vertAlign w:val="superscript"/>
              </w:rPr>
              <w:t>3</w:t>
            </w:r>
            <w:r>
              <w:rPr>
                <w:color w:val="0000FF"/>
                <w:sz w:val="24"/>
              </w:rPr>
              <w:t>/h，收集效率为9</w:t>
            </w:r>
            <w:r>
              <w:rPr>
                <w:rFonts w:hint="eastAsia"/>
                <w:color w:val="0000FF"/>
                <w:sz w:val="24"/>
              </w:rPr>
              <w:t>0</w:t>
            </w:r>
            <w:r>
              <w:rPr>
                <w:color w:val="0000FF"/>
                <w:sz w:val="24"/>
              </w:rPr>
              <w:t>%，除尘效率为9</w:t>
            </w:r>
            <w:r>
              <w:rPr>
                <w:rFonts w:hint="eastAsia"/>
                <w:color w:val="0000FF"/>
                <w:sz w:val="24"/>
              </w:rPr>
              <w:t>0</w:t>
            </w:r>
            <w:r>
              <w:rPr>
                <w:color w:val="0000FF"/>
                <w:sz w:val="24"/>
              </w:rPr>
              <w:t>％，经处理后的尾气经1根15m高排气筒（</w:t>
            </w:r>
            <w:r>
              <w:rPr>
                <w:rFonts w:hint="eastAsia"/>
                <w:color w:val="0000FF"/>
                <w:sz w:val="24"/>
              </w:rPr>
              <w:t>2</w:t>
            </w:r>
            <w:r>
              <w:rPr>
                <w:color w:val="0000FF"/>
                <w:sz w:val="24"/>
              </w:rPr>
              <w:t>#排气筒）排放，废气排放浓度及排放速率满足《大气污染物综合排放标准》（GB16297-1996）二级标准</w:t>
            </w:r>
            <w:r>
              <w:rPr>
                <w:rFonts w:hint="eastAsia"/>
                <w:color w:val="0000FF"/>
                <w:sz w:val="24"/>
                <w:lang w:eastAsia="zh-CN"/>
              </w:rPr>
              <w:t>要求</w:t>
            </w:r>
            <w:r>
              <w:rPr>
                <w:color w:val="0000FF"/>
                <w:sz w:val="24"/>
              </w:rPr>
              <w:t>。</w:t>
            </w:r>
          </w:p>
          <w:p>
            <w:pPr>
              <w:spacing w:line="360" w:lineRule="auto"/>
              <w:ind w:firstLine="480" w:firstLineChars="200"/>
              <w:rPr>
                <w:color w:val="0000FF"/>
                <w:sz w:val="24"/>
              </w:rPr>
            </w:pPr>
            <w:r>
              <w:rPr>
                <w:color w:val="0000FF"/>
                <w:sz w:val="24"/>
              </w:rPr>
              <w:t>项目有组织废气产生与排放情况见表</w:t>
            </w:r>
            <w:r>
              <w:rPr>
                <w:rFonts w:hint="eastAsia"/>
                <w:color w:val="0000FF"/>
                <w:sz w:val="24"/>
              </w:rPr>
              <w:t>2-</w:t>
            </w:r>
            <w:r>
              <w:rPr>
                <w:color w:val="0000FF"/>
                <w:sz w:val="24"/>
              </w:rPr>
              <w:t>13。</w:t>
            </w:r>
          </w:p>
          <w:p>
            <w:pPr>
              <w:autoSpaceDE w:val="0"/>
              <w:autoSpaceDN w:val="0"/>
              <w:adjustRightInd w:val="0"/>
              <w:snapToGrid w:val="0"/>
              <w:spacing w:before="120" w:beforeLines="50"/>
              <w:jc w:val="center"/>
              <w:rPr>
                <w:rFonts w:eastAsia="黑体"/>
                <w:color w:val="0000FF"/>
                <w:kern w:val="0"/>
                <w:sz w:val="24"/>
              </w:rPr>
            </w:pPr>
            <w:r>
              <w:rPr>
                <w:rFonts w:hint="eastAsia" w:eastAsia="黑体"/>
                <w:color w:val="0000FF"/>
                <w:kern w:val="0"/>
                <w:sz w:val="24"/>
              </w:rPr>
              <w:t>表2-13   项目有组织废气产生与排放情况</w:t>
            </w:r>
          </w:p>
          <w:tbl>
            <w:tblPr>
              <w:tblStyle w:val="3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08"/>
              <w:gridCol w:w="605"/>
              <w:gridCol w:w="802"/>
              <w:gridCol w:w="864"/>
              <w:gridCol w:w="875"/>
              <w:gridCol w:w="898"/>
              <w:gridCol w:w="784"/>
              <w:gridCol w:w="925"/>
              <w:gridCol w:w="815"/>
              <w:gridCol w:w="7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82" w:type="dxa"/>
                  <w:vMerge w:val="restart"/>
                  <w:vAlign w:val="center"/>
                </w:tcPr>
                <w:p>
                  <w:pPr>
                    <w:widowControl/>
                    <w:spacing w:line="400" w:lineRule="exact"/>
                    <w:jc w:val="center"/>
                    <w:rPr>
                      <w:color w:val="0000FF"/>
                      <w:kern w:val="0"/>
                      <w:szCs w:val="21"/>
                    </w:rPr>
                  </w:pPr>
                  <w:r>
                    <w:rPr>
                      <w:color w:val="0000FF"/>
                      <w:kern w:val="0"/>
                      <w:szCs w:val="21"/>
                    </w:rPr>
                    <w:t>项目</w:t>
                  </w:r>
                </w:p>
              </w:tc>
              <w:tc>
                <w:tcPr>
                  <w:tcW w:w="686" w:type="dxa"/>
                  <w:vMerge w:val="restart"/>
                  <w:vAlign w:val="center"/>
                </w:tcPr>
                <w:p>
                  <w:pPr>
                    <w:widowControl/>
                    <w:spacing w:line="400" w:lineRule="exact"/>
                    <w:jc w:val="center"/>
                    <w:rPr>
                      <w:color w:val="0000FF"/>
                      <w:kern w:val="0"/>
                      <w:szCs w:val="21"/>
                    </w:rPr>
                  </w:pPr>
                  <w:r>
                    <w:rPr>
                      <w:color w:val="0000FF"/>
                      <w:kern w:val="0"/>
                      <w:szCs w:val="21"/>
                    </w:rPr>
                    <w:t>排气筒</w:t>
                  </w:r>
                </w:p>
              </w:tc>
              <w:tc>
                <w:tcPr>
                  <w:tcW w:w="825" w:type="dxa"/>
                  <w:vMerge w:val="restart"/>
                  <w:vAlign w:val="center"/>
                </w:tcPr>
                <w:p>
                  <w:pPr>
                    <w:widowControl/>
                    <w:spacing w:line="400" w:lineRule="exact"/>
                    <w:jc w:val="center"/>
                    <w:rPr>
                      <w:color w:val="0000FF"/>
                      <w:kern w:val="0"/>
                      <w:szCs w:val="21"/>
                    </w:rPr>
                  </w:pPr>
                  <w:r>
                    <w:rPr>
                      <w:color w:val="0000FF"/>
                      <w:kern w:val="0"/>
                      <w:szCs w:val="21"/>
                    </w:rPr>
                    <w:t>烟气量(m</w:t>
                  </w:r>
                  <w:r>
                    <w:rPr>
                      <w:color w:val="0000FF"/>
                      <w:kern w:val="0"/>
                      <w:szCs w:val="21"/>
                      <w:vertAlign w:val="superscript"/>
                    </w:rPr>
                    <w:t>3</w:t>
                  </w:r>
                  <w:r>
                    <w:rPr>
                      <w:color w:val="0000FF"/>
                      <w:kern w:val="0"/>
                      <w:szCs w:val="21"/>
                    </w:rPr>
                    <w:t>/h)</w:t>
                  </w:r>
                </w:p>
              </w:tc>
              <w:tc>
                <w:tcPr>
                  <w:tcW w:w="898" w:type="dxa"/>
                  <w:vMerge w:val="restart"/>
                  <w:vAlign w:val="center"/>
                </w:tcPr>
                <w:p>
                  <w:pPr>
                    <w:widowControl/>
                    <w:spacing w:line="400" w:lineRule="exact"/>
                    <w:jc w:val="center"/>
                    <w:rPr>
                      <w:color w:val="0000FF"/>
                      <w:kern w:val="0"/>
                      <w:szCs w:val="21"/>
                    </w:rPr>
                  </w:pPr>
                  <w:r>
                    <w:rPr>
                      <w:color w:val="0000FF"/>
                      <w:kern w:val="0"/>
                      <w:szCs w:val="21"/>
                    </w:rPr>
                    <w:t>污染物</w:t>
                  </w:r>
                </w:p>
              </w:tc>
              <w:tc>
                <w:tcPr>
                  <w:tcW w:w="2740" w:type="dxa"/>
                  <w:gridSpan w:val="3"/>
                  <w:vAlign w:val="center"/>
                </w:tcPr>
                <w:p>
                  <w:pPr>
                    <w:widowControl/>
                    <w:spacing w:line="400" w:lineRule="exact"/>
                    <w:jc w:val="center"/>
                    <w:rPr>
                      <w:color w:val="0000FF"/>
                      <w:kern w:val="0"/>
                      <w:szCs w:val="21"/>
                    </w:rPr>
                  </w:pPr>
                  <w:r>
                    <w:rPr>
                      <w:color w:val="0000FF"/>
                      <w:kern w:val="0"/>
                      <w:szCs w:val="21"/>
                    </w:rPr>
                    <w:t>产生情况</w:t>
                  </w:r>
                </w:p>
              </w:tc>
              <w:tc>
                <w:tcPr>
                  <w:tcW w:w="2643" w:type="dxa"/>
                  <w:gridSpan w:val="3"/>
                  <w:vAlign w:val="center"/>
                </w:tcPr>
                <w:p>
                  <w:pPr>
                    <w:widowControl/>
                    <w:spacing w:line="400" w:lineRule="exact"/>
                    <w:jc w:val="center"/>
                    <w:rPr>
                      <w:color w:val="0000FF"/>
                      <w:kern w:val="0"/>
                      <w:szCs w:val="21"/>
                    </w:rPr>
                  </w:pPr>
                  <w:r>
                    <w:rPr>
                      <w:color w:val="0000FF"/>
                      <w:kern w:val="0"/>
                      <w:szCs w:val="21"/>
                    </w:rPr>
                    <w:t>排放情况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82" w:type="dxa"/>
                  <w:vMerge w:val="continue"/>
                  <w:vAlign w:val="center"/>
                </w:tcPr>
                <w:p>
                  <w:pPr>
                    <w:widowControl/>
                    <w:spacing w:line="400" w:lineRule="exact"/>
                    <w:jc w:val="center"/>
                    <w:rPr>
                      <w:color w:val="0000FF"/>
                      <w:kern w:val="0"/>
                      <w:szCs w:val="21"/>
                    </w:rPr>
                  </w:pPr>
                </w:p>
              </w:tc>
              <w:tc>
                <w:tcPr>
                  <w:tcW w:w="686" w:type="dxa"/>
                  <w:vMerge w:val="continue"/>
                  <w:vAlign w:val="center"/>
                </w:tcPr>
                <w:p>
                  <w:pPr>
                    <w:widowControl/>
                    <w:spacing w:line="400" w:lineRule="exact"/>
                    <w:jc w:val="center"/>
                    <w:rPr>
                      <w:color w:val="0000FF"/>
                      <w:kern w:val="0"/>
                      <w:szCs w:val="21"/>
                    </w:rPr>
                  </w:pPr>
                </w:p>
              </w:tc>
              <w:tc>
                <w:tcPr>
                  <w:tcW w:w="825" w:type="dxa"/>
                  <w:vMerge w:val="continue"/>
                  <w:vAlign w:val="center"/>
                </w:tcPr>
                <w:p>
                  <w:pPr>
                    <w:widowControl/>
                    <w:spacing w:line="400" w:lineRule="exact"/>
                    <w:jc w:val="center"/>
                    <w:rPr>
                      <w:color w:val="0000FF"/>
                      <w:kern w:val="0"/>
                      <w:szCs w:val="21"/>
                    </w:rPr>
                  </w:pPr>
                </w:p>
              </w:tc>
              <w:tc>
                <w:tcPr>
                  <w:tcW w:w="898" w:type="dxa"/>
                  <w:vMerge w:val="continue"/>
                  <w:vAlign w:val="center"/>
                </w:tcPr>
                <w:p>
                  <w:pPr>
                    <w:widowControl/>
                    <w:spacing w:line="400" w:lineRule="exact"/>
                    <w:jc w:val="center"/>
                    <w:rPr>
                      <w:color w:val="0000FF"/>
                      <w:kern w:val="0"/>
                      <w:szCs w:val="21"/>
                    </w:rPr>
                  </w:pPr>
                </w:p>
              </w:tc>
              <w:tc>
                <w:tcPr>
                  <w:tcW w:w="920" w:type="dxa"/>
                  <w:vAlign w:val="center"/>
                </w:tcPr>
                <w:p>
                  <w:pPr>
                    <w:widowControl/>
                    <w:spacing w:line="400" w:lineRule="exact"/>
                    <w:jc w:val="center"/>
                    <w:rPr>
                      <w:color w:val="0000FF"/>
                      <w:kern w:val="0"/>
                      <w:szCs w:val="21"/>
                    </w:rPr>
                  </w:pPr>
                  <w:r>
                    <w:rPr>
                      <w:color w:val="0000FF"/>
                      <w:kern w:val="0"/>
                      <w:szCs w:val="21"/>
                    </w:rPr>
                    <w:t>产生浓度mg/m</w:t>
                  </w:r>
                  <w:r>
                    <w:rPr>
                      <w:color w:val="0000FF"/>
                      <w:kern w:val="0"/>
                      <w:szCs w:val="21"/>
                      <w:vertAlign w:val="superscript"/>
                    </w:rPr>
                    <w:t>3</w:t>
                  </w:r>
                </w:p>
              </w:tc>
              <w:tc>
                <w:tcPr>
                  <w:tcW w:w="993" w:type="dxa"/>
                  <w:vAlign w:val="center"/>
                </w:tcPr>
                <w:p>
                  <w:pPr>
                    <w:widowControl/>
                    <w:spacing w:line="400" w:lineRule="exact"/>
                    <w:jc w:val="center"/>
                    <w:rPr>
                      <w:color w:val="0000FF"/>
                      <w:kern w:val="0"/>
                      <w:szCs w:val="21"/>
                    </w:rPr>
                  </w:pPr>
                  <w:r>
                    <w:rPr>
                      <w:color w:val="0000FF"/>
                      <w:kern w:val="0"/>
                      <w:szCs w:val="21"/>
                    </w:rPr>
                    <w:t>产生</w:t>
                  </w:r>
                  <w:r>
                    <w:rPr>
                      <w:rFonts w:hint="eastAsia"/>
                      <w:color w:val="0000FF"/>
                      <w:kern w:val="0"/>
                      <w:szCs w:val="21"/>
                      <w:lang w:eastAsia="zh-CN"/>
                    </w:rPr>
                    <w:t>速率</w:t>
                  </w:r>
                  <w:r>
                    <w:rPr>
                      <w:color w:val="0000FF"/>
                      <w:kern w:val="0"/>
                      <w:szCs w:val="21"/>
                    </w:rPr>
                    <w:t>kg/h</w:t>
                  </w:r>
                </w:p>
              </w:tc>
              <w:tc>
                <w:tcPr>
                  <w:tcW w:w="827" w:type="dxa"/>
                  <w:vAlign w:val="center"/>
                </w:tcPr>
                <w:p>
                  <w:pPr>
                    <w:widowControl/>
                    <w:spacing w:line="400" w:lineRule="exact"/>
                    <w:jc w:val="center"/>
                    <w:rPr>
                      <w:color w:val="0000FF"/>
                      <w:kern w:val="0"/>
                      <w:szCs w:val="21"/>
                    </w:rPr>
                  </w:pPr>
                  <w:r>
                    <w:rPr>
                      <w:color w:val="0000FF"/>
                      <w:kern w:val="0"/>
                      <w:szCs w:val="21"/>
                    </w:rPr>
                    <w:t>产生量(t/a)</w:t>
                  </w:r>
                </w:p>
              </w:tc>
              <w:tc>
                <w:tcPr>
                  <w:tcW w:w="993" w:type="dxa"/>
                  <w:vAlign w:val="center"/>
                </w:tcPr>
                <w:p>
                  <w:pPr>
                    <w:widowControl/>
                    <w:spacing w:line="400" w:lineRule="exact"/>
                    <w:jc w:val="center"/>
                    <w:rPr>
                      <w:color w:val="0000FF"/>
                      <w:kern w:val="0"/>
                      <w:szCs w:val="21"/>
                    </w:rPr>
                  </w:pPr>
                  <w:r>
                    <w:rPr>
                      <w:color w:val="0000FF"/>
                      <w:kern w:val="0"/>
                      <w:szCs w:val="21"/>
                    </w:rPr>
                    <w:t>排放浓度mg/m</w:t>
                  </w:r>
                  <w:r>
                    <w:rPr>
                      <w:color w:val="0000FF"/>
                      <w:kern w:val="0"/>
                      <w:szCs w:val="21"/>
                      <w:vertAlign w:val="superscript"/>
                    </w:rPr>
                    <w:t>3</w:t>
                  </w:r>
                </w:p>
              </w:tc>
              <w:tc>
                <w:tcPr>
                  <w:tcW w:w="825" w:type="dxa"/>
                  <w:vAlign w:val="center"/>
                </w:tcPr>
                <w:p>
                  <w:pPr>
                    <w:widowControl/>
                    <w:spacing w:line="400" w:lineRule="exact"/>
                    <w:jc w:val="center"/>
                    <w:rPr>
                      <w:color w:val="0000FF"/>
                      <w:kern w:val="0"/>
                      <w:szCs w:val="21"/>
                    </w:rPr>
                  </w:pPr>
                  <w:r>
                    <w:rPr>
                      <w:color w:val="0000FF"/>
                      <w:kern w:val="0"/>
                      <w:szCs w:val="21"/>
                    </w:rPr>
                    <w:t>排放</w:t>
                  </w:r>
                  <w:r>
                    <w:rPr>
                      <w:rFonts w:hint="eastAsia"/>
                      <w:color w:val="0000FF"/>
                      <w:kern w:val="0"/>
                      <w:szCs w:val="21"/>
                      <w:lang w:eastAsia="zh-CN"/>
                    </w:rPr>
                    <w:t>速率</w:t>
                  </w:r>
                  <w:r>
                    <w:rPr>
                      <w:color w:val="0000FF"/>
                      <w:kern w:val="0"/>
                      <w:szCs w:val="21"/>
                    </w:rPr>
                    <w:t>kg/h</w:t>
                  </w:r>
                </w:p>
              </w:tc>
              <w:tc>
                <w:tcPr>
                  <w:tcW w:w="825" w:type="dxa"/>
                  <w:vAlign w:val="center"/>
                </w:tcPr>
                <w:p>
                  <w:pPr>
                    <w:widowControl/>
                    <w:spacing w:line="400" w:lineRule="exact"/>
                    <w:jc w:val="center"/>
                    <w:rPr>
                      <w:color w:val="0000FF"/>
                      <w:kern w:val="0"/>
                      <w:szCs w:val="21"/>
                    </w:rPr>
                  </w:pPr>
                  <w:r>
                    <w:rPr>
                      <w:color w:val="0000FF"/>
                      <w:kern w:val="0"/>
                      <w:szCs w:val="21"/>
                    </w:rPr>
                    <w:t>排放量(t/a)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82" w:type="dxa"/>
                  <w:vMerge w:val="restart"/>
                  <w:vAlign w:val="center"/>
                </w:tcPr>
                <w:p>
                  <w:pPr>
                    <w:widowControl/>
                    <w:spacing w:line="400" w:lineRule="exact"/>
                    <w:jc w:val="center"/>
                    <w:rPr>
                      <w:color w:val="0000FF"/>
                      <w:kern w:val="0"/>
                      <w:szCs w:val="21"/>
                    </w:rPr>
                  </w:pPr>
                  <w:r>
                    <w:rPr>
                      <w:rFonts w:hint="eastAsia"/>
                      <w:color w:val="0000FF"/>
                      <w:kern w:val="0"/>
                      <w:szCs w:val="21"/>
                    </w:rPr>
                    <w:t>有机废气</w:t>
                  </w:r>
                </w:p>
              </w:tc>
              <w:tc>
                <w:tcPr>
                  <w:tcW w:w="686" w:type="dxa"/>
                  <w:vMerge w:val="restart"/>
                  <w:vAlign w:val="center"/>
                </w:tcPr>
                <w:p>
                  <w:pPr>
                    <w:widowControl/>
                    <w:spacing w:line="400" w:lineRule="exact"/>
                    <w:jc w:val="center"/>
                    <w:rPr>
                      <w:color w:val="0000FF"/>
                      <w:kern w:val="0"/>
                      <w:szCs w:val="21"/>
                    </w:rPr>
                  </w:pPr>
                  <w:r>
                    <w:rPr>
                      <w:color w:val="0000FF"/>
                      <w:kern w:val="0"/>
                      <w:szCs w:val="21"/>
                    </w:rPr>
                    <w:t>1#排气筒</w:t>
                  </w:r>
                </w:p>
              </w:tc>
              <w:tc>
                <w:tcPr>
                  <w:tcW w:w="825" w:type="dxa"/>
                  <w:vMerge w:val="restart"/>
                  <w:vAlign w:val="center"/>
                </w:tcPr>
                <w:p>
                  <w:pPr>
                    <w:widowControl/>
                    <w:spacing w:line="400" w:lineRule="exact"/>
                    <w:jc w:val="center"/>
                    <w:rPr>
                      <w:color w:val="0000FF"/>
                      <w:kern w:val="0"/>
                      <w:szCs w:val="21"/>
                    </w:rPr>
                  </w:pPr>
                  <w:r>
                    <w:rPr>
                      <w:color w:val="0000FF"/>
                      <w:kern w:val="0"/>
                      <w:szCs w:val="21"/>
                    </w:rPr>
                    <w:t>5000</w:t>
                  </w:r>
                </w:p>
              </w:tc>
              <w:tc>
                <w:tcPr>
                  <w:tcW w:w="898" w:type="dxa"/>
                  <w:vAlign w:val="center"/>
                </w:tcPr>
                <w:p>
                  <w:pPr>
                    <w:widowControl/>
                    <w:spacing w:line="400" w:lineRule="exact"/>
                    <w:jc w:val="center"/>
                    <w:rPr>
                      <w:color w:val="0000FF"/>
                      <w:kern w:val="0"/>
                      <w:szCs w:val="21"/>
                    </w:rPr>
                  </w:pPr>
                  <w:r>
                    <w:rPr>
                      <w:color w:val="0000FF"/>
                      <w:kern w:val="0"/>
                      <w:szCs w:val="21"/>
                    </w:rPr>
                    <w:t>二甲苯</w:t>
                  </w:r>
                </w:p>
              </w:tc>
              <w:tc>
                <w:tcPr>
                  <w:tcW w:w="920" w:type="dxa"/>
                  <w:vAlign w:val="bottom"/>
                </w:tcPr>
                <w:p>
                  <w:pPr>
                    <w:spacing w:line="400" w:lineRule="exact"/>
                    <w:jc w:val="center"/>
                    <w:rPr>
                      <w:color w:val="0000FF"/>
                      <w:szCs w:val="21"/>
                    </w:rPr>
                  </w:pPr>
                  <w:r>
                    <w:rPr>
                      <w:rFonts w:hint="eastAsia"/>
                      <w:color w:val="0000FF"/>
                      <w:szCs w:val="21"/>
                    </w:rPr>
                    <w:t>14.8</w:t>
                  </w:r>
                </w:p>
              </w:tc>
              <w:tc>
                <w:tcPr>
                  <w:tcW w:w="993" w:type="dxa"/>
                  <w:vAlign w:val="center"/>
                </w:tcPr>
                <w:p>
                  <w:pPr>
                    <w:jc w:val="center"/>
                    <w:rPr>
                      <w:color w:val="0000FF"/>
                      <w:szCs w:val="21"/>
                    </w:rPr>
                  </w:pPr>
                  <w:r>
                    <w:rPr>
                      <w:color w:val="0000FF"/>
                      <w:szCs w:val="21"/>
                    </w:rPr>
                    <w:t>0.074</w:t>
                  </w:r>
                </w:p>
              </w:tc>
              <w:tc>
                <w:tcPr>
                  <w:tcW w:w="827" w:type="dxa"/>
                  <w:vAlign w:val="center"/>
                </w:tcPr>
                <w:p>
                  <w:pPr>
                    <w:spacing w:line="400" w:lineRule="exact"/>
                    <w:jc w:val="center"/>
                    <w:rPr>
                      <w:color w:val="0000FF"/>
                      <w:szCs w:val="21"/>
                    </w:rPr>
                  </w:pPr>
                  <w:r>
                    <w:rPr>
                      <w:rFonts w:hint="eastAsia"/>
                      <w:color w:val="0000FF"/>
                      <w:szCs w:val="21"/>
                    </w:rPr>
                    <w:t>0.2</w:t>
                  </w:r>
                </w:p>
              </w:tc>
              <w:tc>
                <w:tcPr>
                  <w:tcW w:w="993" w:type="dxa"/>
                  <w:vAlign w:val="center"/>
                </w:tcPr>
                <w:p>
                  <w:pPr>
                    <w:spacing w:line="400" w:lineRule="exact"/>
                    <w:jc w:val="center"/>
                    <w:rPr>
                      <w:color w:val="0000FF"/>
                      <w:szCs w:val="21"/>
                    </w:rPr>
                  </w:pPr>
                  <w:r>
                    <w:rPr>
                      <w:rFonts w:hint="eastAsia"/>
                      <w:color w:val="0000FF"/>
                      <w:szCs w:val="21"/>
                    </w:rPr>
                    <w:t>1.48</w:t>
                  </w:r>
                </w:p>
              </w:tc>
              <w:tc>
                <w:tcPr>
                  <w:tcW w:w="825" w:type="dxa"/>
                  <w:vAlign w:val="center"/>
                </w:tcPr>
                <w:p>
                  <w:pPr>
                    <w:jc w:val="center"/>
                    <w:rPr>
                      <w:color w:val="0000FF"/>
                      <w:szCs w:val="21"/>
                    </w:rPr>
                  </w:pPr>
                  <w:r>
                    <w:rPr>
                      <w:color w:val="0000FF"/>
                      <w:szCs w:val="21"/>
                    </w:rPr>
                    <w:t>0.0074</w:t>
                  </w:r>
                </w:p>
              </w:tc>
              <w:tc>
                <w:tcPr>
                  <w:tcW w:w="825" w:type="dxa"/>
                  <w:vAlign w:val="center"/>
                </w:tcPr>
                <w:p>
                  <w:pPr>
                    <w:adjustRightInd w:val="0"/>
                    <w:snapToGrid w:val="0"/>
                    <w:spacing w:line="400" w:lineRule="exact"/>
                    <w:jc w:val="center"/>
                    <w:rPr>
                      <w:color w:val="0000FF"/>
                      <w:spacing w:val="3"/>
                      <w:szCs w:val="21"/>
                    </w:rPr>
                  </w:pPr>
                  <w:r>
                    <w:rPr>
                      <w:rFonts w:hint="eastAsia"/>
                      <w:color w:val="0000FF"/>
                      <w:spacing w:val="3"/>
                      <w:szCs w:val="21"/>
                    </w:rPr>
                    <w:t>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82" w:type="dxa"/>
                  <w:vMerge w:val="continue"/>
                  <w:vAlign w:val="center"/>
                </w:tcPr>
                <w:p>
                  <w:pPr>
                    <w:widowControl/>
                    <w:spacing w:line="400" w:lineRule="exact"/>
                    <w:jc w:val="center"/>
                    <w:rPr>
                      <w:color w:val="0000FF"/>
                      <w:kern w:val="0"/>
                      <w:szCs w:val="21"/>
                    </w:rPr>
                  </w:pPr>
                </w:p>
              </w:tc>
              <w:tc>
                <w:tcPr>
                  <w:tcW w:w="686" w:type="dxa"/>
                  <w:vMerge w:val="continue"/>
                  <w:vAlign w:val="center"/>
                </w:tcPr>
                <w:p>
                  <w:pPr>
                    <w:widowControl/>
                    <w:spacing w:line="400" w:lineRule="exact"/>
                    <w:jc w:val="center"/>
                    <w:rPr>
                      <w:color w:val="0000FF"/>
                      <w:kern w:val="0"/>
                      <w:szCs w:val="21"/>
                    </w:rPr>
                  </w:pPr>
                </w:p>
              </w:tc>
              <w:tc>
                <w:tcPr>
                  <w:tcW w:w="825" w:type="dxa"/>
                  <w:vMerge w:val="continue"/>
                  <w:vAlign w:val="center"/>
                </w:tcPr>
                <w:p>
                  <w:pPr>
                    <w:widowControl/>
                    <w:spacing w:line="400" w:lineRule="exact"/>
                    <w:jc w:val="center"/>
                    <w:rPr>
                      <w:color w:val="0000FF"/>
                      <w:kern w:val="0"/>
                      <w:szCs w:val="21"/>
                    </w:rPr>
                  </w:pPr>
                </w:p>
              </w:tc>
              <w:tc>
                <w:tcPr>
                  <w:tcW w:w="898" w:type="dxa"/>
                  <w:vAlign w:val="center"/>
                </w:tcPr>
                <w:p>
                  <w:pPr>
                    <w:widowControl/>
                    <w:spacing w:line="400" w:lineRule="exact"/>
                    <w:jc w:val="center"/>
                    <w:rPr>
                      <w:color w:val="0000FF"/>
                      <w:kern w:val="0"/>
                      <w:szCs w:val="21"/>
                    </w:rPr>
                  </w:pPr>
                  <w:r>
                    <w:rPr>
                      <w:rFonts w:hint="eastAsia"/>
                      <w:color w:val="0000FF"/>
                      <w:kern w:val="0"/>
                      <w:szCs w:val="21"/>
                    </w:rPr>
                    <w:t>TVOC</w:t>
                  </w:r>
                </w:p>
              </w:tc>
              <w:tc>
                <w:tcPr>
                  <w:tcW w:w="920" w:type="dxa"/>
                  <w:vAlign w:val="center"/>
                </w:tcPr>
                <w:p>
                  <w:pPr>
                    <w:spacing w:line="400" w:lineRule="exact"/>
                    <w:jc w:val="center"/>
                    <w:rPr>
                      <w:color w:val="0000FF"/>
                      <w:szCs w:val="21"/>
                    </w:rPr>
                  </w:pPr>
                  <w:r>
                    <w:rPr>
                      <w:rFonts w:hint="eastAsia"/>
                      <w:color w:val="0000FF"/>
                      <w:szCs w:val="21"/>
                    </w:rPr>
                    <w:t>91.1</w:t>
                  </w:r>
                </w:p>
              </w:tc>
              <w:tc>
                <w:tcPr>
                  <w:tcW w:w="993" w:type="dxa"/>
                  <w:vAlign w:val="center"/>
                </w:tcPr>
                <w:p>
                  <w:pPr>
                    <w:jc w:val="center"/>
                    <w:rPr>
                      <w:color w:val="0000FF"/>
                      <w:szCs w:val="21"/>
                    </w:rPr>
                  </w:pPr>
                  <w:r>
                    <w:rPr>
                      <w:color w:val="0000FF"/>
                      <w:szCs w:val="21"/>
                    </w:rPr>
                    <w:t>0.456</w:t>
                  </w:r>
                </w:p>
              </w:tc>
              <w:tc>
                <w:tcPr>
                  <w:tcW w:w="827" w:type="dxa"/>
                  <w:vAlign w:val="center"/>
                </w:tcPr>
                <w:p>
                  <w:pPr>
                    <w:spacing w:line="400" w:lineRule="exact"/>
                    <w:jc w:val="center"/>
                    <w:rPr>
                      <w:color w:val="0000FF"/>
                      <w:szCs w:val="21"/>
                    </w:rPr>
                  </w:pPr>
                  <w:r>
                    <w:rPr>
                      <w:rFonts w:hint="eastAsia"/>
                      <w:color w:val="0000FF"/>
                      <w:szCs w:val="21"/>
                    </w:rPr>
                    <w:t>1.23</w:t>
                  </w:r>
                </w:p>
              </w:tc>
              <w:tc>
                <w:tcPr>
                  <w:tcW w:w="993" w:type="dxa"/>
                  <w:vAlign w:val="center"/>
                </w:tcPr>
                <w:p>
                  <w:pPr>
                    <w:spacing w:line="400" w:lineRule="exact"/>
                    <w:jc w:val="center"/>
                    <w:rPr>
                      <w:color w:val="0000FF"/>
                      <w:szCs w:val="21"/>
                    </w:rPr>
                  </w:pPr>
                  <w:r>
                    <w:rPr>
                      <w:rFonts w:hint="eastAsia"/>
                      <w:color w:val="0000FF"/>
                      <w:szCs w:val="21"/>
                    </w:rPr>
                    <w:t>9.1</w:t>
                  </w:r>
                </w:p>
              </w:tc>
              <w:tc>
                <w:tcPr>
                  <w:tcW w:w="825" w:type="dxa"/>
                  <w:vAlign w:val="center"/>
                </w:tcPr>
                <w:p>
                  <w:pPr>
                    <w:jc w:val="center"/>
                    <w:rPr>
                      <w:color w:val="0000FF"/>
                      <w:szCs w:val="21"/>
                    </w:rPr>
                  </w:pPr>
                  <w:r>
                    <w:rPr>
                      <w:color w:val="0000FF"/>
                      <w:szCs w:val="21"/>
                    </w:rPr>
                    <w:t>0.0456</w:t>
                  </w:r>
                </w:p>
              </w:tc>
              <w:tc>
                <w:tcPr>
                  <w:tcW w:w="825" w:type="dxa"/>
                  <w:vAlign w:val="center"/>
                </w:tcPr>
                <w:p>
                  <w:pPr>
                    <w:adjustRightInd w:val="0"/>
                    <w:snapToGrid w:val="0"/>
                    <w:spacing w:line="400" w:lineRule="exact"/>
                    <w:jc w:val="center"/>
                    <w:rPr>
                      <w:color w:val="0000FF"/>
                      <w:spacing w:val="3"/>
                      <w:szCs w:val="21"/>
                    </w:rPr>
                  </w:pPr>
                  <w:r>
                    <w:rPr>
                      <w:rFonts w:hint="eastAsia"/>
                      <w:color w:val="0000FF"/>
                      <w:spacing w:val="3"/>
                      <w:szCs w:val="21"/>
                    </w:rPr>
                    <w:t>0.123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82" w:type="dxa"/>
                  <w:vAlign w:val="center"/>
                </w:tcPr>
                <w:p>
                  <w:pPr>
                    <w:widowControl/>
                    <w:spacing w:line="400" w:lineRule="exact"/>
                    <w:jc w:val="center"/>
                    <w:rPr>
                      <w:color w:val="0000FF"/>
                      <w:kern w:val="0"/>
                      <w:szCs w:val="21"/>
                    </w:rPr>
                  </w:pPr>
                  <w:r>
                    <w:rPr>
                      <w:rFonts w:hint="eastAsia"/>
                      <w:color w:val="0000FF"/>
                      <w:kern w:val="0"/>
                      <w:szCs w:val="21"/>
                    </w:rPr>
                    <w:t>粉尘</w:t>
                  </w:r>
                </w:p>
              </w:tc>
              <w:tc>
                <w:tcPr>
                  <w:tcW w:w="686" w:type="dxa"/>
                  <w:vAlign w:val="center"/>
                </w:tcPr>
                <w:p>
                  <w:pPr>
                    <w:widowControl/>
                    <w:spacing w:line="400" w:lineRule="exact"/>
                    <w:jc w:val="center"/>
                    <w:rPr>
                      <w:color w:val="0000FF"/>
                      <w:kern w:val="0"/>
                      <w:szCs w:val="21"/>
                    </w:rPr>
                  </w:pPr>
                  <w:r>
                    <w:rPr>
                      <w:rFonts w:hint="eastAsia"/>
                      <w:color w:val="0000FF"/>
                      <w:kern w:val="0"/>
                      <w:szCs w:val="21"/>
                    </w:rPr>
                    <w:t>2</w:t>
                  </w:r>
                  <w:r>
                    <w:rPr>
                      <w:color w:val="0000FF"/>
                      <w:kern w:val="0"/>
                      <w:szCs w:val="21"/>
                    </w:rPr>
                    <w:t>#排气筒</w:t>
                  </w:r>
                </w:p>
              </w:tc>
              <w:tc>
                <w:tcPr>
                  <w:tcW w:w="825" w:type="dxa"/>
                  <w:vAlign w:val="center"/>
                </w:tcPr>
                <w:p>
                  <w:pPr>
                    <w:widowControl/>
                    <w:spacing w:line="400" w:lineRule="exact"/>
                    <w:jc w:val="center"/>
                    <w:rPr>
                      <w:color w:val="0000FF"/>
                      <w:kern w:val="0"/>
                      <w:szCs w:val="21"/>
                    </w:rPr>
                  </w:pPr>
                  <w:r>
                    <w:rPr>
                      <w:color w:val="0000FF"/>
                      <w:kern w:val="0"/>
                      <w:szCs w:val="21"/>
                    </w:rPr>
                    <w:t>5000</w:t>
                  </w:r>
                </w:p>
              </w:tc>
              <w:tc>
                <w:tcPr>
                  <w:tcW w:w="898" w:type="dxa"/>
                  <w:vAlign w:val="center"/>
                </w:tcPr>
                <w:p>
                  <w:pPr>
                    <w:widowControl/>
                    <w:spacing w:line="400" w:lineRule="exact"/>
                    <w:jc w:val="center"/>
                    <w:rPr>
                      <w:color w:val="0000FF"/>
                      <w:kern w:val="0"/>
                      <w:szCs w:val="21"/>
                    </w:rPr>
                  </w:pPr>
                  <w:r>
                    <w:rPr>
                      <w:color w:val="0000FF"/>
                      <w:kern w:val="0"/>
                      <w:szCs w:val="21"/>
                    </w:rPr>
                    <w:t>粉尘</w:t>
                  </w:r>
                </w:p>
              </w:tc>
              <w:tc>
                <w:tcPr>
                  <w:tcW w:w="920" w:type="dxa"/>
                  <w:vAlign w:val="center"/>
                </w:tcPr>
                <w:p>
                  <w:pPr>
                    <w:widowControl/>
                    <w:spacing w:line="400" w:lineRule="exact"/>
                    <w:jc w:val="center"/>
                    <w:rPr>
                      <w:color w:val="0000FF"/>
                      <w:kern w:val="0"/>
                      <w:szCs w:val="21"/>
                    </w:rPr>
                  </w:pPr>
                  <w:r>
                    <w:rPr>
                      <w:rFonts w:hint="eastAsia"/>
                      <w:color w:val="0000FF"/>
                      <w:kern w:val="0"/>
                      <w:szCs w:val="21"/>
                    </w:rPr>
                    <w:t>14.3</w:t>
                  </w:r>
                </w:p>
              </w:tc>
              <w:tc>
                <w:tcPr>
                  <w:tcW w:w="993" w:type="dxa"/>
                  <w:vAlign w:val="center"/>
                </w:tcPr>
                <w:p>
                  <w:pPr>
                    <w:widowControl/>
                    <w:spacing w:line="400" w:lineRule="exact"/>
                    <w:jc w:val="center"/>
                    <w:rPr>
                      <w:color w:val="0000FF"/>
                      <w:kern w:val="0"/>
                      <w:szCs w:val="21"/>
                    </w:rPr>
                  </w:pPr>
                  <w:r>
                    <w:rPr>
                      <w:rFonts w:hint="eastAsia"/>
                      <w:color w:val="0000FF"/>
                      <w:kern w:val="0"/>
                      <w:szCs w:val="21"/>
                    </w:rPr>
                    <w:t>0.071</w:t>
                  </w:r>
                </w:p>
              </w:tc>
              <w:tc>
                <w:tcPr>
                  <w:tcW w:w="827" w:type="dxa"/>
                  <w:vAlign w:val="center"/>
                </w:tcPr>
                <w:p>
                  <w:pPr>
                    <w:widowControl/>
                    <w:spacing w:line="400" w:lineRule="exact"/>
                    <w:jc w:val="center"/>
                    <w:rPr>
                      <w:color w:val="0000FF"/>
                      <w:kern w:val="0"/>
                      <w:szCs w:val="21"/>
                    </w:rPr>
                  </w:pPr>
                  <w:r>
                    <w:rPr>
                      <w:rFonts w:hint="eastAsia"/>
                      <w:color w:val="0000FF"/>
                      <w:kern w:val="0"/>
                      <w:szCs w:val="21"/>
                    </w:rPr>
                    <w:t>0.193</w:t>
                  </w:r>
                </w:p>
              </w:tc>
              <w:tc>
                <w:tcPr>
                  <w:tcW w:w="993" w:type="dxa"/>
                  <w:vAlign w:val="center"/>
                </w:tcPr>
                <w:p>
                  <w:pPr>
                    <w:widowControl/>
                    <w:spacing w:line="400" w:lineRule="exact"/>
                    <w:jc w:val="center"/>
                    <w:rPr>
                      <w:color w:val="0000FF"/>
                      <w:kern w:val="0"/>
                      <w:szCs w:val="21"/>
                    </w:rPr>
                  </w:pPr>
                  <w:r>
                    <w:rPr>
                      <w:rFonts w:hint="eastAsia"/>
                      <w:color w:val="0000FF"/>
                      <w:kern w:val="0"/>
                      <w:szCs w:val="21"/>
                    </w:rPr>
                    <w:t>1.4</w:t>
                  </w:r>
                </w:p>
              </w:tc>
              <w:tc>
                <w:tcPr>
                  <w:tcW w:w="825" w:type="dxa"/>
                  <w:vAlign w:val="center"/>
                </w:tcPr>
                <w:p>
                  <w:pPr>
                    <w:widowControl/>
                    <w:spacing w:line="400" w:lineRule="exact"/>
                    <w:jc w:val="center"/>
                    <w:rPr>
                      <w:rFonts w:hint="default" w:eastAsia="宋体"/>
                      <w:color w:val="0000FF"/>
                      <w:kern w:val="0"/>
                      <w:szCs w:val="21"/>
                      <w:lang w:val="en-US" w:eastAsia="zh-CN"/>
                    </w:rPr>
                  </w:pPr>
                  <w:r>
                    <w:rPr>
                      <w:rFonts w:hint="eastAsia"/>
                      <w:color w:val="0000FF"/>
                      <w:kern w:val="0"/>
                      <w:szCs w:val="21"/>
                    </w:rPr>
                    <w:t>0.00</w:t>
                  </w:r>
                  <w:r>
                    <w:rPr>
                      <w:rFonts w:hint="eastAsia"/>
                      <w:color w:val="0000FF"/>
                      <w:kern w:val="0"/>
                      <w:szCs w:val="21"/>
                      <w:lang w:val="en-US" w:eastAsia="zh-CN"/>
                    </w:rPr>
                    <w:t>63</w:t>
                  </w:r>
                </w:p>
              </w:tc>
              <w:tc>
                <w:tcPr>
                  <w:tcW w:w="825" w:type="dxa"/>
                  <w:vAlign w:val="center"/>
                </w:tcPr>
                <w:p>
                  <w:pPr>
                    <w:widowControl/>
                    <w:spacing w:line="400" w:lineRule="exact"/>
                    <w:jc w:val="center"/>
                    <w:rPr>
                      <w:rFonts w:hint="eastAsia" w:eastAsia="宋体"/>
                      <w:color w:val="0000FF"/>
                      <w:kern w:val="0"/>
                      <w:szCs w:val="21"/>
                      <w:lang w:val="en-US" w:eastAsia="zh-CN"/>
                    </w:rPr>
                  </w:pPr>
                  <w:r>
                    <w:rPr>
                      <w:rFonts w:hint="eastAsia"/>
                      <w:color w:val="0000FF"/>
                      <w:kern w:val="0"/>
                      <w:szCs w:val="21"/>
                    </w:rPr>
                    <w:t>0.01</w:t>
                  </w:r>
                  <w:r>
                    <w:rPr>
                      <w:rFonts w:hint="eastAsia"/>
                      <w:color w:val="0000FF"/>
                      <w:kern w:val="0"/>
                      <w:szCs w:val="21"/>
                      <w:lang w:val="en-US" w:eastAsia="zh-CN"/>
                    </w:rPr>
                    <w:t>7</w:t>
                  </w:r>
                </w:p>
              </w:tc>
            </w:tr>
          </w:tbl>
          <w:p>
            <w:pPr>
              <w:spacing w:line="360" w:lineRule="auto"/>
              <w:ind w:firstLine="480" w:firstLineChars="200"/>
              <w:rPr>
                <w:rFonts w:hint="eastAsia" w:eastAsia="宋体"/>
                <w:color w:val="0000FF"/>
                <w:sz w:val="24"/>
                <w:szCs w:val="24"/>
                <w:lang w:eastAsia="zh-CN"/>
              </w:rPr>
            </w:pPr>
            <w:r>
              <w:rPr>
                <w:color w:val="0000FF"/>
                <w:sz w:val="24"/>
                <w:szCs w:val="24"/>
              </w:rPr>
              <w:t>无组织废气</w:t>
            </w:r>
            <w:r>
              <w:rPr>
                <w:rFonts w:hint="eastAsia"/>
                <w:color w:val="0000FF"/>
                <w:sz w:val="24"/>
                <w:szCs w:val="24"/>
                <w:lang w:eastAsia="zh-CN"/>
              </w:rPr>
              <w:t>：</w:t>
            </w:r>
          </w:p>
          <w:p>
            <w:pPr>
              <w:spacing w:line="360" w:lineRule="auto"/>
              <w:ind w:firstLine="480" w:firstLineChars="200"/>
              <w:rPr>
                <w:color w:val="0000FF"/>
                <w:sz w:val="24"/>
                <w:szCs w:val="24"/>
              </w:rPr>
            </w:pPr>
            <w:r>
              <w:rPr>
                <w:rFonts w:hint="eastAsia" w:ascii="宋体" w:hAnsi="宋体" w:cs="宋体"/>
                <w:color w:val="0000FF"/>
                <w:sz w:val="24"/>
                <w:szCs w:val="24"/>
              </w:rPr>
              <w:t>①</w:t>
            </w:r>
            <w:r>
              <w:rPr>
                <w:rFonts w:hint="eastAsia"/>
                <w:color w:val="0000FF"/>
                <w:sz w:val="24"/>
                <w:szCs w:val="24"/>
              </w:rPr>
              <w:t>压合工序、UV滚涂工序、丝印</w:t>
            </w:r>
            <w:r>
              <w:rPr>
                <w:color w:val="0000FF"/>
                <w:sz w:val="24"/>
                <w:szCs w:val="24"/>
              </w:rPr>
              <w:t>工</w:t>
            </w:r>
            <w:r>
              <w:rPr>
                <w:rFonts w:hint="eastAsia"/>
                <w:color w:val="0000FF"/>
                <w:sz w:val="24"/>
                <w:szCs w:val="24"/>
              </w:rPr>
              <w:t>序有机废气</w:t>
            </w:r>
            <w:r>
              <w:rPr>
                <w:color w:val="0000FF"/>
                <w:sz w:val="24"/>
                <w:szCs w:val="24"/>
              </w:rPr>
              <w:t>集气装置的集气效率以95%计，则无组织二甲苯产生量为0.01t/a，</w:t>
            </w:r>
            <w:r>
              <w:rPr>
                <w:rFonts w:hint="eastAsia"/>
                <w:color w:val="0000FF"/>
                <w:sz w:val="24"/>
                <w:szCs w:val="24"/>
              </w:rPr>
              <w:t>TVOC</w:t>
            </w:r>
            <w:r>
              <w:rPr>
                <w:color w:val="0000FF"/>
                <w:sz w:val="24"/>
                <w:szCs w:val="24"/>
              </w:rPr>
              <w:t>为0.</w:t>
            </w:r>
            <w:r>
              <w:rPr>
                <w:rFonts w:hint="eastAsia"/>
                <w:color w:val="0000FF"/>
                <w:sz w:val="24"/>
                <w:szCs w:val="24"/>
              </w:rPr>
              <w:t>0615</w:t>
            </w:r>
            <w:r>
              <w:rPr>
                <w:color w:val="0000FF"/>
                <w:sz w:val="24"/>
                <w:szCs w:val="24"/>
              </w:rPr>
              <w:t>t/a。</w:t>
            </w:r>
          </w:p>
          <w:p>
            <w:pPr>
              <w:spacing w:line="360" w:lineRule="auto"/>
              <w:ind w:firstLine="480" w:firstLineChars="200"/>
              <w:rPr>
                <w:color w:val="0000FF"/>
                <w:sz w:val="24"/>
                <w:szCs w:val="24"/>
              </w:rPr>
            </w:pPr>
            <w:r>
              <w:rPr>
                <w:rFonts w:hint="eastAsia" w:ascii="宋体" w:hAnsi="宋体" w:cs="宋体"/>
                <w:color w:val="0000FF"/>
                <w:sz w:val="24"/>
                <w:szCs w:val="24"/>
              </w:rPr>
              <w:t>②</w:t>
            </w:r>
            <w:r>
              <w:rPr>
                <w:color w:val="0000FF"/>
                <w:sz w:val="24"/>
                <w:szCs w:val="24"/>
              </w:rPr>
              <w:t>机加工工序集气装置的集气效率以9</w:t>
            </w:r>
            <w:r>
              <w:rPr>
                <w:rFonts w:hint="eastAsia"/>
                <w:color w:val="0000FF"/>
                <w:sz w:val="24"/>
                <w:szCs w:val="24"/>
              </w:rPr>
              <w:t>0</w:t>
            </w:r>
            <w:r>
              <w:rPr>
                <w:color w:val="0000FF"/>
                <w:sz w:val="24"/>
                <w:szCs w:val="24"/>
              </w:rPr>
              <w:t>%计，则无组织粉尘量为0.</w:t>
            </w:r>
            <w:r>
              <w:rPr>
                <w:rFonts w:hint="eastAsia"/>
                <w:color w:val="0000FF"/>
                <w:sz w:val="24"/>
                <w:szCs w:val="24"/>
              </w:rPr>
              <w:t>019</w:t>
            </w:r>
            <w:r>
              <w:rPr>
                <w:color w:val="0000FF"/>
                <w:sz w:val="24"/>
                <w:szCs w:val="24"/>
              </w:rPr>
              <w:t>t/a建设单位拟采取如下措施，以减少无组织废气的排放：</w:t>
            </w:r>
          </w:p>
          <w:p>
            <w:pPr>
              <w:spacing w:line="360" w:lineRule="auto"/>
              <w:ind w:firstLine="480" w:firstLineChars="200"/>
              <w:rPr>
                <w:color w:val="0000FF"/>
                <w:sz w:val="24"/>
                <w:szCs w:val="24"/>
              </w:rPr>
            </w:pPr>
            <w:r>
              <w:rPr>
                <w:rFonts w:hint="eastAsia" w:ascii="宋体" w:hAnsi="宋体" w:cs="宋体"/>
                <w:color w:val="0000FF"/>
                <w:sz w:val="24"/>
                <w:szCs w:val="24"/>
              </w:rPr>
              <w:t>Ⅰ</w:t>
            </w:r>
            <w:r>
              <w:rPr>
                <w:color w:val="0000FF"/>
                <w:sz w:val="24"/>
                <w:szCs w:val="24"/>
              </w:rPr>
              <w:t>加强对操作工的培训和管理，减少人为造成的无组织排放。</w:t>
            </w:r>
          </w:p>
          <w:p>
            <w:pPr>
              <w:spacing w:line="360" w:lineRule="auto"/>
              <w:ind w:firstLine="480" w:firstLineChars="200"/>
              <w:rPr>
                <w:color w:val="0000FF"/>
                <w:sz w:val="24"/>
                <w:szCs w:val="24"/>
              </w:rPr>
            </w:pPr>
            <w:r>
              <w:rPr>
                <w:rFonts w:hint="eastAsia" w:ascii="宋体" w:hAnsi="宋体" w:cs="宋体"/>
                <w:color w:val="0000FF"/>
                <w:sz w:val="24"/>
                <w:szCs w:val="24"/>
              </w:rPr>
              <w:t>Ⅱ</w:t>
            </w:r>
            <w:r>
              <w:rPr>
                <w:color w:val="0000FF"/>
                <w:sz w:val="24"/>
                <w:szCs w:val="24"/>
              </w:rPr>
              <w:t>加强车间通风，设置排风扇，减小无组织废气的排放影响。</w:t>
            </w:r>
          </w:p>
          <w:p>
            <w:pPr>
              <w:spacing w:line="360" w:lineRule="auto"/>
              <w:ind w:firstLine="480" w:firstLineChars="200"/>
              <w:rPr>
                <w:snapToGrid w:val="0"/>
                <w:color w:val="0000FF"/>
                <w:sz w:val="24"/>
                <w:szCs w:val="24"/>
              </w:rPr>
            </w:pPr>
            <w:r>
              <w:rPr>
                <w:rFonts w:hint="eastAsia" w:ascii="宋体" w:hAnsi="宋体" w:cs="宋体"/>
                <w:color w:val="0000FF"/>
                <w:sz w:val="24"/>
                <w:szCs w:val="24"/>
              </w:rPr>
              <w:t>Ⅲ</w:t>
            </w:r>
            <w:r>
              <w:rPr>
                <w:color w:val="0000FF"/>
                <w:sz w:val="24"/>
                <w:szCs w:val="24"/>
              </w:rPr>
              <w:t>加强绿化，种植具有良好吸附效果的</w:t>
            </w:r>
            <w:r>
              <w:rPr>
                <w:snapToGrid w:val="0"/>
                <w:color w:val="0000FF"/>
                <w:sz w:val="24"/>
                <w:szCs w:val="24"/>
              </w:rPr>
              <w:t>植被以降低无组织排放的影响。</w:t>
            </w:r>
          </w:p>
          <w:p>
            <w:pPr>
              <w:pStyle w:val="144"/>
              <w:ind w:firstLine="480" w:firstLineChars="200"/>
              <w:rPr>
                <w:rFonts w:ascii="Times New Roman" w:hAnsi="Times New Roman"/>
                <w:snapToGrid w:val="0"/>
                <w:color w:val="0000FF"/>
                <w:sz w:val="24"/>
                <w:szCs w:val="24"/>
              </w:rPr>
            </w:pPr>
            <w:r>
              <w:rPr>
                <w:rFonts w:ascii="Times New Roman" w:hAnsi="Times New Roman"/>
                <w:snapToGrid w:val="0"/>
                <w:color w:val="0000FF"/>
                <w:sz w:val="24"/>
                <w:szCs w:val="24"/>
              </w:rPr>
              <w:t>通过以上措施，无组织排放的有机废气能够满足《工业企业挥发性有机物排放控制标准》（DB12/524-2014）中无组织排放浓度监控限值的要求，无组织粉尘可满足《大气污染物综合排放标准》（GB16297-1996）无组织排放监控浓度限值要求，对周围大气环境的影响较小。</w:t>
            </w:r>
          </w:p>
          <w:p>
            <w:pPr>
              <w:spacing w:line="360" w:lineRule="auto"/>
              <w:ind w:firstLine="480" w:firstLineChars="200"/>
              <w:rPr>
                <w:color w:val="000000"/>
                <w:sz w:val="24"/>
              </w:rPr>
            </w:pPr>
            <w:r>
              <w:rPr>
                <w:color w:val="000000"/>
                <w:sz w:val="24"/>
              </w:rPr>
              <w:t>⑶噪声</w:t>
            </w:r>
          </w:p>
          <w:p>
            <w:pPr>
              <w:spacing w:line="360" w:lineRule="auto"/>
              <w:ind w:firstLine="480" w:firstLineChars="200"/>
              <w:rPr>
                <w:sz w:val="24"/>
              </w:rPr>
            </w:pPr>
            <w:r>
              <w:rPr>
                <w:sz w:val="24"/>
              </w:rPr>
              <w:t>项目营运期的主要噪声来源是</w:t>
            </w:r>
            <w:r>
              <w:rPr>
                <w:rFonts w:hint="eastAsia"/>
                <w:sz w:val="24"/>
              </w:rPr>
              <w:t>钻机、雕刻机、砂光机</w:t>
            </w:r>
            <w:r>
              <w:rPr>
                <w:sz w:val="24"/>
              </w:rPr>
              <w:t>等机械设备产生的机械噪声。</w:t>
            </w:r>
            <w:r>
              <w:rPr>
                <w:rFonts w:hint="eastAsia"/>
                <w:sz w:val="24"/>
              </w:rPr>
              <w:t>噪声源强见表2-14。</w:t>
            </w:r>
          </w:p>
          <w:p>
            <w:pPr>
              <w:autoSpaceDE w:val="0"/>
              <w:autoSpaceDN w:val="0"/>
              <w:adjustRightInd w:val="0"/>
              <w:snapToGrid w:val="0"/>
              <w:spacing w:before="120" w:beforeLines="50"/>
              <w:jc w:val="center"/>
              <w:rPr>
                <w:rFonts w:hint="eastAsia" w:eastAsia="黑体"/>
                <w:kern w:val="0"/>
                <w:sz w:val="24"/>
              </w:rPr>
            </w:pPr>
          </w:p>
          <w:p>
            <w:pPr>
              <w:autoSpaceDE w:val="0"/>
              <w:autoSpaceDN w:val="0"/>
              <w:adjustRightInd w:val="0"/>
              <w:snapToGrid w:val="0"/>
              <w:spacing w:before="120" w:beforeLines="50"/>
              <w:jc w:val="center"/>
              <w:rPr>
                <w:rFonts w:eastAsia="黑体"/>
                <w:kern w:val="0"/>
                <w:sz w:val="24"/>
              </w:rPr>
            </w:pPr>
            <w:r>
              <w:rPr>
                <w:rFonts w:hint="eastAsia" w:eastAsia="黑体"/>
                <w:kern w:val="0"/>
                <w:sz w:val="24"/>
              </w:rPr>
              <w:t>表2-14 　项目噪声源强一览表</w:t>
            </w:r>
          </w:p>
          <w:tbl>
            <w:tblPr>
              <w:tblStyle w:val="33"/>
              <w:tblW w:w="8794" w:type="dxa"/>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6"/>
              <w:gridCol w:w="2760"/>
              <w:gridCol w:w="2862"/>
              <w:gridCol w:w="22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6" w:type="dxa"/>
                </w:tcPr>
                <w:p>
                  <w:pPr>
                    <w:spacing w:line="360" w:lineRule="exact"/>
                    <w:rPr>
                      <w:szCs w:val="21"/>
                    </w:rPr>
                  </w:pPr>
                  <w:r>
                    <w:rPr>
                      <w:szCs w:val="21"/>
                    </w:rPr>
                    <w:t xml:space="preserve">序号 </w:t>
                  </w:r>
                </w:p>
              </w:tc>
              <w:tc>
                <w:tcPr>
                  <w:tcW w:w="2760" w:type="dxa"/>
                </w:tcPr>
                <w:p>
                  <w:pPr>
                    <w:spacing w:line="360" w:lineRule="exact"/>
                    <w:jc w:val="center"/>
                    <w:rPr>
                      <w:szCs w:val="21"/>
                    </w:rPr>
                  </w:pPr>
                  <w:r>
                    <w:rPr>
                      <w:szCs w:val="21"/>
                    </w:rPr>
                    <w:t>设备名称</w:t>
                  </w:r>
                </w:p>
              </w:tc>
              <w:tc>
                <w:tcPr>
                  <w:tcW w:w="2862" w:type="dxa"/>
                </w:tcPr>
                <w:p>
                  <w:pPr>
                    <w:spacing w:line="360" w:lineRule="exact"/>
                    <w:jc w:val="center"/>
                    <w:rPr>
                      <w:szCs w:val="21"/>
                    </w:rPr>
                  </w:pPr>
                  <w:r>
                    <w:rPr>
                      <w:b/>
                      <w:bCs/>
                      <w:kern w:val="0"/>
                      <w:szCs w:val="21"/>
                    </w:rPr>
                    <w:t>源强dB(A)</w:t>
                  </w:r>
                </w:p>
              </w:tc>
              <w:tc>
                <w:tcPr>
                  <w:tcW w:w="2246" w:type="dxa"/>
                </w:tcPr>
                <w:p>
                  <w:pPr>
                    <w:spacing w:line="360" w:lineRule="exact"/>
                    <w:jc w:val="center"/>
                    <w:rPr>
                      <w:szCs w:val="21"/>
                    </w:rPr>
                  </w:pPr>
                  <w:r>
                    <w:rPr>
                      <w:szCs w:val="2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6" w:type="dxa"/>
                </w:tcPr>
                <w:p>
                  <w:pPr>
                    <w:spacing w:line="360" w:lineRule="exact"/>
                    <w:jc w:val="center"/>
                    <w:rPr>
                      <w:szCs w:val="21"/>
                    </w:rPr>
                  </w:pPr>
                  <w:r>
                    <w:rPr>
                      <w:szCs w:val="21"/>
                    </w:rPr>
                    <w:t>1</w:t>
                  </w:r>
                </w:p>
              </w:tc>
              <w:tc>
                <w:tcPr>
                  <w:tcW w:w="2760" w:type="dxa"/>
                </w:tcPr>
                <w:p>
                  <w:pPr>
                    <w:spacing w:line="360" w:lineRule="exact"/>
                    <w:jc w:val="center"/>
                    <w:rPr>
                      <w:szCs w:val="21"/>
                    </w:rPr>
                  </w:pPr>
                  <w:r>
                    <w:rPr>
                      <w:rFonts w:hint="eastAsia"/>
                    </w:rPr>
                    <w:t>锯台</w:t>
                  </w:r>
                </w:p>
              </w:tc>
              <w:tc>
                <w:tcPr>
                  <w:tcW w:w="2862" w:type="dxa"/>
                </w:tcPr>
                <w:p>
                  <w:pPr>
                    <w:spacing w:line="360" w:lineRule="exact"/>
                    <w:jc w:val="center"/>
                    <w:rPr>
                      <w:szCs w:val="21"/>
                    </w:rPr>
                  </w:pPr>
                  <w:r>
                    <w:rPr>
                      <w:kern w:val="0"/>
                      <w:szCs w:val="21"/>
                    </w:rPr>
                    <w:t>75~85</w:t>
                  </w:r>
                </w:p>
              </w:tc>
              <w:tc>
                <w:tcPr>
                  <w:tcW w:w="2246" w:type="dxa"/>
                </w:tcPr>
                <w:p>
                  <w:pPr>
                    <w:spacing w:line="360" w:lineRule="exact"/>
                    <w:jc w:val="center"/>
                    <w:rPr>
                      <w:szCs w:val="21"/>
                    </w:rPr>
                  </w:pPr>
                  <w:r>
                    <w:rPr>
                      <w:szCs w:val="21"/>
                    </w:rPr>
                    <w:t>5台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6" w:type="dxa"/>
                </w:tcPr>
                <w:p>
                  <w:pPr>
                    <w:spacing w:line="360" w:lineRule="exact"/>
                    <w:jc w:val="center"/>
                    <w:rPr>
                      <w:szCs w:val="21"/>
                    </w:rPr>
                  </w:pPr>
                  <w:r>
                    <w:rPr>
                      <w:szCs w:val="21"/>
                    </w:rPr>
                    <w:t>2</w:t>
                  </w:r>
                </w:p>
              </w:tc>
              <w:tc>
                <w:tcPr>
                  <w:tcW w:w="2760" w:type="dxa"/>
                </w:tcPr>
                <w:p>
                  <w:pPr>
                    <w:spacing w:line="360" w:lineRule="exact"/>
                    <w:jc w:val="center"/>
                    <w:rPr>
                      <w:szCs w:val="21"/>
                    </w:rPr>
                  </w:pPr>
                  <w:r>
                    <w:rPr>
                      <w:rFonts w:hint="eastAsia"/>
                    </w:rPr>
                    <w:t>拉机</w:t>
                  </w:r>
                </w:p>
              </w:tc>
              <w:tc>
                <w:tcPr>
                  <w:tcW w:w="2862" w:type="dxa"/>
                </w:tcPr>
                <w:p>
                  <w:pPr>
                    <w:spacing w:line="360" w:lineRule="exact"/>
                    <w:jc w:val="center"/>
                    <w:rPr>
                      <w:szCs w:val="21"/>
                    </w:rPr>
                  </w:pPr>
                  <w:r>
                    <w:rPr>
                      <w:kern w:val="0"/>
                      <w:szCs w:val="21"/>
                    </w:rPr>
                    <w:t>75~85</w:t>
                  </w:r>
                </w:p>
              </w:tc>
              <w:tc>
                <w:tcPr>
                  <w:tcW w:w="2246" w:type="dxa"/>
                </w:tcPr>
                <w:p>
                  <w:pPr>
                    <w:spacing w:line="360" w:lineRule="exact"/>
                    <w:jc w:val="center"/>
                    <w:rPr>
                      <w:szCs w:val="21"/>
                    </w:rPr>
                  </w:pPr>
                  <w:r>
                    <w:rPr>
                      <w:rFonts w:hint="eastAsia"/>
                      <w:szCs w:val="21"/>
                    </w:rPr>
                    <w:t>10</w:t>
                  </w:r>
                  <w:r>
                    <w:rPr>
                      <w:szCs w:val="21"/>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926" w:type="dxa"/>
                </w:tcPr>
                <w:p>
                  <w:pPr>
                    <w:spacing w:line="360" w:lineRule="exact"/>
                    <w:jc w:val="center"/>
                    <w:rPr>
                      <w:szCs w:val="21"/>
                    </w:rPr>
                  </w:pPr>
                  <w:r>
                    <w:rPr>
                      <w:szCs w:val="21"/>
                    </w:rPr>
                    <w:t>3</w:t>
                  </w:r>
                </w:p>
              </w:tc>
              <w:tc>
                <w:tcPr>
                  <w:tcW w:w="2760" w:type="dxa"/>
                </w:tcPr>
                <w:p>
                  <w:pPr>
                    <w:spacing w:line="360" w:lineRule="exact"/>
                    <w:jc w:val="center"/>
                    <w:rPr>
                      <w:szCs w:val="21"/>
                    </w:rPr>
                  </w:pPr>
                  <w:r>
                    <w:rPr>
                      <w:rFonts w:hint="eastAsia"/>
                    </w:rPr>
                    <w:t>UV滚涂机</w:t>
                  </w:r>
                </w:p>
              </w:tc>
              <w:tc>
                <w:tcPr>
                  <w:tcW w:w="2862" w:type="dxa"/>
                </w:tcPr>
                <w:p>
                  <w:pPr>
                    <w:spacing w:line="360" w:lineRule="exact"/>
                    <w:jc w:val="center"/>
                    <w:rPr>
                      <w:szCs w:val="21"/>
                    </w:rPr>
                  </w:pPr>
                  <w:r>
                    <w:rPr>
                      <w:kern w:val="0"/>
                      <w:szCs w:val="21"/>
                    </w:rPr>
                    <w:t>75~85</w:t>
                  </w:r>
                </w:p>
              </w:tc>
              <w:tc>
                <w:tcPr>
                  <w:tcW w:w="2246" w:type="dxa"/>
                </w:tcPr>
                <w:p>
                  <w:pPr>
                    <w:spacing w:line="360" w:lineRule="exact"/>
                    <w:jc w:val="center"/>
                    <w:rPr>
                      <w:szCs w:val="21"/>
                    </w:rPr>
                  </w:pPr>
                  <w:r>
                    <w:rPr>
                      <w:rFonts w:hint="eastAsia"/>
                      <w:szCs w:val="21"/>
                    </w:rPr>
                    <w:t>2</w:t>
                  </w:r>
                  <w:r>
                    <w:rPr>
                      <w:szCs w:val="21"/>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6" w:type="dxa"/>
                </w:tcPr>
                <w:p>
                  <w:pPr>
                    <w:spacing w:line="360" w:lineRule="exact"/>
                    <w:jc w:val="center"/>
                    <w:rPr>
                      <w:szCs w:val="21"/>
                    </w:rPr>
                  </w:pPr>
                  <w:r>
                    <w:rPr>
                      <w:szCs w:val="21"/>
                    </w:rPr>
                    <w:t>4</w:t>
                  </w:r>
                </w:p>
              </w:tc>
              <w:tc>
                <w:tcPr>
                  <w:tcW w:w="2760" w:type="dxa"/>
                </w:tcPr>
                <w:p>
                  <w:pPr>
                    <w:spacing w:line="360" w:lineRule="exact"/>
                    <w:jc w:val="center"/>
                    <w:rPr>
                      <w:szCs w:val="21"/>
                    </w:rPr>
                  </w:pPr>
                  <w:r>
                    <w:rPr>
                      <w:rFonts w:hint="eastAsia"/>
                    </w:rPr>
                    <w:t>钻机</w:t>
                  </w:r>
                </w:p>
              </w:tc>
              <w:tc>
                <w:tcPr>
                  <w:tcW w:w="2862" w:type="dxa"/>
                </w:tcPr>
                <w:p>
                  <w:pPr>
                    <w:spacing w:line="360" w:lineRule="exact"/>
                    <w:jc w:val="center"/>
                    <w:rPr>
                      <w:szCs w:val="21"/>
                    </w:rPr>
                  </w:pPr>
                  <w:r>
                    <w:rPr>
                      <w:kern w:val="0"/>
                      <w:szCs w:val="21"/>
                    </w:rPr>
                    <w:t>75~85</w:t>
                  </w:r>
                </w:p>
              </w:tc>
              <w:tc>
                <w:tcPr>
                  <w:tcW w:w="2246" w:type="dxa"/>
                </w:tcPr>
                <w:p>
                  <w:pPr>
                    <w:spacing w:line="360" w:lineRule="exact"/>
                    <w:jc w:val="center"/>
                    <w:rPr>
                      <w:szCs w:val="21"/>
                    </w:rPr>
                  </w:pPr>
                  <w:r>
                    <w:rPr>
                      <w:rFonts w:hint="eastAsia"/>
                      <w:szCs w:val="21"/>
                    </w:rPr>
                    <w:t>5</w:t>
                  </w:r>
                  <w:r>
                    <w:rPr>
                      <w:szCs w:val="21"/>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6" w:type="dxa"/>
                </w:tcPr>
                <w:p>
                  <w:pPr>
                    <w:spacing w:line="360" w:lineRule="exact"/>
                    <w:jc w:val="center"/>
                    <w:rPr>
                      <w:szCs w:val="21"/>
                    </w:rPr>
                  </w:pPr>
                  <w:r>
                    <w:rPr>
                      <w:szCs w:val="21"/>
                    </w:rPr>
                    <w:t>5</w:t>
                  </w:r>
                </w:p>
              </w:tc>
              <w:tc>
                <w:tcPr>
                  <w:tcW w:w="2760" w:type="dxa"/>
                </w:tcPr>
                <w:p>
                  <w:pPr>
                    <w:spacing w:line="360" w:lineRule="exact"/>
                    <w:jc w:val="center"/>
                    <w:rPr>
                      <w:szCs w:val="21"/>
                    </w:rPr>
                  </w:pPr>
                  <w:r>
                    <w:rPr>
                      <w:rFonts w:hint="eastAsia"/>
                    </w:rPr>
                    <w:t>雕刻机</w:t>
                  </w:r>
                </w:p>
              </w:tc>
              <w:tc>
                <w:tcPr>
                  <w:tcW w:w="2862" w:type="dxa"/>
                </w:tcPr>
                <w:p>
                  <w:pPr>
                    <w:spacing w:line="360" w:lineRule="exact"/>
                    <w:jc w:val="center"/>
                    <w:rPr>
                      <w:szCs w:val="21"/>
                    </w:rPr>
                  </w:pPr>
                  <w:r>
                    <w:rPr>
                      <w:rFonts w:hint="eastAsia"/>
                      <w:kern w:val="0"/>
                      <w:szCs w:val="21"/>
                    </w:rPr>
                    <w:t>80</w:t>
                  </w:r>
                  <w:r>
                    <w:rPr>
                      <w:kern w:val="0"/>
                      <w:szCs w:val="21"/>
                    </w:rPr>
                    <w:t>~</w:t>
                  </w:r>
                  <w:r>
                    <w:rPr>
                      <w:rFonts w:hint="eastAsia"/>
                      <w:kern w:val="0"/>
                      <w:szCs w:val="21"/>
                    </w:rPr>
                    <w:t>90</w:t>
                  </w:r>
                </w:p>
              </w:tc>
              <w:tc>
                <w:tcPr>
                  <w:tcW w:w="2246" w:type="dxa"/>
                </w:tcPr>
                <w:p>
                  <w:pPr>
                    <w:spacing w:line="360" w:lineRule="exact"/>
                    <w:jc w:val="center"/>
                    <w:rPr>
                      <w:szCs w:val="21"/>
                    </w:rPr>
                  </w:pPr>
                  <w:r>
                    <w:rPr>
                      <w:rFonts w:hint="eastAsia"/>
                      <w:szCs w:val="21"/>
                    </w:rPr>
                    <w:t>1</w:t>
                  </w:r>
                  <w:r>
                    <w:rPr>
                      <w:szCs w:val="21"/>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26" w:type="dxa"/>
                </w:tcPr>
                <w:p>
                  <w:pPr>
                    <w:spacing w:line="360" w:lineRule="exact"/>
                    <w:jc w:val="center"/>
                    <w:rPr>
                      <w:szCs w:val="21"/>
                    </w:rPr>
                  </w:pPr>
                  <w:r>
                    <w:rPr>
                      <w:szCs w:val="21"/>
                    </w:rPr>
                    <w:t>6</w:t>
                  </w:r>
                </w:p>
              </w:tc>
              <w:tc>
                <w:tcPr>
                  <w:tcW w:w="2760" w:type="dxa"/>
                </w:tcPr>
                <w:p>
                  <w:pPr>
                    <w:spacing w:line="360" w:lineRule="exact"/>
                    <w:jc w:val="center"/>
                    <w:rPr>
                      <w:szCs w:val="21"/>
                    </w:rPr>
                  </w:pPr>
                  <w:r>
                    <w:rPr>
                      <w:rFonts w:hint="eastAsia"/>
                    </w:rPr>
                    <w:t>砂光机</w:t>
                  </w:r>
                </w:p>
              </w:tc>
              <w:tc>
                <w:tcPr>
                  <w:tcW w:w="2862" w:type="dxa"/>
                </w:tcPr>
                <w:p>
                  <w:pPr>
                    <w:spacing w:line="360" w:lineRule="exact"/>
                    <w:jc w:val="center"/>
                    <w:rPr>
                      <w:szCs w:val="21"/>
                    </w:rPr>
                  </w:pPr>
                  <w:r>
                    <w:rPr>
                      <w:kern w:val="0"/>
                      <w:szCs w:val="21"/>
                    </w:rPr>
                    <w:t>75~85</w:t>
                  </w:r>
                </w:p>
              </w:tc>
              <w:tc>
                <w:tcPr>
                  <w:tcW w:w="2246" w:type="dxa"/>
                </w:tcPr>
                <w:p>
                  <w:pPr>
                    <w:spacing w:line="360" w:lineRule="exact"/>
                    <w:jc w:val="center"/>
                    <w:rPr>
                      <w:szCs w:val="21"/>
                    </w:rPr>
                  </w:pPr>
                  <w:r>
                    <w:rPr>
                      <w:rFonts w:hint="eastAsia"/>
                      <w:szCs w:val="21"/>
                    </w:rPr>
                    <w:t>1</w:t>
                  </w:r>
                  <w:r>
                    <w:rPr>
                      <w:szCs w:val="21"/>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6" w:type="dxa"/>
                </w:tcPr>
                <w:p>
                  <w:pPr>
                    <w:spacing w:line="360" w:lineRule="exact"/>
                    <w:jc w:val="center"/>
                    <w:rPr>
                      <w:szCs w:val="21"/>
                    </w:rPr>
                  </w:pPr>
                  <w:r>
                    <w:rPr>
                      <w:szCs w:val="21"/>
                    </w:rPr>
                    <w:t>7</w:t>
                  </w:r>
                </w:p>
              </w:tc>
              <w:tc>
                <w:tcPr>
                  <w:tcW w:w="2760" w:type="dxa"/>
                </w:tcPr>
                <w:p>
                  <w:pPr>
                    <w:spacing w:line="360" w:lineRule="exact"/>
                    <w:jc w:val="center"/>
                    <w:rPr>
                      <w:szCs w:val="21"/>
                    </w:rPr>
                  </w:pPr>
                  <w:r>
                    <w:rPr>
                      <w:rFonts w:hint="eastAsia"/>
                    </w:rPr>
                    <w:t>压机</w:t>
                  </w:r>
                </w:p>
              </w:tc>
              <w:tc>
                <w:tcPr>
                  <w:tcW w:w="2862" w:type="dxa"/>
                </w:tcPr>
                <w:p>
                  <w:pPr>
                    <w:spacing w:line="360" w:lineRule="exact"/>
                    <w:jc w:val="center"/>
                    <w:rPr>
                      <w:szCs w:val="21"/>
                    </w:rPr>
                  </w:pPr>
                  <w:r>
                    <w:rPr>
                      <w:rFonts w:hint="eastAsia"/>
                      <w:kern w:val="0"/>
                      <w:szCs w:val="21"/>
                    </w:rPr>
                    <w:t>80</w:t>
                  </w:r>
                  <w:r>
                    <w:rPr>
                      <w:kern w:val="0"/>
                      <w:szCs w:val="21"/>
                    </w:rPr>
                    <w:t>~</w:t>
                  </w:r>
                  <w:r>
                    <w:rPr>
                      <w:rFonts w:hint="eastAsia"/>
                      <w:kern w:val="0"/>
                      <w:szCs w:val="21"/>
                    </w:rPr>
                    <w:t>90</w:t>
                  </w:r>
                </w:p>
              </w:tc>
              <w:tc>
                <w:tcPr>
                  <w:tcW w:w="2246" w:type="dxa"/>
                </w:tcPr>
                <w:p>
                  <w:pPr>
                    <w:spacing w:line="360" w:lineRule="exact"/>
                    <w:jc w:val="center"/>
                    <w:rPr>
                      <w:szCs w:val="21"/>
                    </w:rPr>
                  </w:pPr>
                  <w:r>
                    <w:rPr>
                      <w:rFonts w:hint="eastAsia"/>
                      <w:szCs w:val="21"/>
                    </w:rPr>
                    <w:t>3</w:t>
                  </w:r>
                  <w:r>
                    <w:rPr>
                      <w:szCs w:val="21"/>
                    </w:rPr>
                    <w:t>台</w:t>
                  </w:r>
                </w:p>
              </w:tc>
            </w:tr>
          </w:tbl>
          <w:p>
            <w:pPr>
              <w:spacing w:line="360" w:lineRule="auto"/>
              <w:ind w:firstLine="480" w:firstLineChars="200"/>
              <w:rPr>
                <w:color w:val="000000"/>
                <w:sz w:val="24"/>
              </w:rPr>
            </w:pPr>
            <w:r>
              <w:rPr>
                <w:color w:val="000000"/>
                <w:sz w:val="24"/>
              </w:rPr>
              <w:t>⑷固体废物（环评核算）</w:t>
            </w:r>
          </w:p>
          <w:p>
            <w:pPr>
              <w:spacing w:line="360" w:lineRule="auto"/>
              <w:ind w:firstLine="480" w:firstLineChars="200"/>
              <w:rPr>
                <w:color w:val="000000"/>
                <w:sz w:val="24"/>
              </w:rPr>
            </w:pPr>
            <w:r>
              <w:rPr>
                <w:color w:val="000000"/>
                <w:sz w:val="24"/>
              </w:rPr>
              <w:t>一般工业固体废物</w:t>
            </w:r>
            <w:r>
              <w:rPr>
                <w:rFonts w:hint="eastAsia"/>
                <w:color w:val="000000"/>
                <w:sz w:val="24"/>
              </w:rPr>
              <w:t>：</w:t>
            </w:r>
          </w:p>
          <w:p>
            <w:pPr>
              <w:spacing w:line="360" w:lineRule="auto"/>
              <w:ind w:firstLine="480" w:firstLineChars="200"/>
              <w:rPr>
                <w:color w:val="000000"/>
                <w:sz w:val="24"/>
              </w:rPr>
            </w:pPr>
            <w:r>
              <w:rPr>
                <w:color w:val="000000"/>
                <w:sz w:val="24"/>
              </w:rPr>
              <w:t>1）边角料：项目</w:t>
            </w:r>
            <w:r>
              <w:rPr>
                <w:rFonts w:hint="eastAsia"/>
                <w:color w:val="000000"/>
                <w:sz w:val="24"/>
              </w:rPr>
              <w:t>机</w:t>
            </w:r>
            <w:r>
              <w:rPr>
                <w:color w:val="000000"/>
                <w:sz w:val="24"/>
              </w:rPr>
              <w:t>加工过程中产生的边角料约</w:t>
            </w:r>
            <w:r>
              <w:rPr>
                <w:rFonts w:hint="eastAsia"/>
                <w:color w:val="000000"/>
                <w:sz w:val="24"/>
              </w:rPr>
              <w:t>1.5</w:t>
            </w:r>
            <w:r>
              <w:rPr>
                <w:color w:val="000000"/>
                <w:sz w:val="24"/>
              </w:rPr>
              <w:t>t/a，外售综合利用</w:t>
            </w:r>
            <w:r>
              <w:rPr>
                <w:rFonts w:hint="eastAsia"/>
                <w:color w:val="000000"/>
                <w:sz w:val="24"/>
              </w:rPr>
              <w:t>。</w:t>
            </w:r>
          </w:p>
          <w:p>
            <w:pPr>
              <w:spacing w:line="360" w:lineRule="auto"/>
              <w:ind w:firstLine="480" w:firstLineChars="200"/>
              <w:rPr>
                <w:color w:val="000000"/>
                <w:sz w:val="24"/>
              </w:rPr>
            </w:pPr>
            <w:r>
              <w:rPr>
                <w:rFonts w:hint="eastAsia"/>
                <w:color w:val="000000"/>
                <w:sz w:val="24"/>
              </w:rPr>
              <w:t>2</w:t>
            </w:r>
            <w:r>
              <w:rPr>
                <w:color w:val="000000"/>
                <w:sz w:val="24"/>
              </w:rPr>
              <w:t>）废包装材料：项目产生的废包装材料约0.5t/a，交由废品回收公司回收。</w:t>
            </w:r>
          </w:p>
          <w:p>
            <w:pPr>
              <w:spacing w:line="360" w:lineRule="auto"/>
              <w:ind w:firstLine="480" w:firstLineChars="200"/>
              <w:rPr>
                <w:color w:val="000000"/>
                <w:sz w:val="24"/>
              </w:rPr>
            </w:pPr>
            <w:r>
              <w:rPr>
                <w:rFonts w:hint="eastAsia"/>
                <w:color w:val="000000"/>
                <w:sz w:val="24"/>
              </w:rPr>
              <w:t>3）收集的粉尘：</w:t>
            </w:r>
            <w:r>
              <w:rPr>
                <w:color w:val="000000"/>
                <w:sz w:val="24"/>
              </w:rPr>
              <w:t>项目</w:t>
            </w:r>
            <w:r>
              <w:rPr>
                <w:color w:val="000000"/>
                <w:sz w:val="24"/>
              </w:rPr>
              <w:fldChar w:fldCharType="begin"/>
            </w:r>
            <w:r>
              <w:rPr>
                <w:color w:val="000000"/>
                <w:sz w:val="24"/>
              </w:rPr>
              <w:instrText xml:space="preserve">HYPERLINK "https://baike.baidu.com/item/%E4%B8%AD%E5%A4%AE%E9%99%A4%E5%B0%98%E7%B3%BB%E7%BB%9F/5863157" \t "_blank"</w:instrText>
            </w:r>
            <w:r>
              <w:rPr>
                <w:color w:val="000000"/>
                <w:sz w:val="24"/>
              </w:rPr>
              <w:fldChar w:fldCharType="separate"/>
            </w:r>
            <w:r>
              <w:rPr>
                <w:color w:val="000000"/>
                <w:sz w:val="24"/>
              </w:rPr>
              <w:t>除尘系统</w:t>
            </w:r>
            <w:r>
              <w:rPr>
                <w:color w:val="000000"/>
                <w:sz w:val="24"/>
              </w:rPr>
              <w:fldChar w:fldCharType="end"/>
            </w:r>
            <w:r>
              <w:rPr>
                <w:rFonts w:hint="eastAsia"/>
                <w:color w:val="000000"/>
                <w:sz w:val="24"/>
              </w:rPr>
              <w:t>收集的粉尘约</w:t>
            </w:r>
            <w:r>
              <w:rPr>
                <w:color w:val="000000"/>
                <w:sz w:val="24"/>
              </w:rPr>
              <w:t>0.17 t/a</w:t>
            </w:r>
            <w:r>
              <w:rPr>
                <w:rFonts w:hint="eastAsia"/>
                <w:color w:val="000000"/>
                <w:sz w:val="24"/>
              </w:rPr>
              <w:t>，外售综合利用。</w:t>
            </w:r>
          </w:p>
          <w:p>
            <w:pPr>
              <w:pStyle w:val="106"/>
              <w:adjustRightInd w:val="0"/>
              <w:snapToGrid w:val="0"/>
              <w:ind w:firstLine="496" w:firstLineChars="200"/>
              <w:rPr>
                <w:rFonts w:ascii="Times New Roman" w:hAnsi="Times New Roman"/>
              </w:rPr>
            </w:pPr>
            <w:r>
              <w:rPr>
                <w:rFonts w:ascii="Times New Roman" w:hAnsi="Times New Roman"/>
              </w:rPr>
              <w:t>危险废物</w:t>
            </w:r>
            <w:r>
              <w:rPr>
                <w:rFonts w:hint="eastAsia" w:ascii="Times New Roman" w:hAnsi="Times New Roman"/>
              </w:rPr>
              <w:t>：</w:t>
            </w:r>
          </w:p>
          <w:p>
            <w:pPr>
              <w:pStyle w:val="106"/>
              <w:adjustRightInd w:val="0"/>
              <w:snapToGrid w:val="0"/>
              <w:ind w:firstLine="496" w:firstLineChars="200"/>
              <w:rPr>
                <w:rFonts w:ascii="Times New Roman" w:hAnsi="Times New Roman"/>
              </w:rPr>
            </w:pPr>
            <w:r>
              <w:rPr>
                <w:rFonts w:ascii="Times New Roman" w:hAnsi="Times New Roman"/>
              </w:rPr>
              <w:t>1）废活性炭：废气处理过程中产生的废活性炭属于危险废物（HW49），产生量约5t/a，送有资质单位处置。</w:t>
            </w:r>
          </w:p>
          <w:p>
            <w:pPr>
              <w:pStyle w:val="106"/>
              <w:adjustRightInd w:val="0"/>
              <w:snapToGrid w:val="0"/>
              <w:ind w:firstLine="496" w:firstLineChars="200"/>
              <w:rPr>
                <w:rFonts w:ascii="Times New Roman" w:hAnsi="Times New Roman"/>
                <w:bCs/>
              </w:rPr>
            </w:pPr>
            <w:r>
              <w:rPr>
                <w:rFonts w:hint="eastAsia" w:ascii="Times New Roman" w:hAnsi="Times New Roman"/>
                <w:bCs/>
              </w:rPr>
              <w:t>2）废网版：项目丝印过程中产生少量的废网版</w:t>
            </w:r>
            <w:r>
              <w:rPr>
                <w:rFonts w:ascii="Times New Roman" w:hAnsi="Times New Roman"/>
              </w:rPr>
              <w:t>属于危险废物（HW</w:t>
            </w:r>
            <w:r>
              <w:rPr>
                <w:rFonts w:hint="eastAsia" w:ascii="Times New Roman" w:hAnsi="Times New Roman"/>
              </w:rPr>
              <w:t>12</w:t>
            </w:r>
            <w:r>
              <w:rPr>
                <w:rFonts w:ascii="Times New Roman" w:hAnsi="Times New Roman"/>
              </w:rPr>
              <w:t>），产生量约</w:t>
            </w:r>
            <w:r>
              <w:rPr>
                <w:rFonts w:hint="eastAsia" w:ascii="Times New Roman" w:hAnsi="Times New Roman"/>
              </w:rPr>
              <w:t>0.5</w:t>
            </w:r>
            <w:r>
              <w:rPr>
                <w:rFonts w:ascii="Times New Roman" w:hAnsi="Times New Roman"/>
              </w:rPr>
              <w:t>t/a，送有资质单位处置。</w:t>
            </w:r>
          </w:p>
          <w:p>
            <w:pPr>
              <w:snapToGrid w:val="0"/>
              <w:spacing w:line="360" w:lineRule="auto"/>
              <w:ind w:firstLine="480" w:firstLineChars="200"/>
              <w:rPr>
                <w:rFonts w:hint="eastAsia" w:eastAsia="宋体"/>
                <w:bCs/>
                <w:sz w:val="24"/>
                <w:lang w:eastAsia="zh-CN"/>
              </w:rPr>
            </w:pPr>
            <w:r>
              <w:rPr>
                <w:bCs/>
                <w:sz w:val="24"/>
              </w:rPr>
              <w:t>生活垃圾</w:t>
            </w:r>
            <w:r>
              <w:rPr>
                <w:rFonts w:hint="eastAsia"/>
                <w:bCs/>
                <w:sz w:val="24"/>
                <w:lang w:eastAsia="zh-CN"/>
              </w:rPr>
              <w:t>：</w:t>
            </w:r>
          </w:p>
          <w:p>
            <w:pPr>
              <w:adjustRightInd w:val="0"/>
              <w:snapToGrid w:val="0"/>
              <w:spacing w:line="360" w:lineRule="auto"/>
              <w:ind w:firstLine="480" w:firstLineChars="200"/>
              <w:rPr>
                <w:b/>
                <w:sz w:val="24"/>
              </w:rPr>
            </w:pPr>
            <w:r>
              <w:rPr>
                <w:bCs/>
                <w:sz w:val="24"/>
              </w:rPr>
              <w:t>项目劳动定员1</w:t>
            </w:r>
            <w:r>
              <w:rPr>
                <w:rFonts w:hint="eastAsia"/>
                <w:bCs/>
                <w:sz w:val="24"/>
              </w:rPr>
              <w:t>0</w:t>
            </w:r>
            <w:r>
              <w:rPr>
                <w:bCs/>
                <w:sz w:val="24"/>
              </w:rPr>
              <w:t>0人，生活垃圾产生量按每人每天0.5kg计，则生活垃圾产生量为</w:t>
            </w:r>
            <w:r>
              <w:rPr>
                <w:rFonts w:hint="eastAsia"/>
                <w:bCs/>
                <w:sz w:val="24"/>
              </w:rPr>
              <w:t>15</w:t>
            </w:r>
            <w:r>
              <w:rPr>
                <w:bCs/>
                <w:sz w:val="24"/>
              </w:rPr>
              <w:t>t/a，交由环卫部门统一处置。</w:t>
            </w:r>
          </w:p>
          <w:p>
            <w:pPr>
              <w:autoSpaceDE w:val="0"/>
              <w:autoSpaceDN w:val="0"/>
              <w:adjustRightInd w:val="0"/>
              <w:snapToGrid w:val="0"/>
              <w:spacing w:before="120" w:beforeLines="50"/>
              <w:jc w:val="center"/>
              <w:rPr>
                <w:rFonts w:eastAsia="黑体"/>
                <w:kern w:val="0"/>
                <w:sz w:val="24"/>
                <w:lang w:val="en-GB"/>
              </w:rPr>
            </w:pPr>
            <w:r>
              <w:rPr>
                <w:rFonts w:hint="eastAsia" w:eastAsia="黑体"/>
                <w:kern w:val="0"/>
                <w:sz w:val="24"/>
                <w:lang w:val="en-GB"/>
              </w:rPr>
              <w:t>表</w:t>
            </w:r>
            <w:r>
              <w:rPr>
                <w:rFonts w:hint="eastAsia" w:eastAsia="黑体"/>
                <w:kern w:val="0"/>
                <w:sz w:val="24"/>
              </w:rPr>
              <w:t>2</w:t>
            </w:r>
            <w:r>
              <w:rPr>
                <w:rFonts w:hint="eastAsia" w:eastAsia="黑体"/>
                <w:kern w:val="0"/>
                <w:sz w:val="24"/>
                <w:lang w:val="en-GB"/>
              </w:rPr>
              <w:t>-</w:t>
            </w:r>
            <w:r>
              <w:rPr>
                <w:rFonts w:hint="eastAsia" w:eastAsia="黑体"/>
                <w:kern w:val="0"/>
                <w:sz w:val="24"/>
              </w:rPr>
              <w:t>15</w:t>
            </w:r>
            <w:r>
              <w:rPr>
                <w:rFonts w:hint="eastAsia" w:eastAsia="黑体"/>
                <w:kern w:val="0"/>
                <w:sz w:val="24"/>
                <w:lang w:val="en-GB"/>
              </w:rPr>
              <w:t xml:space="preserve">  项目固体废物产排情况一览表</w:t>
            </w:r>
          </w:p>
          <w:tbl>
            <w:tblPr>
              <w:tblStyle w:val="33"/>
              <w:tblW w:w="8784"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18"/>
              <w:gridCol w:w="2363"/>
              <w:gridCol w:w="1704"/>
              <w:gridCol w:w="33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681" w:type="dxa"/>
                  <w:gridSpan w:val="2"/>
                  <w:vAlign w:val="center"/>
                </w:tcPr>
                <w:p>
                  <w:pPr>
                    <w:adjustRightInd w:val="0"/>
                    <w:snapToGrid w:val="0"/>
                    <w:spacing w:line="400" w:lineRule="exact"/>
                    <w:jc w:val="center"/>
                    <w:rPr>
                      <w:b/>
                      <w:bCs/>
                      <w:spacing w:val="3"/>
                      <w:szCs w:val="21"/>
                    </w:rPr>
                  </w:pPr>
                  <w:r>
                    <w:rPr>
                      <w:b/>
                      <w:bCs/>
                      <w:spacing w:val="3"/>
                      <w:szCs w:val="21"/>
                    </w:rPr>
                    <w:t>项目</w:t>
                  </w:r>
                </w:p>
              </w:tc>
              <w:tc>
                <w:tcPr>
                  <w:tcW w:w="1704" w:type="dxa"/>
                  <w:vAlign w:val="center"/>
                </w:tcPr>
                <w:p>
                  <w:pPr>
                    <w:adjustRightInd w:val="0"/>
                    <w:snapToGrid w:val="0"/>
                    <w:spacing w:line="400" w:lineRule="exact"/>
                    <w:jc w:val="center"/>
                    <w:rPr>
                      <w:b/>
                      <w:bCs/>
                      <w:spacing w:val="3"/>
                      <w:szCs w:val="21"/>
                    </w:rPr>
                  </w:pPr>
                  <w:r>
                    <w:rPr>
                      <w:b/>
                      <w:bCs/>
                      <w:spacing w:val="3"/>
                      <w:szCs w:val="21"/>
                    </w:rPr>
                    <w:t>产生量（t/a）</w:t>
                  </w:r>
                </w:p>
              </w:tc>
              <w:tc>
                <w:tcPr>
                  <w:tcW w:w="3399" w:type="dxa"/>
                  <w:vAlign w:val="center"/>
                </w:tcPr>
                <w:p>
                  <w:pPr>
                    <w:adjustRightInd w:val="0"/>
                    <w:snapToGrid w:val="0"/>
                    <w:spacing w:line="400" w:lineRule="exact"/>
                    <w:jc w:val="center"/>
                    <w:rPr>
                      <w:b/>
                      <w:bCs/>
                      <w:spacing w:val="3"/>
                      <w:szCs w:val="21"/>
                    </w:rPr>
                  </w:pPr>
                  <w:r>
                    <w:rPr>
                      <w:b/>
                      <w:bCs/>
                      <w:spacing w:val="3"/>
                      <w:szCs w:val="21"/>
                    </w:rPr>
                    <w:t>处理处置方式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restart"/>
                  <w:vAlign w:val="center"/>
                </w:tcPr>
                <w:p>
                  <w:pPr>
                    <w:adjustRightInd w:val="0"/>
                    <w:snapToGrid w:val="0"/>
                    <w:spacing w:line="400" w:lineRule="exact"/>
                    <w:jc w:val="center"/>
                  </w:pPr>
                  <w:r>
                    <w:t>一般工业固废</w:t>
                  </w:r>
                </w:p>
              </w:tc>
              <w:tc>
                <w:tcPr>
                  <w:tcW w:w="2363" w:type="dxa"/>
                  <w:vAlign w:val="center"/>
                </w:tcPr>
                <w:p>
                  <w:pPr>
                    <w:adjustRightInd w:val="0"/>
                    <w:snapToGrid w:val="0"/>
                    <w:spacing w:line="400" w:lineRule="exact"/>
                    <w:jc w:val="center"/>
                  </w:pPr>
                  <w:r>
                    <w:t>边角料</w:t>
                  </w:r>
                </w:p>
              </w:tc>
              <w:tc>
                <w:tcPr>
                  <w:tcW w:w="1704" w:type="dxa"/>
                  <w:vAlign w:val="center"/>
                </w:tcPr>
                <w:p>
                  <w:pPr>
                    <w:adjustRightInd w:val="0"/>
                    <w:snapToGrid w:val="0"/>
                    <w:spacing w:line="400" w:lineRule="exact"/>
                    <w:jc w:val="center"/>
                  </w:pPr>
                  <w:r>
                    <w:rPr>
                      <w:rFonts w:hint="eastAsia"/>
                    </w:rPr>
                    <w:t>1.5</w:t>
                  </w:r>
                </w:p>
              </w:tc>
              <w:tc>
                <w:tcPr>
                  <w:tcW w:w="3399" w:type="dxa"/>
                  <w:vAlign w:val="center"/>
                </w:tcPr>
                <w:p>
                  <w:pPr>
                    <w:adjustRightInd w:val="0"/>
                    <w:snapToGrid w:val="0"/>
                    <w:spacing w:line="400" w:lineRule="exact"/>
                    <w:jc w:val="center"/>
                  </w:pPr>
                  <w:r>
                    <w:t>外售综合利用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continue"/>
                  <w:vAlign w:val="center"/>
                </w:tcPr>
                <w:p>
                  <w:pPr>
                    <w:adjustRightInd w:val="0"/>
                    <w:snapToGrid w:val="0"/>
                    <w:spacing w:line="400" w:lineRule="exact"/>
                    <w:jc w:val="center"/>
                  </w:pPr>
                </w:p>
              </w:tc>
              <w:tc>
                <w:tcPr>
                  <w:tcW w:w="2363" w:type="dxa"/>
                  <w:vAlign w:val="center"/>
                </w:tcPr>
                <w:p>
                  <w:pPr>
                    <w:adjustRightInd w:val="0"/>
                    <w:snapToGrid w:val="0"/>
                    <w:spacing w:line="400" w:lineRule="exact"/>
                    <w:jc w:val="center"/>
                  </w:pPr>
                  <w:r>
                    <w:rPr>
                      <w:rFonts w:hint="eastAsia"/>
                    </w:rPr>
                    <w:t>收集的</w:t>
                  </w:r>
                  <w:r>
                    <w:t>粉尘</w:t>
                  </w:r>
                </w:p>
              </w:tc>
              <w:tc>
                <w:tcPr>
                  <w:tcW w:w="1704" w:type="dxa"/>
                  <w:vAlign w:val="center"/>
                </w:tcPr>
                <w:p>
                  <w:pPr>
                    <w:adjustRightInd w:val="0"/>
                    <w:snapToGrid w:val="0"/>
                    <w:spacing w:line="400" w:lineRule="exact"/>
                    <w:jc w:val="center"/>
                  </w:pPr>
                  <w:r>
                    <w:rPr>
                      <w:rFonts w:hint="eastAsia"/>
                    </w:rPr>
                    <w:t>0.17</w:t>
                  </w:r>
                </w:p>
              </w:tc>
              <w:tc>
                <w:tcPr>
                  <w:tcW w:w="3399" w:type="dxa"/>
                  <w:vAlign w:val="center"/>
                </w:tcPr>
                <w:p>
                  <w:pPr>
                    <w:adjustRightInd w:val="0"/>
                    <w:snapToGrid w:val="0"/>
                    <w:spacing w:line="400" w:lineRule="exact"/>
                    <w:jc w:val="center"/>
                  </w:pPr>
                  <w:r>
                    <w:t>外售综合利用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continue"/>
                  <w:vAlign w:val="center"/>
                </w:tcPr>
                <w:p>
                  <w:pPr>
                    <w:adjustRightInd w:val="0"/>
                    <w:snapToGrid w:val="0"/>
                    <w:spacing w:line="400" w:lineRule="exact"/>
                    <w:jc w:val="center"/>
                  </w:pPr>
                </w:p>
              </w:tc>
              <w:tc>
                <w:tcPr>
                  <w:tcW w:w="2363" w:type="dxa"/>
                  <w:vAlign w:val="center"/>
                </w:tcPr>
                <w:p>
                  <w:pPr>
                    <w:adjustRightInd w:val="0"/>
                    <w:snapToGrid w:val="0"/>
                    <w:spacing w:line="400" w:lineRule="exact"/>
                    <w:jc w:val="center"/>
                  </w:pPr>
                  <w:r>
                    <w:t>废包装材料</w:t>
                  </w:r>
                </w:p>
              </w:tc>
              <w:tc>
                <w:tcPr>
                  <w:tcW w:w="1704" w:type="dxa"/>
                  <w:vAlign w:val="center"/>
                </w:tcPr>
                <w:p>
                  <w:pPr>
                    <w:adjustRightInd w:val="0"/>
                    <w:snapToGrid w:val="0"/>
                    <w:spacing w:line="400" w:lineRule="exact"/>
                    <w:jc w:val="center"/>
                  </w:pPr>
                  <w:r>
                    <w:t>0.5</w:t>
                  </w:r>
                </w:p>
              </w:tc>
              <w:tc>
                <w:tcPr>
                  <w:tcW w:w="3399" w:type="dxa"/>
                  <w:vAlign w:val="center"/>
                </w:tcPr>
                <w:p>
                  <w:pPr>
                    <w:adjustRightInd w:val="0"/>
                    <w:snapToGrid w:val="0"/>
                    <w:spacing w:line="400" w:lineRule="exact"/>
                    <w:jc w:val="center"/>
                  </w:pPr>
                  <w:r>
                    <w:t>外售综合利用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continue"/>
                  <w:vAlign w:val="center"/>
                </w:tcPr>
                <w:p>
                  <w:pPr>
                    <w:adjustRightInd w:val="0"/>
                    <w:snapToGrid w:val="0"/>
                    <w:spacing w:line="400" w:lineRule="exact"/>
                    <w:jc w:val="center"/>
                  </w:pPr>
                </w:p>
              </w:tc>
              <w:tc>
                <w:tcPr>
                  <w:tcW w:w="2363" w:type="dxa"/>
                  <w:vAlign w:val="center"/>
                </w:tcPr>
                <w:p>
                  <w:pPr>
                    <w:adjustRightInd w:val="0"/>
                    <w:snapToGrid w:val="0"/>
                    <w:spacing w:line="400" w:lineRule="exact"/>
                    <w:jc w:val="center"/>
                  </w:pPr>
                  <w:r>
                    <w:rPr>
                      <w:rFonts w:hint="eastAsia"/>
                    </w:rPr>
                    <w:t>小计</w:t>
                  </w:r>
                </w:p>
              </w:tc>
              <w:tc>
                <w:tcPr>
                  <w:tcW w:w="1704" w:type="dxa"/>
                  <w:vAlign w:val="center"/>
                </w:tcPr>
                <w:p>
                  <w:pPr>
                    <w:adjustRightInd w:val="0"/>
                    <w:snapToGrid w:val="0"/>
                    <w:spacing w:line="400" w:lineRule="exact"/>
                    <w:jc w:val="center"/>
                  </w:pPr>
                  <w:r>
                    <w:fldChar w:fldCharType="begin"/>
                  </w:r>
                  <w:r>
                    <w:instrText xml:space="preserve"> =SUM(ABOVE) </w:instrText>
                  </w:r>
                  <w:r>
                    <w:fldChar w:fldCharType="separate"/>
                  </w:r>
                  <w:r>
                    <w:t>2.17</w:t>
                  </w:r>
                  <w:r>
                    <w:fldChar w:fldCharType="end"/>
                  </w:r>
                </w:p>
              </w:tc>
              <w:tc>
                <w:tcPr>
                  <w:tcW w:w="3399" w:type="dxa"/>
                  <w:vAlign w:val="center"/>
                </w:tcPr>
                <w:p>
                  <w:pPr>
                    <w:adjustRightInd w:val="0"/>
                    <w:snapToGri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restart"/>
                  <w:vAlign w:val="center"/>
                </w:tcPr>
                <w:p>
                  <w:pPr>
                    <w:adjustRightInd w:val="0"/>
                    <w:snapToGrid w:val="0"/>
                    <w:spacing w:line="400" w:lineRule="exact"/>
                    <w:jc w:val="center"/>
                  </w:pPr>
                  <w:r>
                    <w:t>危险废物</w:t>
                  </w:r>
                </w:p>
              </w:tc>
              <w:tc>
                <w:tcPr>
                  <w:tcW w:w="2363" w:type="dxa"/>
                  <w:vAlign w:val="center"/>
                </w:tcPr>
                <w:p>
                  <w:pPr>
                    <w:adjustRightInd w:val="0"/>
                    <w:snapToGrid w:val="0"/>
                    <w:spacing w:line="400" w:lineRule="exact"/>
                    <w:jc w:val="center"/>
                  </w:pPr>
                  <w:r>
                    <w:t>废活性炭</w:t>
                  </w:r>
                </w:p>
              </w:tc>
              <w:tc>
                <w:tcPr>
                  <w:tcW w:w="1704" w:type="dxa"/>
                  <w:vAlign w:val="center"/>
                </w:tcPr>
                <w:p>
                  <w:pPr>
                    <w:adjustRightInd w:val="0"/>
                    <w:snapToGrid w:val="0"/>
                    <w:spacing w:line="400" w:lineRule="exact"/>
                    <w:jc w:val="center"/>
                  </w:pPr>
                  <w:r>
                    <w:t>5</w:t>
                  </w:r>
                </w:p>
              </w:tc>
              <w:tc>
                <w:tcPr>
                  <w:tcW w:w="3399" w:type="dxa"/>
                  <w:vAlign w:val="center"/>
                </w:tcPr>
                <w:p>
                  <w:pPr>
                    <w:adjustRightInd w:val="0"/>
                    <w:snapToGrid w:val="0"/>
                    <w:spacing w:line="400" w:lineRule="exact"/>
                    <w:jc w:val="center"/>
                  </w:pPr>
                  <w:r>
                    <w:t>送有资质单位处置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continue"/>
                  <w:vAlign w:val="center"/>
                </w:tcPr>
                <w:p>
                  <w:pPr>
                    <w:adjustRightInd w:val="0"/>
                    <w:snapToGrid w:val="0"/>
                    <w:spacing w:line="400" w:lineRule="exact"/>
                    <w:jc w:val="center"/>
                  </w:pPr>
                </w:p>
              </w:tc>
              <w:tc>
                <w:tcPr>
                  <w:tcW w:w="2363" w:type="dxa"/>
                  <w:vAlign w:val="center"/>
                </w:tcPr>
                <w:p>
                  <w:pPr>
                    <w:adjustRightInd w:val="0"/>
                    <w:snapToGrid w:val="0"/>
                    <w:spacing w:line="400" w:lineRule="exact"/>
                    <w:jc w:val="center"/>
                  </w:pPr>
                  <w:r>
                    <w:rPr>
                      <w:rFonts w:hint="eastAsia"/>
                      <w:bCs/>
                    </w:rPr>
                    <w:t>废网版</w:t>
                  </w:r>
                </w:p>
              </w:tc>
              <w:tc>
                <w:tcPr>
                  <w:tcW w:w="1704" w:type="dxa"/>
                  <w:vAlign w:val="center"/>
                </w:tcPr>
                <w:p>
                  <w:pPr>
                    <w:adjustRightInd w:val="0"/>
                    <w:snapToGrid w:val="0"/>
                    <w:spacing w:line="400" w:lineRule="exact"/>
                    <w:jc w:val="center"/>
                  </w:pPr>
                  <w:r>
                    <w:rPr>
                      <w:rFonts w:hint="eastAsia"/>
                    </w:rPr>
                    <w:t>0.5</w:t>
                  </w:r>
                </w:p>
              </w:tc>
              <w:tc>
                <w:tcPr>
                  <w:tcW w:w="3399" w:type="dxa"/>
                  <w:vAlign w:val="center"/>
                </w:tcPr>
                <w:p>
                  <w:pPr>
                    <w:adjustRightInd w:val="0"/>
                    <w:snapToGrid w:val="0"/>
                    <w:spacing w:line="400" w:lineRule="exact"/>
                    <w:jc w:val="center"/>
                  </w:pPr>
                  <w:r>
                    <w:t>送有资质单位处置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Merge w:val="continue"/>
                  <w:vAlign w:val="center"/>
                </w:tcPr>
                <w:p>
                  <w:pPr>
                    <w:adjustRightInd w:val="0"/>
                    <w:snapToGrid w:val="0"/>
                    <w:spacing w:line="400" w:lineRule="exact"/>
                    <w:jc w:val="center"/>
                  </w:pPr>
                </w:p>
              </w:tc>
              <w:tc>
                <w:tcPr>
                  <w:tcW w:w="2363" w:type="dxa"/>
                  <w:vAlign w:val="center"/>
                </w:tcPr>
                <w:p>
                  <w:pPr>
                    <w:adjustRightInd w:val="0"/>
                    <w:snapToGrid w:val="0"/>
                    <w:spacing w:line="400" w:lineRule="exact"/>
                    <w:jc w:val="center"/>
                  </w:pPr>
                  <w:r>
                    <w:t>小计</w:t>
                  </w:r>
                </w:p>
              </w:tc>
              <w:tc>
                <w:tcPr>
                  <w:tcW w:w="1704" w:type="dxa"/>
                  <w:vAlign w:val="center"/>
                </w:tcPr>
                <w:p>
                  <w:pPr>
                    <w:adjustRightInd w:val="0"/>
                    <w:snapToGrid w:val="0"/>
                    <w:spacing w:line="400" w:lineRule="exact"/>
                    <w:jc w:val="center"/>
                  </w:pPr>
                  <w:r>
                    <w:rPr>
                      <w:rFonts w:hint="eastAsia"/>
                    </w:rPr>
                    <w:t>5.5</w:t>
                  </w:r>
                </w:p>
              </w:tc>
              <w:tc>
                <w:tcPr>
                  <w:tcW w:w="3399" w:type="dxa"/>
                  <w:vAlign w:val="center"/>
                </w:tcPr>
                <w:p>
                  <w:pPr>
                    <w:adjustRightInd w:val="0"/>
                    <w:snapToGri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dxa"/>
                  <w:vAlign w:val="center"/>
                </w:tcPr>
                <w:p>
                  <w:pPr>
                    <w:adjustRightInd w:val="0"/>
                    <w:snapToGrid w:val="0"/>
                    <w:spacing w:line="400" w:lineRule="exact"/>
                    <w:jc w:val="center"/>
                  </w:pPr>
                  <w:r>
                    <w:t>生活垃圾</w:t>
                  </w:r>
                </w:p>
              </w:tc>
              <w:tc>
                <w:tcPr>
                  <w:tcW w:w="2363" w:type="dxa"/>
                  <w:vAlign w:val="center"/>
                </w:tcPr>
                <w:p>
                  <w:pPr>
                    <w:adjustRightInd w:val="0"/>
                    <w:snapToGrid w:val="0"/>
                    <w:spacing w:line="400" w:lineRule="exact"/>
                    <w:jc w:val="center"/>
                  </w:pPr>
                  <w:r>
                    <w:t>生活垃圾</w:t>
                  </w:r>
                </w:p>
              </w:tc>
              <w:tc>
                <w:tcPr>
                  <w:tcW w:w="1704" w:type="dxa"/>
                  <w:vAlign w:val="center"/>
                </w:tcPr>
                <w:p>
                  <w:pPr>
                    <w:adjustRightInd w:val="0"/>
                    <w:snapToGrid w:val="0"/>
                    <w:spacing w:line="400" w:lineRule="exact"/>
                    <w:jc w:val="center"/>
                  </w:pPr>
                  <w:r>
                    <w:rPr>
                      <w:rFonts w:hint="eastAsia"/>
                    </w:rPr>
                    <w:t>15</w:t>
                  </w:r>
                </w:p>
              </w:tc>
              <w:tc>
                <w:tcPr>
                  <w:tcW w:w="3399" w:type="dxa"/>
                  <w:vAlign w:val="center"/>
                </w:tcPr>
                <w:p>
                  <w:pPr>
                    <w:adjustRightInd w:val="0"/>
                    <w:snapToGrid w:val="0"/>
                    <w:spacing w:line="400" w:lineRule="exact"/>
                    <w:jc w:val="center"/>
                  </w:pPr>
                  <w:r>
                    <w:t>环卫部门处置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40" w:hRule="atLeast"/>
              </w:trPr>
              <w:tc>
                <w:tcPr>
                  <w:tcW w:w="3681" w:type="dxa"/>
                  <w:gridSpan w:val="2"/>
                  <w:vAlign w:val="center"/>
                </w:tcPr>
                <w:p>
                  <w:pPr>
                    <w:adjustRightInd w:val="0"/>
                    <w:snapToGrid w:val="0"/>
                    <w:spacing w:line="400" w:lineRule="exact"/>
                    <w:jc w:val="center"/>
                  </w:pPr>
                  <w:r>
                    <w:t>合计</w:t>
                  </w:r>
                </w:p>
              </w:tc>
              <w:tc>
                <w:tcPr>
                  <w:tcW w:w="1704" w:type="dxa"/>
                  <w:vAlign w:val="center"/>
                </w:tcPr>
                <w:p>
                  <w:pPr>
                    <w:adjustRightInd w:val="0"/>
                    <w:snapToGrid w:val="0"/>
                    <w:spacing w:line="400" w:lineRule="exact"/>
                    <w:jc w:val="center"/>
                  </w:pPr>
                  <w:r>
                    <w:rPr>
                      <w:rFonts w:hint="eastAsia"/>
                    </w:rPr>
                    <w:t>22.67</w:t>
                  </w:r>
                </w:p>
              </w:tc>
              <w:tc>
                <w:tcPr>
                  <w:tcW w:w="3399" w:type="dxa"/>
                  <w:vAlign w:val="center"/>
                </w:tcPr>
                <w:p>
                  <w:pPr>
                    <w:adjustRightInd w:val="0"/>
                    <w:snapToGrid w:val="0"/>
                    <w:spacing w:line="400" w:lineRule="exact"/>
                    <w:jc w:val="center"/>
                  </w:pPr>
                  <w:r>
                    <w:t>/</w:t>
                  </w:r>
                </w:p>
              </w:tc>
            </w:tr>
          </w:tbl>
          <w:p>
            <w:pPr>
              <w:pStyle w:val="48"/>
              <w:ind w:firstLine="480"/>
              <w:rPr>
                <w:rFonts w:hint="default" w:eastAsia="宋体"/>
                <w:lang w:val="en-US" w:eastAsia="zh-CN"/>
              </w:rPr>
            </w:pPr>
            <w:r>
              <w:rPr>
                <w:rFonts w:hint="eastAsia"/>
              </w:rPr>
              <w:t>变更前项目污染物产排情况</w:t>
            </w:r>
            <w:r>
              <w:rPr>
                <w:rFonts w:hint="eastAsia"/>
                <w:lang w:eastAsia="zh-CN"/>
              </w:rPr>
              <w:t>见表</w:t>
            </w:r>
            <w:r>
              <w:rPr>
                <w:rFonts w:hint="eastAsia"/>
                <w:lang w:val="en-US" w:eastAsia="zh-CN"/>
              </w:rPr>
              <w:t>2-16。</w:t>
            </w:r>
          </w:p>
          <w:p>
            <w:pPr>
              <w:autoSpaceDE w:val="0"/>
              <w:autoSpaceDN w:val="0"/>
              <w:adjustRightInd w:val="0"/>
              <w:snapToGrid w:val="0"/>
              <w:spacing w:before="120" w:beforeLines="50"/>
              <w:jc w:val="center"/>
              <w:rPr>
                <w:rFonts w:hint="eastAsia" w:eastAsia="黑体"/>
                <w:color w:val="0000FF"/>
                <w:kern w:val="0"/>
                <w:sz w:val="24"/>
                <w:lang w:val="en-GB" w:eastAsia="zh-CN"/>
              </w:rPr>
            </w:pPr>
            <w:r>
              <w:rPr>
                <w:rFonts w:hint="eastAsia" w:eastAsia="黑体"/>
                <w:color w:val="0000FF"/>
                <w:kern w:val="0"/>
                <w:sz w:val="24"/>
                <w:lang w:val="en-GB"/>
              </w:rPr>
              <w:t>表2-1</w:t>
            </w:r>
            <w:r>
              <w:rPr>
                <w:rFonts w:hint="eastAsia" w:eastAsia="黑体"/>
                <w:color w:val="0000FF"/>
                <w:kern w:val="0"/>
                <w:sz w:val="24"/>
              </w:rPr>
              <w:t>6</w:t>
            </w:r>
            <w:r>
              <w:rPr>
                <w:rFonts w:hint="eastAsia" w:eastAsia="黑体"/>
                <w:color w:val="0000FF"/>
                <w:kern w:val="0"/>
                <w:sz w:val="24"/>
                <w:lang w:val="en-GB"/>
              </w:rPr>
              <w:t xml:space="preserve"> 变更前项目污染物产排情况</w:t>
            </w:r>
            <w:r>
              <w:rPr>
                <w:rFonts w:hint="eastAsia" w:eastAsia="黑体"/>
                <w:color w:val="0000FF"/>
                <w:kern w:val="0"/>
                <w:sz w:val="24"/>
                <w:lang w:val="en-GB" w:eastAsia="zh-CN"/>
              </w:rPr>
              <w:t>表</w:t>
            </w:r>
          </w:p>
          <w:tbl>
            <w:tblPr>
              <w:tblStyle w:val="33"/>
              <w:tblW w:w="5000" w:type="pct"/>
              <w:jc w:val="center"/>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14"/>
              <w:gridCol w:w="817"/>
              <w:gridCol w:w="1514"/>
              <w:gridCol w:w="1473"/>
              <w:gridCol w:w="1514"/>
              <w:gridCol w:w="1514"/>
            </w:tblGrid>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tcBorders>
                    <w:tl2br w:val="nil"/>
                    <w:tr2bl w:val="nil"/>
                  </w:tcBorders>
                  <w:vAlign w:val="center"/>
                </w:tcPr>
                <w:p>
                  <w:pPr>
                    <w:pStyle w:val="122"/>
                    <w:rPr>
                      <w:rFonts w:eastAsiaTheme="minorEastAsia"/>
                      <w:b/>
                      <w:bCs/>
                      <w:color w:val="0000FF"/>
                      <w:sz w:val="21"/>
                      <w:szCs w:val="21"/>
                    </w:rPr>
                  </w:pPr>
                  <w:r>
                    <w:rPr>
                      <w:rFonts w:eastAsiaTheme="minorEastAsia"/>
                      <w:b/>
                      <w:bCs/>
                      <w:color w:val="0000FF"/>
                      <w:sz w:val="21"/>
                      <w:szCs w:val="21"/>
                    </w:rPr>
                    <w:t>内容</w:t>
                  </w:r>
                </w:p>
                <w:p>
                  <w:pPr>
                    <w:pStyle w:val="122"/>
                    <w:rPr>
                      <w:rFonts w:eastAsiaTheme="minorEastAsia"/>
                      <w:b/>
                      <w:bCs/>
                      <w:color w:val="0000FF"/>
                      <w:sz w:val="21"/>
                      <w:szCs w:val="21"/>
                    </w:rPr>
                  </w:pPr>
                  <w:r>
                    <w:rPr>
                      <w:rFonts w:eastAsiaTheme="minorEastAsia"/>
                      <w:b/>
                      <w:bCs/>
                      <w:color w:val="0000FF"/>
                      <w:sz w:val="21"/>
                      <w:szCs w:val="21"/>
                    </w:rPr>
                    <w:t>类型</w:t>
                  </w:r>
                </w:p>
              </w:tc>
              <w:tc>
                <w:tcPr>
                  <w:tcW w:w="914" w:type="dxa"/>
                  <w:tcBorders>
                    <w:tl2br w:val="nil"/>
                    <w:tr2bl w:val="nil"/>
                  </w:tcBorders>
                  <w:vAlign w:val="center"/>
                </w:tcPr>
                <w:p>
                  <w:pPr>
                    <w:pStyle w:val="122"/>
                    <w:rPr>
                      <w:rFonts w:eastAsiaTheme="minorEastAsia"/>
                      <w:b/>
                      <w:bCs/>
                      <w:color w:val="0000FF"/>
                      <w:sz w:val="21"/>
                      <w:szCs w:val="21"/>
                    </w:rPr>
                  </w:pPr>
                  <w:r>
                    <w:rPr>
                      <w:rFonts w:eastAsiaTheme="minorEastAsia"/>
                      <w:b/>
                      <w:bCs/>
                      <w:color w:val="0000FF"/>
                      <w:sz w:val="21"/>
                      <w:szCs w:val="21"/>
                    </w:rPr>
                    <w:t>排放源</w:t>
                  </w:r>
                </w:p>
                <w:p>
                  <w:pPr>
                    <w:pStyle w:val="122"/>
                    <w:rPr>
                      <w:rFonts w:eastAsiaTheme="minorEastAsia"/>
                      <w:b/>
                      <w:bCs/>
                      <w:color w:val="0000FF"/>
                      <w:sz w:val="21"/>
                      <w:szCs w:val="21"/>
                    </w:rPr>
                  </w:pPr>
                  <w:r>
                    <w:rPr>
                      <w:rFonts w:eastAsiaTheme="minorEastAsia"/>
                      <w:b/>
                      <w:bCs/>
                      <w:color w:val="0000FF"/>
                      <w:sz w:val="21"/>
                      <w:szCs w:val="21"/>
                    </w:rPr>
                    <w:t>（编号）</w:t>
                  </w:r>
                </w:p>
              </w:tc>
              <w:tc>
                <w:tcPr>
                  <w:tcW w:w="817" w:type="dxa"/>
                  <w:tcBorders>
                    <w:tl2br w:val="nil"/>
                    <w:tr2bl w:val="nil"/>
                  </w:tcBorders>
                  <w:vAlign w:val="center"/>
                </w:tcPr>
                <w:p>
                  <w:pPr>
                    <w:pStyle w:val="122"/>
                    <w:rPr>
                      <w:rFonts w:eastAsiaTheme="minorEastAsia"/>
                      <w:b/>
                      <w:bCs/>
                      <w:color w:val="0000FF"/>
                      <w:sz w:val="21"/>
                      <w:szCs w:val="21"/>
                    </w:rPr>
                  </w:pPr>
                  <w:r>
                    <w:rPr>
                      <w:rFonts w:eastAsiaTheme="minorEastAsia"/>
                      <w:b/>
                      <w:bCs/>
                      <w:color w:val="0000FF"/>
                      <w:sz w:val="21"/>
                      <w:szCs w:val="21"/>
                    </w:rPr>
                    <w:t>污染物名称</w:t>
                  </w:r>
                </w:p>
              </w:tc>
              <w:tc>
                <w:tcPr>
                  <w:tcW w:w="1514" w:type="dxa"/>
                  <w:tcBorders>
                    <w:tl2br w:val="nil"/>
                    <w:tr2bl w:val="nil"/>
                  </w:tcBorders>
                  <w:vAlign w:val="center"/>
                </w:tcPr>
                <w:p>
                  <w:pPr>
                    <w:pStyle w:val="122"/>
                    <w:rPr>
                      <w:rFonts w:eastAsiaTheme="minorEastAsia"/>
                      <w:b/>
                      <w:bCs/>
                      <w:color w:val="0000FF"/>
                      <w:sz w:val="21"/>
                      <w:szCs w:val="21"/>
                    </w:rPr>
                  </w:pPr>
                  <w:r>
                    <w:rPr>
                      <w:rFonts w:eastAsiaTheme="minorEastAsia"/>
                      <w:b/>
                      <w:bCs/>
                      <w:color w:val="0000FF"/>
                      <w:sz w:val="21"/>
                      <w:szCs w:val="21"/>
                    </w:rPr>
                    <w:t>产生</w:t>
                  </w:r>
                  <w:r>
                    <w:rPr>
                      <w:rFonts w:hint="eastAsia" w:eastAsiaTheme="minorEastAsia"/>
                      <w:b/>
                      <w:bCs/>
                      <w:color w:val="0000FF"/>
                      <w:sz w:val="21"/>
                      <w:szCs w:val="21"/>
                    </w:rPr>
                    <w:t>浓度</w:t>
                  </w:r>
                </w:p>
              </w:tc>
              <w:tc>
                <w:tcPr>
                  <w:tcW w:w="1473" w:type="dxa"/>
                  <w:tcBorders>
                    <w:tl2br w:val="nil"/>
                    <w:tr2bl w:val="nil"/>
                  </w:tcBorders>
                  <w:vAlign w:val="center"/>
                </w:tcPr>
                <w:p>
                  <w:pPr>
                    <w:pStyle w:val="122"/>
                    <w:rPr>
                      <w:rFonts w:eastAsiaTheme="minorEastAsia"/>
                      <w:b/>
                      <w:bCs/>
                      <w:color w:val="0000FF"/>
                      <w:sz w:val="21"/>
                      <w:szCs w:val="21"/>
                    </w:rPr>
                  </w:pPr>
                  <w:r>
                    <w:rPr>
                      <w:rFonts w:eastAsiaTheme="minorEastAsia"/>
                      <w:b/>
                      <w:bCs/>
                      <w:color w:val="0000FF"/>
                      <w:sz w:val="21"/>
                      <w:szCs w:val="21"/>
                    </w:rPr>
                    <w:t>产生量（t/a）</w:t>
                  </w:r>
                </w:p>
              </w:tc>
              <w:tc>
                <w:tcPr>
                  <w:tcW w:w="1514" w:type="dxa"/>
                  <w:tcBorders>
                    <w:tl2br w:val="nil"/>
                    <w:tr2bl w:val="nil"/>
                  </w:tcBorders>
                  <w:vAlign w:val="center"/>
                </w:tcPr>
                <w:p>
                  <w:pPr>
                    <w:pStyle w:val="122"/>
                    <w:rPr>
                      <w:rFonts w:eastAsiaTheme="minorEastAsia"/>
                      <w:b/>
                      <w:bCs/>
                      <w:color w:val="0000FF"/>
                      <w:sz w:val="21"/>
                      <w:szCs w:val="21"/>
                    </w:rPr>
                  </w:pPr>
                  <w:r>
                    <w:rPr>
                      <w:rFonts w:hint="eastAsia" w:eastAsiaTheme="minorEastAsia"/>
                      <w:b/>
                      <w:bCs/>
                      <w:color w:val="0000FF"/>
                      <w:sz w:val="21"/>
                      <w:szCs w:val="21"/>
                      <w:lang w:eastAsia="zh-CN"/>
                    </w:rPr>
                    <w:t>排放</w:t>
                  </w:r>
                  <w:r>
                    <w:rPr>
                      <w:rFonts w:hint="eastAsia" w:eastAsiaTheme="minorEastAsia"/>
                      <w:b/>
                      <w:bCs/>
                      <w:color w:val="0000FF"/>
                      <w:sz w:val="21"/>
                      <w:szCs w:val="21"/>
                    </w:rPr>
                    <w:t>浓度</w:t>
                  </w:r>
                </w:p>
              </w:tc>
              <w:tc>
                <w:tcPr>
                  <w:tcW w:w="1514" w:type="dxa"/>
                  <w:tcBorders>
                    <w:tl2br w:val="nil"/>
                    <w:tr2bl w:val="nil"/>
                  </w:tcBorders>
                  <w:vAlign w:val="center"/>
                </w:tcPr>
                <w:p>
                  <w:pPr>
                    <w:pStyle w:val="122"/>
                    <w:rPr>
                      <w:rFonts w:eastAsiaTheme="minorEastAsia"/>
                      <w:b/>
                      <w:bCs/>
                      <w:color w:val="0000FF"/>
                      <w:sz w:val="21"/>
                      <w:szCs w:val="21"/>
                    </w:rPr>
                  </w:pPr>
                  <w:r>
                    <w:rPr>
                      <w:rFonts w:hint="eastAsia" w:eastAsiaTheme="minorEastAsia"/>
                      <w:b/>
                      <w:bCs/>
                      <w:color w:val="0000FF"/>
                      <w:sz w:val="21"/>
                      <w:szCs w:val="21"/>
                      <w:lang w:eastAsia="zh-CN"/>
                    </w:rPr>
                    <w:t>排放</w:t>
                  </w:r>
                  <w:r>
                    <w:rPr>
                      <w:rFonts w:eastAsiaTheme="minorEastAsia"/>
                      <w:b/>
                      <w:bCs/>
                      <w:color w:val="0000FF"/>
                      <w:sz w:val="21"/>
                      <w:szCs w:val="21"/>
                    </w:rPr>
                    <w:t>量（t/a）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restart"/>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大气污染物</w:t>
                  </w:r>
                </w:p>
              </w:tc>
              <w:tc>
                <w:tcPr>
                  <w:tcW w:w="914" w:type="dxa"/>
                  <w:vMerge w:val="restart"/>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压合工序、UV滚涂工序、丝印</w:t>
                  </w:r>
                  <w:r>
                    <w:rPr>
                      <w:rFonts w:eastAsiaTheme="minorEastAsia"/>
                      <w:color w:val="0000FF"/>
                      <w:sz w:val="21"/>
                      <w:szCs w:val="21"/>
                    </w:rPr>
                    <w:t>工</w:t>
                  </w:r>
                  <w:r>
                    <w:rPr>
                      <w:rFonts w:hint="eastAsia" w:eastAsiaTheme="minorEastAsia"/>
                      <w:color w:val="0000FF"/>
                      <w:sz w:val="21"/>
                      <w:szCs w:val="21"/>
                    </w:rPr>
                    <w:t>序</w:t>
                  </w: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二甲苯</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bCs/>
                      <w:color w:val="0000FF"/>
                      <w:kern w:val="0"/>
                      <w:sz w:val="24"/>
                    </w:rPr>
                    <w:t>14.8</w:t>
                  </w:r>
                  <w:r>
                    <w:rPr>
                      <w:bCs/>
                      <w:color w:val="0000FF"/>
                      <w:kern w:val="0"/>
                      <w:sz w:val="24"/>
                    </w:rPr>
                    <w:t>mg/m</w:t>
                  </w:r>
                  <w:r>
                    <w:rPr>
                      <w:bCs/>
                      <w:color w:val="0000FF"/>
                      <w:kern w:val="0"/>
                      <w:sz w:val="24"/>
                      <w:vertAlign w:val="superscript"/>
                    </w:rPr>
                    <w:t>3</w:t>
                  </w:r>
                </w:p>
              </w:tc>
              <w:tc>
                <w:tcPr>
                  <w:tcW w:w="1473" w:type="dxa"/>
                  <w:tcBorders>
                    <w:tl2br w:val="nil"/>
                    <w:tr2bl w:val="nil"/>
                  </w:tcBorders>
                  <w:vAlign w:val="center"/>
                </w:tcPr>
                <w:p>
                  <w:pPr>
                    <w:adjustRightInd w:val="0"/>
                    <w:snapToGrid w:val="0"/>
                    <w:spacing w:line="360" w:lineRule="auto"/>
                    <w:jc w:val="center"/>
                    <w:rPr>
                      <w:rFonts w:eastAsiaTheme="minorEastAsia"/>
                      <w:color w:val="0000FF"/>
                      <w:szCs w:val="21"/>
                    </w:rPr>
                  </w:pPr>
                  <w:r>
                    <w:rPr>
                      <w:bCs/>
                      <w:color w:val="0000FF"/>
                      <w:kern w:val="0"/>
                      <w:sz w:val="24"/>
                    </w:rPr>
                    <w:t>0.2 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bCs/>
                      <w:color w:val="0000FF"/>
                      <w:kern w:val="0"/>
                      <w:sz w:val="24"/>
                    </w:rPr>
                    <w:t>1.48</w:t>
                  </w:r>
                  <w:r>
                    <w:rPr>
                      <w:bCs/>
                      <w:color w:val="0000FF"/>
                      <w:kern w:val="0"/>
                      <w:sz w:val="24"/>
                    </w:rPr>
                    <w:t>mg/m</w:t>
                  </w:r>
                  <w:r>
                    <w:rPr>
                      <w:bCs/>
                      <w:color w:val="0000FF"/>
                      <w:kern w:val="0"/>
                      <w:sz w:val="24"/>
                      <w:vertAlign w:val="superscript"/>
                    </w:rPr>
                    <w:t>3</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bCs/>
                      <w:color w:val="0000FF"/>
                      <w:kern w:val="0"/>
                      <w:sz w:val="24"/>
                    </w:rPr>
                    <w:t>0.02t/a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TVOC</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bCs/>
                      <w:color w:val="0000FF"/>
                      <w:kern w:val="0"/>
                      <w:sz w:val="24"/>
                    </w:rPr>
                    <w:t>9</w:t>
                  </w:r>
                  <w:r>
                    <w:rPr>
                      <w:rFonts w:hint="eastAsia"/>
                      <w:bCs/>
                      <w:color w:val="0000FF"/>
                      <w:kern w:val="0"/>
                      <w:sz w:val="24"/>
                    </w:rPr>
                    <w:t>1.1</w:t>
                  </w:r>
                  <w:r>
                    <w:rPr>
                      <w:bCs/>
                      <w:color w:val="0000FF"/>
                      <w:kern w:val="0"/>
                      <w:sz w:val="24"/>
                    </w:rPr>
                    <w:t>mg/m</w:t>
                  </w:r>
                  <w:r>
                    <w:rPr>
                      <w:bCs/>
                      <w:color w:val="0000FF"/>
                      <w:kern w:val="0"/>
                      <w:sz w:val="24"/>
                      <w:vertAlign w:val="superscript"/>
                    </w:rPr>
                    <w:t>3</w:t>
                  </w:r>
                </w:p>
              </w:tc>
              <w:tc>
                <w:tcPr>
                  <w:tcW w:w="1473"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bCs/>
                      <w:color w:val="0000FF"/>
                      <w:kern w:val="0"/>
                      <w:sz w:val="24"/>
                    </w:rPr>
                    <w:t>1.23</w:t>
                  </w:r>
                  <w:r>
                    <w:rPr>
                      <w:bCs/>
                      <w:color w:val="0000FF"/>
                      <w:kern w:val="0"/>
                      <w:sz w:val="24"/>
                    </w:rPr>
                    <w:t xml:space="preserve"> 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bCs/>
                      <w:color w:val="0000FF"/>
                      <w:kern w:val="0"/>
                      <w:sz w:val="24"/>
                    </w:rPr>
                    <w:t>9</w:t>
                  </w:r>
                  <w:r>
                    <w:rPr>
                      <w:rFonts w:hint="eastAsia"/>
                      <w:bCs/>
                      <w:color w:val="0000FF"/>
                      <w:kern w:val="0"/>
                      <w:sz w:val="24"/>
                    </w:rPr>
                    <w:t>.1</w:t>
                  </w:r>
                  <w:r>
                    <w:rPr>
                      <w:bCs/>
                      <w:color w:val="0000FF"/>
                      <w:kern w:val="0"/>
                      <w:sz w:val="24"/>
                    </w:rPr>
                    <w:t>mg/m</w:t>
                  </w:r>
                  <w:r>
                    <w:rPr>
                      <w:bCs/>
                      <w:color w:val="0000FF"/>
                      <w:kern w:val="0"/>
                      <w:sz w:val="24"/>
                      <w:vertAlign w:val="superscript"/>
                    </w:rPr>
                    <w:t>3</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bCs/>
                      <w:color w:val="0000FF"/>
                      <w:kern w:val="0"/>
                      <w:sz w:val="24"/>
                    </w:rPr>
                    <w:t>0.1</w:t>
                  </w:r>
                  <w:r>
                    <w:rPr>
                      <w:rFonts w:hint="eastAsia"/>
                      <w:bCs/>
                      <w:color w:val="0000FF"/>
                      <w:kern w:val="0"/>
                      <w:sz w:val="24"/>
                    </w:rPr>
                    <w:t>23</w:t>
                  </w:r>
                  <w:r>
                    <w:rPr>
                      <w:bCs/>
                      <w:color w:val="0000FF"/>
                      <w:kern w:val="0"/>
                      <w:sz w:val="24"/>
                    </w:rPr>
                    <w:t>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机加工</w:t>
                  </w: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粉尘</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color w:val="0000FF"/>
                      <w:kern w:val="0"/>
                      <w:sz w:val="24"/>
                    </w:rPr>
                    <w:t>14.3</w:t>
                  </w:r>
                  <w:r>
                    <w:rPr>
                      <w:bCs/>
                      <w:color w:val="0000FF"/>
                      <w:kern w:val="0"/>
                      <w:sz w:val="24"/>
                    </w:rPr>
                    <w:t>mg/m</w:t>
                  </w:r>
                  <w:r>
                    <w:rPr>
                      <w:bCs/>
                      <w:color w:val="0000FF"/>
                      <w:kern w:val="0"/>
                      <w:sz w:val="24"/>
                      <w:vertAlign w:val="superscript"/>
                    </w:rPr>
                    <w:t>3</w:t>
                  </w:r>
                </w:p>
              </w:tc>
              <w:tc>
                <w:tcPr>
                  <w:tcW w:w="1473"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bCs/>
                      <w:color w:val="0000FF"/>
                      <w:kern w:val="0"/>
                      <w:sz w:val="24"/>
                    </w:rPr>
                    <w:t>0.193</w:t>
                  </w:r>
                  <w:r>
                    <w:rPr>
                      <w:bCs/>
                      <w:color w:val="0000FF"/>
                      <w:kern w:val="0"/>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bCs/>
                      <w:color w:val="0000FF"/>
                      <w:kern w:val="0"/>
                      <w:sz w:val="24"/>
                    </w:rPr>
                    <w:t>1.4</w:t>
                  </w:r>
                  <w:r>
                    <w:rPr>
                      <w:bCs/>
                      <w:color w:val="0000FF"/>
                      <w:kern w:val="0"/>
                      <w:sz w:val="24"/>
                    </w:rPr>
                    <w:t>mg/m</w:t>
                  </w:r>
                  <w:r>
                    <w:rPr>
                      <w:bCs/>
                      <w:color w:val="0000FF"/>
                      <w:kern w:val="0"/>
                      <w:sz w:val="24"/>
                      <w:vertAlign w:val="superscript"/>
                    </w:rPr>
                    <w:t>3</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bCs/>
                      <w:color w:val="0000FF"/>
                      <w:kern w:val="0"/>
                      <w:sz w:val="24"/>
                    </w:rPr>
                    <w:t>0.0</w:t>
                  </w:r>
                  <w:r>
                    <w:rPr>
                      <w:rFonts w:hint="eastAsia"/>
                      <w:bCs/>
                      <w:color w:val="0000FF"/>
                      <w:kern w:val="0"/>
                      <w:sz w:val="24"/>
                    </w:rPr>
                    <w:t>19</w:t>
                  </w:r>
                  <w:r>
                    <w:rPr>
                      <w:bCs/>
                      <w:color w:val="0000FF"/>
                      <w:kern w:val="0"/>
                      <w:sz w:val="24"/>
                    </w:rPr>
                    <w:t>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restart"/>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无组织废气</w:t>
                  </w: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二甲苯</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eastAsiaTheme="minorEastAsia"/>
                      <w:color w:val="0000FF"/>
                      <w:szCs w:val="21"/>
                    </w:rPr>
                    <w:t>/</w:t>
                  </w:r>
                </w:p>
              </w:tc>
              <w:tc>
                <w:tcPr>
                  <w:tcW w:w="1473"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kern w:val="0"/>
                      <w:sz w:val="24"/>
                    </w:rPr>
                    <w:t>0.0</w:t>
                  </w:r>
                  <w:r>
                    <w:rPr>
                      <w:rFonts w:hint="eastAsia"/>
                      <w:color w:val="0000FF"/>
                      <w:kern w:val="0"/>
                      <w:sz w:val="24"/>
                    </w:rPr>
                    <w:t>1</w:t>
                  </w:r>
                  <w:r>
                    <w:rPr>
                      <w:color w:val="0000FF"/>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eastAsiaTheme="minorEastAsia"/>
                      <w:color w:val="0000FF"/>
                      <w:szCs w:val="21"/>
                    </w:rPr>
                    <w:t>/</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kern w:val="0"/>
                      <w:sz w:val="24"/>
                    </w:rPr>
                    <w:t>0.0</w:t>
                  </w:r>
                  <w:r>
                    <w:rPr>
                      <w:rFonts w:hint="eastAsia"/>
                      <w:color w:val="0000FF"/>
                      <w:kern w:val="0"/>
                      <w:sz w:val="24"/>
                    </w:rPr>
                    <w:t>1</w:t>
                  </w:r>
                  <w:r>
                    <w:rPr>
                      <w:color w:val="0000FF"/>
                      <w:sz w:val="24"/>
                    </w:rPr>
                    <w:t>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TVOC</w:t>
                  </w:r>
                </w:p>
              </w:tc>
              <w:tc>
                <w:tcPr>
                  <w:tcW w:w="1514" w:type="dxa"/>
                  <w:tcBorders>
                    <w:tl2br w:val="nil"/>
                    <w:tr2bl w:val="nil"/>
                  </w:tcBorders>
                  <w:vAlign w:val="center"/>
                </w:tcPr>
                <w:p>
                  <w:pPr>
                    <w:adjustRightInd w:val="0"/>
                    <w:snapToGrid w:val="0"/>
                    <w:spacing w:line="360" w:lineRule="auto"/>
                    <w:jc w:val="center"/>
                    <w:rPr>
                      <w:color w:val="0000FF"/>
                      <w:kern w:val="0"/>
                      <w:sz w:val="24"/>
                    </w:rPr>
                  </w:pPr>
                  <w:r>
                    <w:rPr>
                      <w:rFonts w:hint="eastAsia" w:eastAsiaTheme="minorEastAsia"/>
                      <w:color w:val="0000FF"/>
                      <w:szCs w:val="21"/>
                    </w:rPr>
                    <w:t>/</w:t>
                  </w:r>
                </w:p>
              </w:tc>
              <w:tc>
                <w:tcPr>
                  <w:tcW w:w="1473" w:type="dxa"/>
                  <w:tcBorders>
                    <w:tl2br w:val="nil"/>
                    <w:tr2bl w:val="nil"/>
                  </w:tcBorders>
                  <w:vAlign w:val="center"/>
                </w:tcPr>
                <w:p>
                  <w:pPr>
                    <w:adjustRightInd w:val="0"/>
                    <w:snapToGrid w:val="0"/>
                    <w:spacing w:line="360" w:lineRule="auto"/>
                    <w:jc w:val="center"/>
                    <w:rPr>
                      <w:color w:val="0000FF"/>
                      <w:kern w:val="0"/>
                      <w:sz w:val="24"/>
                    </w:rPr>
                  </w:pPr>
                  <w:r>
                    <w:rPr>
                      <w:color w:val="0000FF"/>
                      <w:kern w:val="0"/>
                      <w:sz w:val="24"/>
                    </w:rPr>
                    <w:t>0.</w:t>
                  </w:r>
                  <w:r>
                    <w:rPr>
                      <w:rFonts w:hint="eastAsia"/>
                      <w:color w:val="0000FF"/>
                      <w:kern w:val="0"/>
                      <w:sz w:val="24"/>
                    </w:rPr>
                    <w:t>0615</w:t>
                  </w:r>
                  <w:r>
                    <w:rPr>
                      <w:color w:val="0000FF"/>
                      <w:sz w:val="24"/>
                    </w:rPr>
                    <w:t xml:space="preserve"> t/a</w:t>
                  </w:r>
                </w:p>
              </w:tc>
              <w:tc>
                <w:tcPr>
                  <w:tcW w:w="1514" w:type="dxa"/>
                  <w:tcBorders>
                    <w:tl2br w:val="nil"/>
                    <w:tr2bl w:val="nil"/>
                  </w:tcBorders>
                  <w:vAlign w:val="center"/>
                </w:tcPr>
                <w:p>
                  <w:pPr>
                    <w:adjustRightInd w:val="0"/>
                    <w:snapToGrid w:val="0"/>
                    <w:spacing w:line="360" w:lineRule="auto"/>
                    <w:jc w:val="center"/>
                    <w:rPr>
                      <w:color w:val="0000FF"/>
                      <w:kern w:val="0"/>
                      <w:sz w:val="24"/>
                    </w:rPr>
                  </w:pPr>
                  <w:r>
                    <w:rPr>
                      <w:rFonts w:hint="eastAsia" w:eastAsiaTheme="minorEastAsia"/>
                      <w:color w:val="0000FF"/>
                      <w:szCs w:val="21"/>
                    </w:rPr>
                    <w:t>/</w:t>
                  </w:r>
                </w:p>
              </w:tc>
              <w:tc>
                <w:tcPr>
                  <w:tcW w:w="1514" w:type="dxa"/>
                  <w:tcBorders>
                    <w:tl2br w:val="nil"/>
                    <w:tr2bl w:val="nil"/>
                  </w:tcBorders>
                  <w:vAlign w:val="center"/>
                </w:tcPr>
                <w:p>
                  <w:pPr>
                    <w:adjustRightInd w:val="0"/>
                    <w:snapToGrid w:val="0"/>
                    <w:spacing w:line="360" w:lineRule="auto"/>
                    <w:jc w:val="center"/>
                    <w:rPr>
                      <w:color w:val="0000FF"/>
                      <w:kern w:val="0"/>
                      <w:sz w:val="24"/>
                    </w:rPr>
                  </w:pPr>
                  <w:r>
                    <w:rPr>
                      <w:color w:val="0000FF"/>
                      <w:kern w:val="0"/>
                      <w:sz w:val="24"/>
                    </w:rPr>
                    <w:t>0.</w:t>
                  </w:r>
                  <w:r>
                    <w:rPr>
                      <w:rFonts w:hint="eastAsia"/>
                      <w:color w:val="0000FF"/>
                      <w:kern w:val="0"/>
                      <w:sz w:val="24"/>
                    </w:rPr>
                    <w:t>0615</w:t>
                  </w:r>
                  <w:r>
                    <w:rPr>
                      <w:color w:val="0000FF"/>
                      <w:sz w:val="24"/>
                    </w:rPr>
                    <w:t xml:space="preserve"> 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粉尘</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color w:val="0000FF"/>
                      <w:kern w:val="0"/>
                      <w:sz w:val="24"/>
                    </w:rPr>
                    <w:t>0.019</w:t>
                  </w:r>
                  <w:r>
                    <w:rPr>
                      <w:color w:val="0000FF"/>
                      <w:kern w:val="0"/>
                      <w:sz w:val="24"/>
                    </w:rPr>
                    <w:t>t/a</w:t>
                  </w:r>
                </w:p>
              </w:tc>
              <w:tc>
                <w:tcPr>
                  <w:tcW w:w="1473"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color w:val="0000FF"/>
                      <w:kern w:val="0"/>
                      <w:sz w:val="24"/>
                    </w:rPr>
                    <w:t>0.019</w:t>
                  </w:r>
                  <w:r>
                    <w:rPr>
                      <w:color w:val="0000FF"/>
                      <w:kern w:val="0"/>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color w:val="0000FF"/>
                      <w:kern w:val="0"/>
                      <w:sz w:val="24"/>
                    </w:rPr>
                    <w:t>0.019</w:t>
                  </w:r>
                  <w:r>
                    <w:rPr>
                      <w:color w:val="0000FF"/>
                      <w:kern w:val="0"/>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rFonts w:hint="eastAsia"/>
                      <w:color w:val="0000FF"/>
                      <w:kern w:val="0"/>
                      <w:sz w:val="24"/>
                    </w:rPr>
                    <w:t>0.019</w:t>
                  </w:r>
                  <w:r>
                    <w:rPr>
                      <w:color w:val="0000FF"/>
                      <w:kern w:val="0"/>
                      <w:sz w:val="24"/>
                    </w:rPr>
                    <w:t>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restart"/>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水污染物</w:t>
                  </w:r>
                </w:p>
              </w:tc>
              <w:tc>
                <w:tcPr>
                  <w:tcW w:w="914" w:type="dxa"/>
                  <w:vMerge w:val="restart"/>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生活污水</w:t>
                  </w:r>
                </w:p>
                <w:p>
                  <w:pPr>
                    <w:pStyle w:val="122"/>
                    <w:rPr>
                      <w:rFonts w:eastAsiaTheme="minorEastAsia"/>
                      <w:color w:val="0000FF"/>
                      <w:sz w:val="21"/>
                      <w:szCs w:val="21"/>
                    </w:rPr>
                  </w:pPr>
                  <w:r>
                    <w:rPr>
                      <w:rFonts w:eastAsiaTheme="minorEastAsia"/>
                      <w:color w:val="0000FF"/>
                      <w:sz w:val="21"/>
                      <w:szCs w:val="21"/>
                    </w:rPr>
                    <w:t>480m</w:t>
                  </w:r>
                  <w:r>
                    <w:rPr>
                      <w:rFonts w:eastAsiaTheme="minorEastAsia"/>
                      <w:color w:val="0000FF"/>
                      <w:sz w:val="21"/>
                      <w:szCs w:val="21"/>
                      <w:vertAlign w:val="superscript"/>
                    </w:rPr>
                    <w:t>3</w:t>
                  </w:r>
                  <w:r>
                    <w:rPr>
                      <w:rFonts w:eastAsiaTheme="minorEastAsia"/>
                      <w:color w:val="0000FF"/>
                      <w:sz w:val="21"/>
                      <w:szCs w:val="21"/>
                    </w:rPr>
                    <w:t>/a</w:t>
                  </w:r>
                </w:p>
              </w:tc>
              <w:tc>
                <w:tcPr>
                  <w:tcW w:w="817" w:type="dxa"/>
                  <w:tcBorders>
                    <w:tl2br w:val="nil"/>
                    <w:tr2bl w:val="nil"/>
                  </w:tcBorders>
                  <w:vAlign w:val="center"/>
                </w:tcPr>
                <w:p>
                  <w:pPr>
                    <w:adjustRightInd w:val="0"/>
                    <w:snapToGrid w:val="0"/>
                    <w:spacing w:line="360" w:lineRule="auto"/>
                    <w:jc w:val="center"/>
                    <w:rPr>
                      <w:color w:val="0000FF"/>
                      <w:sz w:val="24"/>
                    </w:rPr>
                  </w:pPr>
                  <w:r>
                    <w:rPr>
                      <w:color w:val="0000FF"/>
                      <w:sz w:val="24"/>
                    </w:rPr>
                    <w:t>COD</w:t>
                  </w:r>
                </w:p>
              </w:tc>
              <w:tc>
                <w:tcPr>
                  <w:tcW w:w="1514" w:type="dxa"/>
                  <w:tcBorders>
                    <w:tl2br w:val="nil"/>
                    <w:tr2bl w:val="nil"/>
                  </w:tcBorders>
                  <w:vAlign w:val="center"/>
                </w:tcPr>
                <w:p>
                  <w:pPr>
                    <w:adjustRightInd w:val="0"/>
                    <w:snapToGrid w:val="0"/>
                    <w:spacing w:line="360" w:lineRule="auto"/>
                    <w:jc w:val="center"/>
                    <w:rPr>
                      <w:color w:val="0000FF"/>
                      <w:spacing w:val="3"/>
                      <w:sz w:val="24"/>
                    </w:rPr>
                  </w:pPr>
                  <w:r>
                    <w:rPr>
                      <w:color w:val="0000FF"/>
                      <w:spacing w:val="3"/>
                      <w:sz w:val="24"/>
                    </w:rPr>
                    <w:t>250mg/L</w:t>
                  </w:r>
                </w:p>
              </w:tc>
              <w:tc>
                <w:tcPr>
                  <w:tcW w:w="1473" w:type="dxa"/>
                  <w:tcBorders>
                    <w:tl2br w:val="nil"/>
                    <w:tr2bl w:val="nil"/>
                  </w:tcBorders>
                  <w:vAlign w:val="center"/>
                </w:tcPr>
                <w:p>
                  <w:pPr>
                    <w:adjustRightInd w:val="0"/>
                    <w:snapToGrid w:val="0"/>
                    <w:spacing w:line="360" w:lineRule="auto"/>
                    <w:jc w:val="center"/>
                    <w:rPr>
                      <w:color w:val="0000FF"/>
                      <w:spacing w:val="3"/>
                      <w:sz w:val="24"/>
                    </w:rPr>
                  </w:pPr>
                  <w:r>
                    <w:rPr>
                      <w:color w:val="0000FF"/>
                      <w:spacing w:val="3"/>
                      <w:sz w:val="24"/>
                    </w:rPr>
                    <w:t>0.</w:t>
                  </w:r>
                  <w:r>
                    <w:rPr>
                      <w:rFonts w:hint="eastAsia"/>
                      <w:color w:val="0000FF"/>
                      <w:spacing w:val="3"/>
                      <w:sz w:val="24"/>
                    </w:rPr>
                    <w:t>6</w:t>
                  </w:r>
                  <w:r>
                    <w:rPr>
                      <w:color w:val="0000FF"/>
                      <w:spacing w:val="3"/>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spacing w:val="3"/>
                      <w:sz w:val="24"/>
                    </w:rPr>
                    <w:t>60mg/L</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spacing w:val="3"/>
                      <w:sz w:val="24"/>
                    </w:rPr>
                    <w:t>0.</w:t>
                  </w:r>
                  <w:r>
                    <w:rPr>
                      <w:rFonts w:hint="eastAsia"/>
                      <w:color w:val="0000FF"/>
                      <w:spacing w:val="3"/>
                      <w:sz w:val="24"/>
                    </w:rPr>
                    <w:t>144</w:t>
                  </w:r>
                  <w:r>
                    <w:rPr>
                      <w:color w:val="0000FF"/>
                      <w:spacing w:val="3"/>
                      <w:sz w:val="24"/>
                    </w:rPr>
                    <w:t>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adjustRightInd w:val="0"/>
                    <w:snapToGrid w:val="0"/>
                    <w:spacing w:line="360" w:lineRule="auto"/>
                    <w:jc w:val="center"/>
                    <w:rPr>
                      <w:color w:val="0000FF"/>
                      <w:sz w:val="24"/>
                    </w:rPr>
                  </w:pPr>
                  <w:r>
                    <w:rPr>
                      <w:color w:val="0000FF"/>
                      <w:sz w:val="24"/>
                    </w:rPr>
                    <w:t>SS</w:t>
                  </w:r>
                </w:p>
              </w:tc>
              <w:tc>
                <w:tcPr>
                  <w:tcW w:w="1514" w:type="dxa"/>
                  <w:tcBorders>
                    <w:tl2br w:val="nil"/>
                    <w:tr2bl w:val="nil"/>
                  </w:tcBorders>
                  <w:vAlign w:val="center"/>
                </w:tcPr>
                <w:p>
                  <w:pPr>
                    <w:adjustRightInd w:val="0"/>
                    <w:snapToGrid w:val="0"/>
                    <w:spacing w:line="360" w:lineRule="auto"/>
                    <w:jc w:val="center"/>
                    <w:rPr>
                      <w:color w:val="0000FF"/>
                      <w:spacing w:val="3"/>
                      <w:sz w:val="24"/>
                    </w:rPr>
                  </w:pPr>
                  <w:r>
                    <w:rPr>
                      <w:color w:val="0000FF"/>
                      <w:spacing w:val="3"/>
                      <w:sz w:val="24"/>
                    </w:rPr>
                    <w:t>200mg/L</w:t>
                  </w:r>
                </w:p>
              </w:tc>
              <w:tc>
                <w:tcPr>
                  <w:tcW w:w="1473" w:type="dxa"/>
                  <w:tcBorders>
                    <w:tl2br w:val="nil"/>
                    <w:tr2bl w:val="nil"/>
                  </w:tcBorders>
                  <w:vAlign w:val="center"/>
                </w:tcPr>
                <w:p>
                  <w:pPr>
                    <w:adjustRightInd w:val="0"/>
                    <w:snapToGrid w:val="0"/>
                    <w:spacing w:line="360" w:lineRule="auto"/>
                    <w:jc w:val="center"/>
                    <w:rPr>
                      <w:color w:val="0000FF"/>
                      <w:spacing w:val="3"/>
                      <w:sz w:val="24"/>
                    </w:rPr>
                  </w:pPr>
                  <w:r>
                    <w:rPr>
                      <w:color w:val="0000FF"/>
                      <w:spacing w:val="3"/>
                      <w:sz w:val="24"/>
                    </w:rPr>
                    <w:t>0.</w:t>
                  </w:r>
                  <w:r>
                    <w:rPr>
                      <w:rFonts w:hint="eastAsia"/>
                      <w:color w:val="0000FF"/>
                      <w:spacing w:val="3"/>
                      <w:sz w:val="24"/>
                    </w:rPr>
                    <w:t>48</w:t>
                  </w:r>
                  <w:r>
                    <w:rPr>
                      <w:color w:val="0000FF"/>
                      <w:spacing w:val="3"/>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spacing w:val="3"/>
                      <w:sz w:val="24"/>
                    </w:rPr>
                    <w:t>20mg/L</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spacing w:val="3"/>
                      <w:sz w:val="24"/>
                    </w:rPr>
                    <w:t>0.0</w:t>
                  </w:r>
                  <w:r>
                    <w:rPr>
                      <w:rFonts w:hint="eastAsia"/>
                      <w:color w:val="0000FF"/>
                      <w:spacing w:val="3"/>
                      <w:sz w:val="24"/>
                    </w:rPr>
                    <w:t>48</w:t>
                  </w:r>
                  <w:r>
                    <w:rPr>
                      <w:color w:val="0000FF"/>
                      <w:spacing w:val="3"/>
                      <w:sz w:val="24"/>
                    </w:rPr>
                    <w:t>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adjustRightInd w:val="0"/>
                    <w:snapToGrid w:val="0"/>
                    <w:spacing w:line="360" w:lineRule="auto"/>
                    <w:jc w:val="center"/>
                    <w:rPr>
                      <w:color w:val="0000FF"/>
                      <w:sz w:val="24"/>
                    </w:rPr>
                  </w:pPr>
                  <w:r>
                    <w:rPr>
                      <w:color w:val="0000FF"/>
                      <w:sz w:val="24"/>
                    </w:rPr>
                    <w:t>氨氮</w:t>
                  </w:r>
                </w:p>
              </w:tc>
              <w:tc>
                <w:tcPr>
                  <w:tcW w:w="1514" w:type="dxa"/>
                  <w:tcBorders>
                    <w:tl2br w:val="nil"/>
                    <w:tr2bl w:val="nil"/>
                  </w:tcBorders>
                  <w:vAlign w:val="center"/>
                </w:tcPr>
                <w:p>
                  <w:pPr>
                    <w:adjustRightInd w:val="0"/>
                    <w:snapToGrid w:val="0"/>
                    <w:spacing w:line="360" w:lineRule="auto"/>
                    <w:jc w:val="center"/>
                    <w:rPr>
                      <w:color w:val="0000FF"/>
                      <w:spacing w:val="3"/>
                      <w:sz w:val="24"/>
                    </w:rPr>
                  </w:pPr>
                  <w:r>
                    <w:rPr>
                      <w:color w:val="0000FF"/>
                      <w:spacing w:val="3"/>
                      <w:sz w:val="24"/>
                    </w:rPr>
                    <w:t>25mg/L</w:t>
                  </w:r>
                </w:p>
              </w:tc>
              <w:tc>
                <w:tcPr>
                  <w:tcW w:w="1473" w:type="dxa"/>
                  <w:tcBorders>
                    <w:tl2br w:val="nil"/>
                    <w:tr2bl w:val="nil"/>
                  </w:tcBorders>
                  <w:vAlign w:val="center"/>
                </w:tcPr>
                <w:p>
                  <w:pPr>
                    <w:adjustRightInd w:val="0"/>
                    <w:snapToGrid w:val="0"/>
                    <w:spacing w:line="360" w:lineRule="auto"/>
                    <w:jc w:val="center"/>
                    <w:rPr>
                      <w:color w:val="0000FF"/>
                      <w:spacing w:val="3"/>
                      <w:sz w:val="24"/>
                    </w:rPr>
                  </w:pPr>
                  <w:r>
                    <w:rPr>
                      <w:color w:val="0000FF"/>
                      <w:spacing w:val="3"/>
                      <w:sz w:val="24"/>
                    </w:rPr>
                    <w:t>0.0</w:t>
                  </w:r>
                  <w:r>
                    <w:rPr>
                      <w:rFonts w:hint="eastAsia"/>
                      <w:color w:val="0000FF"/>
                      <w:spacing w:val="3"/>
                      <w:sz w:val="24"/>
                    </w:rPr>
                    <w:t>6</w:t>
                  </w:r>
                  <w:r>
                    <w:rPr>
                      <w:color w:val="0000FF"/>
                      <w:spacing w:val="3"/>
                      <w:sz w:val="24"/>
                    </w:rPr>
                    <w:t>t/a</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spacing w:val="3"/>
                      <w:sz w:val="24"/>
                    </w:rPr>
                    <w:t>8mg/L</w:t>
                  </w:r>
                </w:p>
              </w:tc>
              <w:tc>
                <w:tcPr>
                  <w:tcW w:w="1514" w:type="dxa"/>
                  <w:tcBorders>
                    <w:tl2br w:val="nil"/>
                    <w:tr2bl w:val="nil"/>
                  </w:tcBorders>
                  <w:vAlign w:val="center"/>
                </w:tcPr>
                <w:p>
                  <w:pPr>
                    <w:adjustRightInd w:val="0"/>
                    <w:snapToGrid w:val="0"/>
                    <w:spacing w:line="360" w:lineRule="auto"/>
                    <w:jc w:val="center"/>
                    <w:rPr>
                      <w:rFonts w:eastAsiaTheme="minorEastAsia"/>
                      <w:color w:val="0000FF"/>
                      <w:szCs w:val="21"/>
                    </w:rPr>
                  </w:pPr>
                  <w:r>
                    <w:rPr>
                      <w:color w:val="0000FF"/>
                      <w:spacing w:val="3"/>
                      <w:sz w:val="24"/>
                    </w:rPr>
                    <w:t>0.0</w:t>
                  </w:r>
                  <w:r>
                    <w:rPr>
                      <w:rFonts w:hint="eastAsia"/>
                      <w:color w:val="0000FF"/>
                      <w:spacing w:val="3"/>
                      <w:sz w:val="24"/>
                    </w:rPr>
                    <w:t>1</w:t>
                  </w:r>
                  <w:r>
                    <w:rPr>
                      <w:color w:val="0000FF"/>
                      <w:spacing w:val="3"/>
                      <w:sz w:val="24"/>
                    </w:rPr>
                    <w:t>9t/a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restart"/>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固体废物</w:t>
                  </w:r>
                </w:p>
              </w:tc>
              <w:tc>
                <w:tcPr>
                  <w:tcW w:w="914" w:type="dxa"/>
                  <w:vMerge w:val="restart"/>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生产</w:t>
                  </w: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边角料</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473"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1.5</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收集的</w:t>
                  </w:r>
                  <w:r>
                    <w:rPr>
                      <w:rFonts w:eastAsiaTheme="minorEastAsia"/>
                      <w:color w:val="0000FF"/>
                      <w:sz w:val="21"/>
                      <w:szCs w:val="21"/>
                    </w:rPr>
                    <w:t>粉尘</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473"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0.17</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废包装材料</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473"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0.5</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废网版</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473"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0.5</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highlight w:val="yellow"/>
                    </w:rPr>
                  </w:pPr>
                </w:p>
              </w:tc>
              <w:tc>
                <w:tcPr>
                  <w:tcW w:w="914" w:type="dxa"/>
                  <w:vMerge w:val="continue"/>
                  <w:tcBorders>
                    <w:tl2br w:val="nil"/>
                    <w:tr2bl w:val="nil"/>
                  </w:tcBorders>
                  <w:vAlign w:val="center"/>
                </w:tcPr>
                <w:p>
                  <w:pPr>
                    <w:pStyle w:val="122"/>
                    <w:rPr>
                      <w:rFonts w:eastAsiaTheme="minorEastAsia"/>
                      <w:color w:val="0000FF"/>
                      <w:sz w:val="21"/>
                      <w:szCs w:val="21"/>
                    </w:rPr>
                  </w:pP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废活性炭</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473"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5</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vMerge w:val="continue"/>
                  <w:tcBorders>
                    <w:tl2br w:val="nil"/>
                    <w:tr2bl w:val="nil"/>
                  </w:tcBorders>
                  <w:vAlign w:val="center"/>
                </w:tcPr>
                <w:p>
                  <w:pPr>
                    <w:pStyle w:val="122"/>
                    <w:rPr>
                      <w:rFonts w:eastAsiaTheme="minorEastAsia"/>
                      <w:color w:val="0000FF"/>
                      <w:sz w:val="21"/>
                      <w:szCs w:val="21"/>
                      <w:highlight w:val="yellow"/>
                    </w:rPr>
                  </w:pPr>
                </w:p>
              </w:tc>
              <w:tc>
                <w:tcPr>
                  <w:tcW w:w="9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生活</w:t>
                  </w:r>
                </w:p>
              </w:tc>
              <w:tc>
                <w:tcPr>
                  <w:tcW w:w="81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生活垃圾</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473" w:type="dxa"/>
                  <w:tcBorders>
                    <w:tl2br w:val="nil"/>
                    <w:tr2bl w:val="nil"/>
                  </w:tcBorders>
                  <w:vAlign w:val="center"/>
                </w:tcPr>
                <w:p>
                  <w:pPr>
                    <w:pStyle w:val="122"/>
                    <w:rPr>
                      <w:rFonts w:eastAsiaTheme="minorEastAsia"/>
                      <w:color w:val="0000FF"/>
                      <w:sz w:val="21"/>
                      <w:szCs w:val="21"/>
                    </w:rPr>
                  </w:pPr>
                  <w:r>
                    <w:rPr>
                      <w:rFonts w:hint="eastAsia" w:eastAsiaTheme="minorEastAsia"/>
                      <w:color w:val="0000FF"/>
                      <w:sz w:val="21"/>
                      <w:szCs w:val="21"/>
                    </w:rPr>
                    <w:t>15</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w:t>
                  </w:r>
                </w:p>
              </w:tc>
              <w:tc>
                <w:tcPr>
                  <w:tcW w:w="1514"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0</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噪声</w:t>
                  </w:r>
                </w:p>
              </w:tc>
              <w:tc>
                <w:tcPr>
                  <w:tcW w:w="7746" w:type="dxa"/>
                  <w:gridSpan w:val="6"/>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主要为</w:t>
                  </w:r>
                  <w:r>
                    <w:rPr>
                      <w:rFonts w:hint="eastAsia" w:eastAsiaTheme="minorEastAsia"/>
                      <w:color w:val="0000FF"/>
                      <w:sz w:val="21"/>
                      <w:szCs w:val="21"/>
                    </w:rPr>
                    <w:t>机械设备</w:t>
                  </w:r>
                  <w:r>
                    <w:rPr>
                      <w:rFonts w:eastAsiaTheme="minorEastAsia"/>
                      <w:color w:val="0000FF"/>
                      <w:sz w:val="21"/>
                      <w:szCs w:val="21"/>
                    </w:rPr>
                    <w:t>等产生的机械噪声，等效声级为7</w:t>
                  </w:r>
                  <w:r>
                    <w:rPr>
                      <w:rFonts w:hint="eastAsia" w:eastAsiaTheme="minorEastAsia"/>
                      <w:color w:val="0000FF"/>
                      <w:sz w:val="21"/>
                      <w:szCs w:val="21"/>
                    </w:rPr>
                    <w:t>0</w:t>
                  </w:r>
                  <w:r>
                    <w:rPr>
                      <w:rFonts w:eastAsiaTheme="minorEastAsia"/>
                      <w:color w:val="0000FF"/>
                      <w:sz w:val="21"/>
                      <w:szCs w:val="21"/>
                    </w:rPr>
                    <w:t>～</w:t>
                  </w:r>
                  <w:r>
                    <w:rPr>
                      <w:rFonts w:hint="eastAsia" w:eastAsiaTheme="minorEastAsia"/>
                      <w:color w:val="0000FF"/>
                      <w:sz w:val="21"/>
                      <w:szCs w:val="21"/>
                    </w:rPr>
                    <w:t>85</w:t>
                  </w:r>
                  <w:r>
                    <w:rPr>
                      <w:rFonts w:eastAsiaTheme="minorEastAsia"/>
                      <w:color w:val="0000FF"/>
                      <w:sz w:val="21"/>
                      <w:szCs w:val="21"/>
                    </w:rPr>
                    <w:t>dB(A)</w:t>
                  </w:r>
                </w:p>
              </w:tc>
            </w:tr>
            <w:tr>
              <w:tblPrEx>
                <w:tblBorders>
                  <w:top w:val="single" w:color="auto" w:sz="12" w:space="0"/>
                  <w:left w:val="dotted" w:color="auto" w:sz="4" w:space="0"/>
                  <w:bottom w:val="single" w:color="auto" w:sz="12" w:space="0"/>
                  <w:right w:val="dotted"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7" w:type="dxa"/>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其他</w:t>
                  </w:r>
                </w:p>
              </w:tc>
              <w:tc>
                <w:tcPr>
                  <w:tcW w:w="7746" w:type="dxa"/>
                  <w:gridSpan w:val="6"/>
                  <w:tcBorders>
                    <w:tl2br w:val="nil"/>
                    <w:tr2bl w:val="nil"/>
                  </w:tcBorders>
                  <w:vAlign w:val="center"/>
                </w:tcPr>
                <w:p>
                  <w:pPr>
                    <w:pStyle w:val="122"/>
                    <w:rPr>
                      <w:rFonts w:eastAsiaTheme="minorEastAsia"/>
                      <w:color w:val="0000FF"/>
                      <w:sz w:val="21"/>
                      <w:szCs w:val="21"/>
                    </w:rPr>
                  </w:pPr>
                  <w:r>
                    <w:rPr>
                      <w:rFonts w:eastAsiaTheme="minorEastAsia"/>
                      <w:color w:val="0000FF"/>
                      <w:sz w:val="21"/>
                      <w:szCs w:val="21"/>
                    </w:rPr>
                    <w:t>无</w:t>
                  </w:r>
                </w:p>
              </w:tc>
            </w:tr>
          </w:tbl>
          <w:p>
            <w:pPr>
              <w:snapToGrid w:val="0"/>
              <w:ind w:firstLine="480" w:firstLineChars="200"/>
              <w:rPr>
                <w:rFonts w:hint="eastAsia"/>
                <w:color w:val="FF0000"/>
                <w:sz w:val="24"/>
              </w:rPr>
            </w:pPr>
            <w:r>
              <w:rPr>
                <w:rFonts w:hint="eastAsia"/>
                <w:color w:val="FF0000"/>
                <w:sz w:val="24"/>
              </w:rPr>
              <w:t>（</w:t>
            </w:r>
            <w:r>
              <w:rPr>
                <w:rFonts w:hint="eastAsia"/>
                <w:color w:val="FF0000"/>
                <w:sz w:val="24"/>
                <w:lang w:val="en-US" w:eastAsia="zh-CN"/>
              </w:rPr>
              <w:t>5</w:t>
            </w:r>
            <w:r>
              <w:rPr>
                <w:rFonts w:hint="eastAsia"/>
                <w:color w:val="FF0000"/>
                <w:sz w:val="24"/>
              </w:rPr>
              <w:t>）主要环境问题分析</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FF0000"/>
                <w:sz w:val="24"/>
              </w:rPr>
            </w:pPr>
            <w:r>
              <w:rPr>
                <w:rFonts w:hint="eastAsia"/>
                <w:color w:val="FF0000"/>
                <w:sz w:val="24"/>
              </w:rPr>
              <w:t xml:space="preserve"> </w:t>
            </w:r>
            <w:r>
              <w:rPr>
                <w:rFonts w:hint="eastAsia"/>
                <w:color w:val="FF0000"/>
                <w:sz w:val="24"/>
                <w:lang w:val="en-US" w:eastAsia="zh-CN"/>
              </w:rPr>
              <w:t>1</w:t>
            </w:r>
            <w:r>
              <w:rPr>
                <w:rFonts w:hint="eastAsia"/>
                <w:color w:val="FF0000"/>
                <w:sz w:val="24"/>
                <w:lang w:eastAsia="zh-CN"/>
              </w:rPr>
              <w:t>）</w:t>
            </w:r>
            <w:r>
              <w:rPr>
                <w:rFonts w:hint="eastAsia"/>
                <w:color w:val="FF0000"/>
                <w:sz w:val="24"/>
              </w:rPr>
              <w:t>根据调查，</w:t>
            </w:r>
            <w:r>
              <w:rPr>
                <w:rFonts w:hint="eastAsia"/>
                <w:color w:val="FF0000"/>
                <w:sz w:val="24"/>
                <w:lang w:eastAsia="zh-CN"/>
              </w:rPr>
              <w:t>现有项目主要环境</w:t>
            </w:r>
            <w:r>
              <w:rPr>
                <w:rFonts w:hint="eastAsia"/>
                <w:color w:val="FF0000"/>
                <w:sz w:val="24"/>
              </w:rPr>
              <w:t>问题为：</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FF0000"/>
                <w:sz w:val="24"/>
              </w:rPr>
            </w:pPr>
            <w:r>
              <w:rPr>
                <w:rFonts w:hint="eastAsia"/>
                <w:color w:val="FF0000"/>
                <w:sz w:val="24"/>
              </w:rPr>
              <w:t>①危废间未设置标志牌</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FF0000"/>
                <w:sz w:val="24"/>
              </w:rPr>
            </w:pPr>
            <w:r>
              <w:rPr>
                <w:rFonts w:hint="eastAsia"/>
                <w:color w:val="FF0000"/>
                <w:sz w:val="24"/>
              </w:rPr>
              <w:t>②厂区未设置</w:t>
            </w:r>
            <w:r>
              <w:rPr>
                <w:rFonts w:hint="eastAsia"/>
                <w:color w:val="FF0000"/>
                <w:sz w:val="24"/>
                <w:lang w:eastAsia="zh-CN"/>
              </w:rPr>
              <w:t>分</w:t>
            </w:r>
            <w:r>
              <w:rPr>
                <w:rFonts w:hint="eastAsia"/>
                <w:color w:val="FF0000"/>
                <w:sz w:val="24"/>
              </w:rPr>
              <w:t>区防渗措施</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color w:val="FF0000"/>
                <w:sz w:val="24"/>
              </w:rPr>
            </w:pPr>
            <w:r>
              <w:rPr>
                <w:rFonts w:hint="default" w:ascii="Times New Roman" w:hAnsi="Times New Roman" w:cs="Times New Roman"/>
                <w:color w:val="FF0000"/>
                <w:lang w:eastAsia="zh-CN"/>
              </w:rPr>
              <w:t>③</w:t>
            </w:r>
            <w:r>
              <w:rPr>
                <w:rFonts w:hint="eastAsia" w:ascii="Times New Roman" w:hAnsi="Times New Roman" w:cs="Times New Roman"/>
                <w:color w:val="FF0000"/>
                <w:lang w:eastAsia="zh-CN"/>
              </w:rPr>
              <w:t>有机废气处理措施活性炭吸附装置收集效率无法达到</w:t>
            </w:r>
            <w:r>
              <w:rPr>
                <w:rFonts w:hint="eastAsia" w:ascii="Times New Roman" w:hAnsi="Times New Roman" w:cs="Times New Roman"/>
                <w:color w:val="FF0000"/>
                <w:lang w:val="en-US" w:eastAsia="zh-CN"/>
              </w:rPr>
              <w:t>100%，处理效率达不到</w:t>
            </w:r>
            <w:r>
              <w:rPr>
                <w:color w:val="FF0000"/>
                <w:sz w:val="24"/>
              </w:rPr>
              <w:t>90%</w:t>
            </w:r>
          </w:p>
          <w:p>
            <w:pPr>
              <w:pStyle w:val="3"/>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eastAsia="宋体"/>
                <w:color w:val="FF0000"/>
                <w:sz w:val="24"/>
                <w:lang w:eastAsia="zh-CN"/>
              </w:rPr>
            </w:pPr>
            <w:r>
              <w:rPr>
                <w:rFonts w:hint="eastAsia" w:ascii="宋体" w:hAnsi="宋体" w:eastAsia="宋体" w:cs="宋体"/>
                <w:color w:val="FF0000"/>
                <w:sz w:val="24"/>
                <w:lang w:eastAsia="zh-CN"/>
              </w:rPr>
              <w:t>④未设置风险防范措施，如</w:t>
            </w:r>
            <w:r>
              <w:rPr>
                <w:rFonts w:hint="eastAsia" w:eastAsia="宋体"/>
                <w:color w:val="FF0000"/>
                <w:sz w:val="24"/>
                <w:lang w:eastAsia="zh-CN"/>
              </w:rPr>
              <w:t>未制定安全生产与卫生管理制度，未制定风险应急预案</w:t>
            </w:r>
            <w:r>
              <w:rPr>
                <w:rFonts w:hint="eastAsia"/>
                <w:color w:val="FF0000"/>
                <w:sz w:val="24"/>
                <w:lang w:eastAsia="zh-CN"/>
              </w:rPr>
              <w:t>等</w:t>
            </w:r>
          </w:p>
          <w:p>
            <w:pPr>
              <w:pStyle w:val="3"/>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color w:val="FF0000"/>
                <w:sz w:val="24"/>
              </w:rPr>
            </w:pPr>
            <w:r>
              <w:rPr>
                <w:rFonts w:hint="eastAsia"/>
                <w:color w:val="FF0000"/>
                <w:sz w:val="24"/>
              </w:rPr>
              <w:t>2）整改措施：</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FF0000"/>
                <w:sz w:val="24"/>
              </w:rPr>
            </w:pPr>
            <w:r>
              <w:rPr>
                <w:rFonts w:hint="eastAsia"/>
                <w:color w:val="FF0000"/>
                <w:sz w:val="24"/>
              </w:rPr>
              <w:t>①</w:t>
            </w:r>
            <w:r>
              <w:rPr>
                <w:color w:val="FF0000"/>
                <w:sz w:val="24"/>
              </w:rPr>
              <w:t>危废间设置标志牌</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FF0000"/>
                <w:sz w:val="24"/>
              </w:rPr>
            </w:pPr>
            <w:r>
              <w:rPr>
                <w:color w:val="FF0000"/>
                <w:sz w:val="24"/>
              </w:rPr>
              <w:t>②</w:t>
            </w:r>
            <w:r>
              <w:rPr>
                <w:rFonts w:hint="eastAsia"/>
                <w:color w:val="FF0000"/>
                <w:sz w:val="24"/>
              </w:rPr>
              <w:t>按照分区防渗要求对整个厂区进行分区防渗</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Times New Roman" w:hAnsi="Times New Roman" w:cs="Times New Roman"/>
                <w:color w:val="FF0000"/>
                <w:lang w:eastAsia="zh-CN"/>
              </w:rPr>
            </w:pPr>
            <w:r>
              <w:rPr>
                <w:rFonts w:hint="default" w:ascii="Times New Roman" w:hAnsi="Times New Roman" w:cs="Times New Roman"/>
                <w:color w:val="FF0000"/>
              </w:rPr>
              <w:t>③</w:t>
            </w:r>
            <w:r>
              <w:rPr>
                <w:rFonts w:hint="eastAsia" w:ascii="Times New Roman" w:hAnsi="Times New Roman" w:cs="Times New Roman"/>
                <w:color w:val="FF0000"/>
                <w:lang w:eastAsia="zh-CN"/>
              </w:rPr>
              <w:t>采用二级活性炭吸附装置对有机废气进行处理，重新核算有机废气产生排放情况</w:t>
            </w:r>
          </w:p>
          <w:p>
            <w:pPr>
              <w:pStyle w:val="3"/>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sz w:val="24"/>
                <w:szCs w:val="24"/>
                <w:lang w:eastAsia="zh-CN"/>
              </w:rPr>
            </w:pPr>
            <w:r>
              <w:rPr>
                <w:rFonts w:hint="eastAsia" w:ascii="宋体" w:hAnsi="宋体" w:eastAsia="宋体" w:cs="宋体"/>
                <w:sz w:val="24"/>
                <w:szCs w:val="24"/>
                <w:lang w:eastAsia="zh-CN"/>
              </w:rPr>
              <w:t>④</w:t>
            </w:r>
            <w:r>
              <w:rPr>
                <w:rFonts w:hint="eastAsia" w:ascii="宋体" w:hAnsi="宋体" w:cs="宋体"/>
                <w:sz w:val="24"/>
                <w:szCs w:val="24"/>
                <w:lang w:eastAsia="zh-CN"/>
              </w:rPr>
              <w:t>设置风险防范措施，</w:t>
            </w:r>
            <w:r>
              <w:rPr>
                <w:rFonts w:hint="eastAsia" w:eastAsia="宋体"/>
                <w:color w:val="FF0000"/>
                <w:sz w:val="24"/>
                <w:szCs w:val="24"/>
                <w:lang w:eastAsia="zh-CN"/>
              </w:rPr>
              <w:t>制定</w:t>
            </w:r>
            <w:r>
              <w:rPr>
                <w:rFonts w:hint="eastAsia"/>
                <w:color w:val="FF0000"/>
                <w:sz w:val="24"/>
                <w:szCs w:val="24"/>
                <w:lang w:eastAsia="zh-CN"/>
              </w:rPr>
              <w:t>企业</w:t>
            </w:r>
            <w:r>
              <w:rPr>
                <w:rFonts w:hint="eastAsia" w:eastAsia="宋体"/>
                <w:color w:val="FF0000"/>
                <w:sz w:val="24"/>
                <w:szCs w:val="24"/>
                <w:lang w:eastAsia="zh-CN"/>
              </w:rPr>
              <w:t>安全生产与卫生管理制度，设置消防及火灾报警系统</w:t>
            </w:r>
            <w:r>
              <w:rPr>
                <w:rFonts w:hint="eastAsia"/>
                <w:color w:val="FF0000"/>
                <w:sz w:val="24"/>
                <w:szCs w:val="24"/>
                <w:lang w:eastAsia="zh-CN"/>
              </w:rPr>
              <w:t>，</w:t>
            </w:r>
            <w:r>
              <w:rPr>
                <w:rFonts w:hint="eastAsia" w:eastAsia="宋体"/>
                <w:color w:val="FF0000"/>
                <w:sz w:val="24"/>
                <w:szCs w:val="24"/>
                <w:lang w:eastAsia="zh-CN"/>
              </w:rPr>
              <w:t>制定</w:t>
            </w:r>
            <w:r>
              <w:rPr>
                <w:rFonts w:hint="eastAsia"/>
                <w:color w:val="FF0000"/>
                <w:sz w:val="24"/>
                <w:szCs w:val="24"/>
                <w:lang w:eastAsia="zh-CN"/>
              </w:rPr>
              <w:t>生产</w:t>
            </w:r>
            <w:r>
              <w:rPr>
                <w:rFonts w:hint="eastAsia" w:eastAsia="宋体"/>
                <w:color w:val="FF0000"/>
                <w:sz w:val="24"/>
                <w:szCs w:val="24"/>
                <w:lang w:eastAsia="zh-CN"/>
              </w:rPr>
              <w:t>风险应急预案</w:t>
            </w:r>
            <w:r>
              <w:rPr>
                <w:rFonts w:hint="eastAsia"/>
                <w:color w:val="FF0000"/>
                <w:sz w:val="24"/>
                <w:szCs w:val="24"/>
                <w:lang w:eastAsia="zh-CN"/>
              </w:rPr>
              <w:t>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jc w:val="left"/>
              <w:textAlignment w:val="auto"/>
              <w:rPr>
                <w:color w:val="FF0000"/>
                <w:sz w:val="24"/>
                <w:szCs w:val="24"/>
              </w:rPr>
            </w:pPr>
            <w:r>
              <w:rPr>
                <w:rFonts w:hint="eastAsia"/>
                <w:color w:val="FF0000"/>
                <w:sz w:val="24"/>
                <w:szCs w:val="24"/>
              </w:rPr>
              <w:t>3</w:t>
            </w:r>
            <w:r>
              <w:rPr>
                <w:color w:val="FF0000"/>
                <w:sz w:val="24"/>
                <w:szCs w:val="24"/>
              </w:rPr>
              <w:t>）</w:t>
            </w:r>
            <w:r>
              <w:rPr>
                <w:color w:val="FF0000"/>
                <w:kern w:val="0"/>
                <w:sz w:val="24"/>
                <w:szCs w:val="24"/>
                <w:lang w:bidi="ar"/>
              </w:rPr>
              <w:t>“以新带老”措施</w:t>
            </w:r>
          </w:p>
          <w:p>
            <w:pPr>
              <w:pStyle w:val="134"/>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color w:val="FF0000"/>
                <w:sz w:val="24"/>
                <w:szCs w:val="24"/>
                <w:lang w:val="en-US"/>
              </w:rPr>
            </w:pPr>
            <w:r>
              <w:rPr>
                <w:rFonts w:hint="eastAsia"/>
                <w:bCs/>
                <w:color w:val="FF0000"/>
                <w:sz w:val="24"/>
                <w:szCs w:val="24"/>
                <w:lang w:val="eu-ES" w:eastAsia="zh-CN"/>
              </w:rPr>
              <w:t>将原生产工艺中滚涂PU漆改为喷涂方式，并取消丝印工序；</w:t>
            </w:r>
            <w:r>
              <w:rPr>
                <w:rFonts w:hint="eastAsia" w:ascii="Times New Roman" w:hAnsi="Times New Roman" w:cs="Times New Roman"/>
                <w:color w:val="FF0000"/>
                <w:sz w:val="24"/>
                <w:szCs w:val="24"/>
                <w:lang w:eastAsia="zh-CN"/>
              </w:rPr>
              <w:t>采用二级活性炭吸附装置对有机废气进行处理</w:t>
            </w:r>
            <w:r>
              <w:rPr>
                <w:rFonts w:hint="eastAsia" w:cs="Times New Roman"/>
                <w:color w:val="FF0000"/>
                <w:sz w:val="24"/>
                <w:szCs w:val="24"/>
                <w:lang w:eastAsia="zh-CN"/>
              </w:rPr>
              <w:t>；单独设置集气罩</w:t>
            </w:r>
            <w:r>
              <w:rPr>
                <w:rFonts w:hint="eastAsia" w:cs="Times New Roman"/>
                <w:color w:val="FF0000"/>
                <w:sz w:val="24"/>
                <w:szCs w:val="24"/>
                <w:lang w:val="en-US" w:eastAsia="zh-CN"/>
              </w:rPr>
              <w:t>+</w:t>
            </w:r>
            <w:r>
              <w:rPr>
                <w:rFonts w:hint="eastAsia" w:cs="Times New Roman"/>
                <w:color w:val="FF0000"/>
                <w:sz w:val="24"/>
                <w:szCs w:val="24"/>
                <w:lang w:eastAsia="zh-CN"/>
              </w:rPr>
              <w:t>中央集尘器+15m高排气筒对</w:t>
            </w:r>
            <w:r>
              <w:rPr>
                <w:rFonts w:hint="eastAsia" w:cs="Times New Roman"/>
                <w:color w:val="FF0000"/>
                <w:sz w:val="24"/>
                <w:szCs w:val="24"/>
                <w:lang w:val="en-US" w:eastAsia="zh-CN"/>
              </w:rPr>
              <w:t>砂光粉尘进行处理；项目生活用水定额减少，生活污水污染物产排浓度根据较科学产污系数、处理措施处理效率重新核算。</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color w:val="FF0000"/>
                <w:sz w:val="24"/>
              </w:rPr>
            </w:pPr>
            <w:r>
              <w:rPr>
                <w:rFonts w:hint="eastAsia"/>
                <w:color w:val="FF0000"/>
                <w:sz w:val="24"/>
                <w:szCs w:val="24"/>
              </w:rPr>
              <w:t>现有项目污染物产排数据来源为原有项</w:t>
            </w:r>
            <w:r>
              <w:rPr>
                <w:rFonts w:hint="eastAsia"/>
                <w:color w:val="FF0000"/>
                <w:sz w:val="24"/>
              </w:rPr>
              <w:t>目环评数据。现有项目各项环保措施均按批复落实，完成情况较好。针对现有项目存在的环保问题，本环评要求企业按照提出的整改措施进行整改，并建立完善管理体系。</w:t>
            </w:r>
          </w:p>
          <w:p>
            <w:pPr>
              <w:spacing w:line="360" w:lineRule="auto"/>
              <w:ind w:firstLine="480" w:firstLineChars="200"/>
              <w:rPr>
                <w:rFonts w:ascii="宋体" w:hAnsi="宋体" w:cs="宋体"/>
                <w:bCs/>
                <w:sz w:val="24"/>
              </w:rPr>
            </w:pPr>
          </w:p>
          <w:p>
            <w:pPr>
              <w:adjustRightInd w:val="0"/>
              <w:snapToGrid w:val="0"/>
              <w:spacing w:line="360" w:lineRule="auto"/>
              <w:ind w:firstLine="480" w:firstLineChars="200"/>
              <w:rPr>
                <w:rFonts w:ascii="宋体" w:hAnsi="宋体"/>
                <w:bCs/>
                <w:sz w:val="24"/>
              </w:rPr>
            </w:pPr>
          </w:p>
        </w:tc>
        <w:tc>
          <w:tcPr>
            <w:tcW w:w="4415" w:type="dxa"/>
          </w:tcPr>
          <w:p>
            <w:pPr>
              <w:adjustRightInd w:val="0"/>
              <w:snapToGrid w:val="0"/>
              <w:spacing w:line="360" w:lineRule="auto"/>
              <w:rPr>
                <w:rFonts w:ascii="宋体" w:hAnsi="宋体"/>
                <w:bCs/>
                <w:color w:val="FF0000"/>
                <w:sz w:val="24"/>
              </w:rPr>
            </w:pPr>
          </w:p>
        </w:tc>
      </w:tr>
    </w:tbl>
    <w:p>
      <w:pPr>
        <w:pStyle w:val="29"/>
        <w:jc w:val="center"/>
        <w:rPr>
          <w:rFonts w:ascii="黑体" w:hAnsi="黑体" w:eastAsia="黑体"/>
          <w:snapToGrid w:val="0"/>
          <w:color w:val="FF0000"/>
          <w:sz w:val="36"/>
          <w:szCs w:val="36"/>
        </w:rPr>
        <w:sectPr>
          <w:footerReference r:id="rId6"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9"/>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区域</w:t>
            </w:r>
          </w:p>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color w:val="FF0000"/>
                <w:kern w:val="0"/>
                <w:szCs w:val="21"/>
              </w:rPr>
            </w:pPr>
            <w:r>
              <w:rPr>
                <w:rFonts w:hint="eastAsia" w:ascii="宋体" w:hAnsi="宋体" w:cs="宋体"/>
                <w:kern w:val="0"/>
                <w:szCs w:val="21"/>
              </w:rPr>
              <w:t>现状</w:t>
            </w:r>
          </w:p>
        </w:tc>
        <w:tc>
          <w:tcPr>
            <w:tcW w:w="8190" w:type="dxa"/>
            <w:vAlign w:val="center"/>
          </w:tcPr>
          <w:p>
            <w:pPr>
              <w:spacing w:line="360" w:lineRule="auto"/>
              <w:ind w:firstLine="482" w:firstLineChars="200"/>
              <w:rPr>
                <w:b/>
                <w:sz w:val="24"/>
              </w:rPr>
            </w:pPr>
            <w:r>
              <w:rPr>
                <w:rFonts w:hint="eastAsia"/>
                <w:b/>
                <w:sz w:val="24"/>
              </w:rPr>
              <w:t>1</w:t>
            </w:r>
            <w:r>
              <w:rPr>
                <w:b/>
                <w:sz w:val="24"/>
              </w:rPr>
              <w:t>、环境空气</w:t>
            </w:r>
          </w:p>
          <w:p>
            <w:pPr>
              <w:autoSpaceDE w:val="0"/>
              <w:autoSpaceDN w:val="0"/>
              <w:adjustRightInd w:val="0"/>
              <w:spacing w:line="360" w:lineRule="auto"/>
              <w:ind w:firstLine="480" w:firstLineChars="200"/>
              <w:rPr>
                <w:kern w:val="0"/>
                <w:sz w:val="24"/>
              </w:rPr>
            </w:pPr>
            <w:r>
              <w:rPr>
                <w:rFonts w:hint="eastAsia"/>
                <w:kern w:val="0"/>
                <w:sz w:val="24"/>
              </w:rPr>
              <w:t>①项目所在区域环境空气质量现状</w:t>
            </w:r>
          </w:p>
          <w:p>
            <w:pPr>
              <w:autoSpaceDE w:val="0"/>
              <w:autoSpaceDN w:val="0"/>
              <w:adjustRightInd w:val="0"/>
              <w:spacing w:line="360" w:lineRule="auto"/>
              <w:ind w:firstLine="480" w:firstLineChars="200"/>
              <w:rPr>
                <w:kern w:val="0"/>
                <w:sz w:val="24"/>
              </w:rPr>
            </w:pPr>
            <w:r>
              <w:rPr>
                <w:kern w:val="0"/>
                <w:sz w:val="24"/>
              </w:rPr>
              <w:t>项目位于</w:t>
            </w:r>
            <w:r>
              <w:rPr>
                <w:rFonts w:hint="eastAsia"/>
                <w:kern w:val="0"/>
                <w:sz w:val="24"/>
              </w:rPr>
              <w:t>江西余干高新技术产业园区内（余干黄金埠园区），根据《环境影响评价技术导</w:t>
            </w:r>
            <w:r>
              <w:rPr>
                <w:kern w:val="0"/>
                <w:sz w:val="24"/>
              </w:rPr>
              <w:t>则-大气环境》（HJ2.2-2018）规定，本评价采用江西省生态环境厅公布的20</w:t>
            </w:r>
            <w:r>
              <w:rPr>
                <w:rFonts w:hint="eastAsia"/>
                <w:kern w:val="0"/>
                <w:sz w:val="24"/>
              </w:rPr>
              <w:t>22</w:t>
            </w:r>
            <w:r>
              <w:rPr>
                <w:kern w:val="0"/>
                <w:sz w:val="24"/>
              </w:rPr>
              <w:t>年江西省各县（市、区）六项污染物浓度年均值数据中</w:t>
            </w:r>
            <w:r>
              <w:rPr>
                <w:rFonts w:hint="eastAsia"/>
                <w:kern w:val="0"/>
                <w:sz w:val="24"/>
              </w:rPr>
              <w:t>余干</w:t>
            </w:r>
            <w:r>
              <w:rPr>
                <w:kern w:val="0"/>
                <w:sz w:val="24"/>
              </w:rPr>
              <w:t>县空气质量监测数据来评价项目所在区域环境空气质量达标情况进行评价，详见表3-1。</w:t>
            </w:r>
          </w:p>
          <w:p>
            <w:pPr>
              <w:spacing w:before="120" w:beforeLines="50"/>
              <w:jc w:val="center"/>
              <w:rPr>
                <w:rFonts w:ascii="黑体" w:hAnsi="黑体" w:eastAsia="黑体"/>
                <w:sz w:val="24"/>
              </w:rPr>
            </w:pPr>
            <w:r>
              <w:rPr>
                <w:rFonts w:hint="eastAsia" w:ascii="黑体" w:hAnsi="黑体" w:eastAsia="黑体"/>
                <w:sz w:val="24"/>
              </w:rPr>
              <w:t xml:space="preserve">表3-1  项目所在区域环境空气质量现状评价一览表 </w:t>
            </w:r>
          </w:p>
          <w:tbl>
            <w:tblPr>
              <w:tblStyle w:val="33"/>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28" w:type="dxa"/>
                <w:bottom w:w="0" w:type="dxa"/>
                <w:right w:w="28" w:type="dxa"/>
              </w:tblCellMar>
            </w:tblPr>
            <w:tblGrid>
              <w:gridCol w:w="604"/>
              <w:gridCol w:w="1552"/>
              <w:gridCol w:w="750"/>
              <w:gridCol w:w="683"/>
              <w:gridCol w:w="793"/>
              <w:gridCol w:w="740"/>
              <w:gridCol w:w="1608"/>
              <w:gridCol w:w="124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trPr>
              <w:tc>
                <w:tcPr>
                  <w:tcW w:w="379" w:type="pct"/>
                  <w:tcBorders>
                    <w:top w:val="single" w:color="auto" w:sz="12" w:space="0"/>
                    <w:left w:val="nil"/>
                    <w:bottom w:val="single" w:color="auto" w:sz="2" w:space="0"/>
                    <w:right w:val="single" w:color="auto" w:sz="4" w:space="0"/>
                  </w:tcBorders>
                  <w:vAlign w:val="center"/>
                </w:tcPr>
                <w:p>
                  <w:pPr>
                    <w:spacing w:line="340" w:lineRule="exact"/>
                    <w:jc w:val="center"/>
                    <w:rPr>
                      <w:szCs w:val="21"/>
                    </w:rPr>
                  </w:pPr>
                  <w:r>
                    <w:rPr>
                      <w:szCs w:val="21"/>
                    </w:rPr>
                    <w:t>名称</w:t>
                  </w:r>
                </w:p>
              </w:tc>
              <w:tc>
                <w:tcPr>
                  <w:tcW w:w="973" w:type="pct"/>
                  <w:tcBorders>
                    <w:top w:val="single" w:color="auto" w:sz="12" w:space="0"/>
                    <w:left w:val="single" w:color="auto" w:sz="4" w:space="0"/>
                    <w:bottom w:val="single" w:color="auto" w:sz="2" w:space="0"/>
                    <w:right w:val="single" w:color="auto" w:sz="2" w:space="0"/>
                  </w:tcBorders>
                  <w:vAlign w:val="center"/>
                </w:tcPr>
                <w:p>
                  <w:pPr>
                    <w:spacing w:line="340" w:lineRule="exact"/>
                    <w:jc w:val="center"/>
                    <w:rPr>
                      <w:szCs w:val="21"/>
                    </w:rPr>
                  </w:pPr>
                  <w:r>
                    <w:rPr>
                      <w:szCs w:val="21"/>
                    </w:rPr>
                    <w:t>污染物</w:t>
                  </w:r>
                </w:p>
              </w:tc>
              <w:tc>
                <w:tcPr>
                  <w:tcW w:w="470" w:type="pct"/>
                  <w:tcBorders>
                    <w:top w:val="single" w:color="auto" w:sz="12" w:space="0"/>
                    <w:left w:val="single" w:color="auto" w:sz="2" w:space="0"/>
                    <w:bottom w:val="single" w:color="auto" w:sz="2" w:space="0"/>
                    <w:right w:val="single" w:color="auto" w:sz="2" w:space="0"/>
                  </w:tcBorders>
                  <w:vAlign w:val="center"/>
                </w:tcPr>
                <w:p>
                  <w:pPr>
                    <w:spacing w:line="340" w:lineRule="exact"/>
                    <w:jc w:val="center"/>
                    <w:rPr>
                      <w:szCs w:val="21"/>
                    </w:rPr>
                  </w:pPr>
                  <w:r>
                    <w:rPr>
                      <w:kern w:val="0"/>
                      <w:szCs w:val="21"/>
                    </w:rPr>
                    <w:t>SO</w:t>
                  </w:r>
                  <w:r>
                    <w:rPr>
                      <w:kern w:val="0"/>
                      <w:szCs w:val="21"/>
                      <w:vertAlign w:val="subscript"/>
                    </w:rPr>
                    <w:t>2</w:t>
                  </w:r>
                </w:p>
              </w:tc>
              <w:tc>
                <w:tcPr>
                  <w:tcW w:w="428" w:type="pct"/>
                  <w:tcBorders>
                    <w:top w:val="single" w:color="auto" w:sz="12" w:space="0"/>
                    <w:left w:val="single" w:color="auto" w:sz="2" w:space="0"/>
                    <w:bottom w:val="single" w:color="auto" w:sz="2" w:space="0"/>
                    <w:right w:val="single" w:color="auto" w:sz="2" w:space="0"/>
                  </w:tcBorders>
                  <w:vAlign w:val="center"/>
                </w:tcPr>
                <w:p>
                  <w:pPr>
                    <w:spacing w:line="340" w:lineRule="exact"/>
                    <w:jc w:val="center"/>
                    <w:rPr>
                      <w:szCs w:val="21"/>
                    </w:rPr>
                  </w:pPr>
                  <w:r>
                    <w:rPr>
                      <w:kern w:val="0"/>
                      <w:szCs w:val="21"/>
                    </w:rPr>
                    <w:t>NO</w:t>
                  </w:r>
                  <w:r>
                    <w:rPr>
                      <w:kern w:val="0"/>
                      <w:szCs w:val="21"/>
                      <w:vertAlign w:val="subscript"/>
                    </w:rPr>
                    <w:t>2</w:t>
                  </w:r>
                </w:p>
              </w:tc>
              <w:tc>
                <w:tcPr>
                  <w:tcW w:w="497" w:type="pct"/>
                  <w:tcBorders>
                    <w:top w:val="single" w:color="auto" w:sz="12" w:space="0"/>
                    <w:left w:val="single" w:color="auto" w:sz="2" w:space="0"/>
                    <w:bottom w:val="single" w:color="auto" w:sz="2" w:space="0"/>
                    <w:right w:val="single" w:color="auto" w:sz="2" w:space="0"/>
                  </w:tcBorders>
                  <w:vAlign w:val="center"/>
                </w:tcPr>
                <w:p>
                  <w:pPr>
                    <w:spacing w:line="340" w:lineRule="exact"/>
                    <w:jc w:val="center"/>
                    <w:rPr>
                      <w:szCs w:val="21"/>
                    </w:rPr>
                  </w:pPr>
                  <w:r>
                    <w:rPr>
                      <w:kern w:val="0"/>
                      <w:szCs w:val="21"/>
                    </w:rPr>
                    <w:t>PM</w:t>
                  </w:r>
                  <w:r>
                    <w:rPr>
                      <w:kern w:val="0"/>
                      <w:szCs w:val="21"/>
                      <w:vertAlign w:val="subscript"/>
                    </w:rPr>
                    <w:t>2.5</w:t>
                  </w:r>
                </w:p>
              </w:tc>
              <w:tc>
                <w:tcPr>
                  <w:tcW w:w="464" w:type="pct"/>
                  <w:tcBorders>
                    <w:top w:val="single" w:color="auto" w:sz="12" w:space="0"/>
                    <w:left w:val="single" w:color="auto" w:sz="2" w:space="0"/>
                    <w:bottom w:val="single" w:color="auto" w:sz="2" w:space="0"/>
                    <w:right w:val="single" w:color="auto" w:sz="2" w:space="0"/>
                  </w:tcBorders>
                  <w:vAlign w:val="center"/>
                </w:tcPr>
                <w:p>
                  <w:pPr>
                    <w:spacing w:line="340" w:lineRule="exact"/>
                    <w:jc w:val="center"/>
                    <w:rPr>
                      <w:szCs w:val="21"/>
                    </w:rPr>
                  </w:pPr>
                  <w:r>
                    <w:rPr>
                      <w:snapToGrid w:val="0"/>
                      <w:szCs w:val="21"/>
                    </w:rPr>
                    <w:t>PM</w:t>
                  </w:r>
                  <w:r>
                    <w:rPr>
                      <w:snapToGrid w:val="0"/>
                      <w:szCs w:val="21"/>
                      <w:vertAlign w:val="subscript"/>
                    </w:rPr>
                    <w:t>10</w:t>
                  </w:r>
                </w:p>
              </w:tc>
              <w:tc>
                <w:tcPr>
                  <w:tcW w:w="1008" w:type="pct"/>
                  <w:tcBorders>
                    <w:top w:val="single" w:color="auto" w:sz="12" w:space="0"/>
                    <w:left w:val="single" w:color="auto" w:sz="2" w:space="0"/>
                    <w:bottom w:val="single" w:color="auto" w:sz="2" w:space="0"/>
                    <w:right w:val="single" w:color="auto" w:sz="2" w:space="0"/>
                  </w:tcBorders>
                  <w:vAlign w:val="center"/>
                </w:tcPr>
                <w:p>
                  <w:pPr>
                    <w:spacing w:line="340" w:lineRule="exact"/>
                    <w:jc w:val="center"/>
                    <w:rPr>
                      <w:szCs w:val="21"/>
                    </w:rPr>
                  </w:pPr>
                  <w:r>
                    <w:rPr>
                      <w:snapToGrid w:val="0"/>
                      <w:szCs w:val="21"/>
                    </w:rPr>
                    <w:t>CO*</w:t>
                  </w:r>
                </w:p>
              </w:tc>
              <w:tc>
                <w:tcPr>
                  <w:tcW w:w="779" w:type="pct"/>
                  <w:tcBorders>
                    <w:top w:val="single" w:color="auto" w:sz="12" w:space="0"/>
                    <w:left w:val="single" w:color="auto" w:sz="2" w:space="0"/>
                    <w:bottom w:val="single" w:color="auto" w:sz="2" w:space="0"/>
                    <w:right w:val="nil"/>
                  </w:tcBorders>
                  <w:vAlign w:val="center"/>
                </w:tcPr>
                <w:p>
                  <w:pPr>
                    <w:spacing w:line="340" w:lineRule="exact"/>
                    <w:jc w:val="center"/>
                    <w:rPr>
                      <w:szCs w:val="21"/>
                    </w:rPr>
                  </w:pPr>
                  <w:r>
                    <w:rPr>
                      <w:snapToGrid w:val="0"/>
                      <w:szCs w:val="21"/>
                    </w:rPr>
                    <w:t>O</w:t>
                  </w:r>
                  <w:r>
                    <w:rPr>
                      <w:snapToGrid w:val="0"/>
                      <w:szCs w:val="21"/>
                      <w:vertAlign w:val="subscript"/>
                    </w:rPr>
                    <w:t>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trPr>
              <w:tc>
                <w:tcPr>
                  <w:tcW w:w="379" w:type="pct"/>
                  <w:vMerge w:val="restart"/>
                  <w:tcBorders>
                    <w:top w:val="single" w:color="auto" w:sz="2" w:space="0"/>
                    <w:left w:val="nil"/>
                    <w:bottom w:val="single" w:color="auto" w:sz="2" w:space="0"/>
                    <w:right w:val="single" w:color="auto" w:sz="2" w:space="0"/>
                  </w:tcBorders>
                  <w:vAlign w:val="center"/>
                </w:tcPr>
                <w:p>
                  <w:pPr>
                    <w:spacing w:line="340" w:lineRule="exact"/>
                    <w:jc w:val="center"/>
                    <w:rPr>
                      <w:szCs w:val="21"/>
                    </w:rPr>
                  </w:pPr>
                  <w:r>
                    <w:rPr>
                      <w:rFonts w:hint="eastAsia"/>
                      <w:szCs w:val="21"/>
                    </w:rPr>
                    <w:t>余干</w:t>
                  </w:r>
                  <w:r>
                    <w:rPr>
                      <w:szCs w:val="21"/>
                    </w:rPr>
                    <w:t>县</w:t>
                  </w:r>
                </w:p>
              </w:tc>
              <w:tc>
                <w:tcPr>
                  <w:tcW w:w="973"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年评价指标</w:t>
                  </w:r>
                </w:p>
              </w:tc>
              <w:tc>
                <w:tcPr>
                  <w:tcW w:w="470"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年均值</w:t>
                  </w:r>
                </w:p>
              </w:tc>
              <w:tc>
                <w:tcPr>
                  <w:tcW w:w="428"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年均值</w:t>
                  </w:r>
                </w:p>
              </w:tc>
              <w:tc>
                <w:tcPr>
                  <w:tcW w:w="497"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年均值</w:t>
                  </w:r>
                </w:p>
              </w:tc>
              <w:tc>
                <w:tcPr>
                  <w:tcW w:w="464"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年均值</w:t>
                  </w:r>
                </w:p>
              </w:tc>
              <w:tc>
                <w:tcPr>
                  <w:tcW w:w="1008"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pacing w:val="-16"/>
                      <w:szCs w:val="21"/>
                    </w:rPr>
                  </w:pPr>
                  <w:r>
                    <w:rPr>
                      <w:snapToGrid w:val="0"/>
                      <w:spacing w:val="-16"/>
                      <w:szCs w:val="21"/>
                    </w:rPr>
                    <w:t>日均值95%位数值</w:t>
                  </w:r>
                </w:p>
              </w:tc>
              <w:tc>
                <w:tcPr>
                  <w:tcW w:w="779" w:type="pct"/>
                  <w:tcBorders>
                    <w:top w:val="single" w:color="auto" w:sz="2" w:space="0"/>
                    <w:left w:val="single" w:color="auto" w:sz="2" w:space="0"/>
                    <w:bottom w:val="single" w:color="auto" w:sz="2" w:space="0"/>
                    <w:right w:val="nil"/>
                  </w:tcBorders>
                  <w:vAlign w:val="center"/>
                </w:tcPr>
                <w:p>
                  <w:pPr>
                    <w:spacing w:line="340" w:lineRule="exact"/>
                    <w:jc w:val="center"/>
                    <w:rPr>
                      <w:spacing w:val="-16"/>
                      <w:szCs w:val="21"/>
                    </w:rPr>
                  </w:pPr>
                  <w:r>
                    <w:rPr>
                      <w:snapToGrid w:val="0"/>
                      <w:spacing w:val="-16"/>
                      <w:szCs w:val="21"/>
                    </w:rPr>
                    <w:t>日最大8小时值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trPr>
              <w:tc>
                <w:tcPr>
                  <w:tcW w:w="379" w:type="pct"/>
                  <w:vMerge w:val="continue"/>
                  <w:tcBorders>
                    <w:top w:val="single" w:color="auto" w:sz="2" w:space="0"/>
                    <w:left w:val="nil"/>
                    <w:bottom w:val="single" w:color="auto" w:sz="2" w:space="0"/>
                    <w:right w:val="single" w:color="auto" w:sz="2" w:space="0"/>
                  </w:tcBorders>
                  <w:vAlign w:val="center"/>
                </w:tcPr>
                <w:p>
                  <w:pPr>
                    <w:spacing w:line="340" w:lineRule="exact"/>
                    <w:jc w:val="center"/>
                    <w:rPr>
                      <w:szCs w:val="21"/>
                    </w:rPr>
                  </w:pPr>
                </w:p>
              </w:tc>
              <w:tc>
                <w:tcPr>
                  <w:tcW w:w="973"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pacing w:val="-20"/>
                      <w:szCs w:val="21"/>
                    </w:rPr>
                  </w:pPr>
                  <w:r>
                    <w:rPr>
                      <w:spacing w:val="-20"/>
                      <w:szCs w:val="21"/>
                    </w:rPr>
                    <w:t>现状浓度（</w:t>
                  </w:r>
                  <w:r>
                    <w:rPr>
                      <w:snapToGrid w:val="0"/>
                      <w:szCs w:val="21"/>
                    </w:rPr>
                    <w:t>μg/m</w:t>
                  </w:r>
                  <w:r>
                    <w:rPr>
                      <w:snapToGrid w:val="0"/>
                      <w:szCs w:val="21"/>
                      <w:vertAlign w:val="superscript"/>
                    </w:rPr>
                    <w:t>3</w:t>
                  </w:r>
                  <w:r>
                    <w:rPr>
                      <w:spacing w:val="-20"/>
                      <w:szCs w:val="21"/>
                    </w:rPr>
                    <w:t>）</w:t>
                  </w:r>
                </w:p>
              </w:tc>
              <w:tc>
                <w:tcPr>
                  <w:tcW w:w="470"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napToGrid w:val="0"/>
                      <w:szCs w:val="21"/>
                    </w:rPr>
                    <w:t>5</w:t>
                  </w:r>
                </w:p>
              </w:tc>
              <w:tc>
                <w:tcPr>
                  <w:tcW w:w="428"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napToGrid w:val="0"/>
                      <w:szCs w:val="21"/>
                    </w:rPr>
                    <w:t>13</w:t>
                  </w:r>
                </w:p>
              </w:tc>
              <w:tc>
                <w:tcPr>
                  <w:tcW w:w="497"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napToGrid w:val="0"/>
                      <w:szCs w:val="21"/>
                    </w:rPr>
                    <w:t>24</w:t>
                  </w:r>
                </w:p>
              </w:tc>
              <w:tc>
                <w:tcPr>
                  <w:tcW w:w="464"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napToGrid w:val="0"/>
                      <w:szCs w:val="21"/>
                    </w:rPr>
                    <w:t>36</w:t>
                  </w:r>
                </w:p>
              </w:tc>
              <w:tc>
                <w:tcPr>
                  <w:tcW w:w="1008"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napToGrid w:val="0"/>
                      <w:szCs w:val="21"/>
                    </w:rPr>
                    <w:t>0.8</w:t>
                  </w:r>
                </w:p>
              </w:tc>
              <w:tc>
                <w:tcPr>
                  <w:tcW w:w="779" w:type="pct"/>
                  <w:tcBorders>
                    <w:top w:val="single" w:color="auto" w:sz="2" w:space="0"/>
                    <w:left w:val="single" w:color="auto" w:sz="2" w:space="0"/>
                    <w:bottom w:val="single" w:color="auto" w:sz="2" w:space="0"/>
                    <w:right w:val="nil"/>
                  </w:tcBorders>
                  <w:vAlign w:val="center"/>
                </w:tcPr>
                <w:p>
                  <w:pPr>
                    <w:spacing w:line="340" w:lineRule="exact"/>
                    <w:jc w:val="center"/>
                    <w:rPr>
                      <w:szCs w:val="21"/>
                    </w:rPr>
                  </w:pPr>
                  <w:r>
                    <w:rPr>
                      <w:snapToGrid w:val="0"/>
                      <w:szCs w:val="21"/>
                    </w:rPr>
                    <w:t>1</w:t>
                  </w:r>
                  <w:r>
                    <w:rPr>
                      <w:rFonts w:hint="eastAsia"/>
                      <w:snapToGrid w:val="0"/>
                      <w:szCs w:val="21"/>
                    </w:rPr>
                    <w:t>34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trPr>
              <w:tc>
                <w:tcPr>
                  <w:tcW w:w="379" w:type="pct"/>
                  <w:vMerge w:val="continue"/>
                  <w:tcBorders>
                    <w:top w:val="single" w:color="auto" w:sz="2" w:space="0"/>
                    <w:left w:val="nil"/>
                    <w:bottom w:val="single" w:color="auto" w:sz="2" w:space="0"/>
                    <w:right w:val="single" w:color="auto" w:sz="2" w:space="0"/>
                  </w:tcBorders>
                  <w:vAlign w:val="center"/>
                </w:tcPr>
                <w:p>
                  <w:pPr>
                    <w:spacing w:line="340" w:lineRule="exact"/>
                    <w:jc w:val="center"/>
                    <w:rPr>
                      <w:szCs w:val="21"/>
                    </w:rPr>
                  </w:pPr>
                </w:p>
              </w:tc>
              <w:tc>
                <w:tcPr>
                  <w:tcW w:w="973"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pacing w:val="-20"/>
                      <w:szCs w:val="21"/>
                    </w:rPr>
                    <w:t>标准值（</w:t>
                  </w:r>
                  <w:r>
                    <w:rPr>
                      <w:snapToGrid w:val="0"/>
                      <w:szCs w:val="21"/>
                    </w:rPr>
                    <w:t>μg/m</w:t>
                  </w:r>
                  <w:r>
                    <w:rPr>
                      <w:snapToGrid w:val="0"/>
                      <w:szCs w:val="21"/>
                      <w:vertAlign w:val="superscript"/>
                    </w:rPr>
                    <w:t>3</w:t>
                  </w:r>
                  <w:r>
                    <w:rPr>
                      <w:spacing w:val="-20"/>
                      <w:szCs w:val="21"/>
                    </w:rPr>
                    <w:t>）</w:t>
                  </w:r>
                </w:p>
              </w:tc>
              <w:tc>
                <w:tcPr>
                  <w:tcW w:w="470"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60</w:t>
                  </w:r>
                </w:p>
              </w:tc>
              <w:tc>
                <w:tcPr>
                  <w:tcW w:w="428"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40</w:t>
                  </w:r>
                </w:p>
              </w:tc>
              <w:tc>
                <w:tcPr>
                  <w:tcW w:w="497"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35</w:t>
                  </w:r>
                </w:p>
              </w:tc>
              <w:tc>
                <w:tcPr>
                  <w:tcW w:w="464"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70</w:t>
                  </w:r>
                </w:p>
              </w:tc>
              <w:tc>
                <w:tcPr>
                  <w:tcW w:w="1008"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4.0</w:t>
                  </w:r>
                </w:p>
              </w:tc>
              <w:tc>
                <w:tcPr>
                  <w:tcW w:w="779" w:type="pct"/>
                  <w:tcBorders>
                    <w:top w:val="single" w:color="auto" w:sz="2" w:space="0"/>
                    <w:left w:val="single" w:color="auto" w:sz="2" w:space="0"/>
                    <w:bottom w:val="single" w:color="auto" w:sz="2" w:space="0"/>
                    <w:right w:val="nil"/>
                  </w:tcBorders>
                  <w:vAlign w:val="center"/>
                </w:tcPr>
                <w:p>
                  <w:pPr>
                    <w:spacing w:line="340" w:lineRule="exact"/>
                    <w:jc w:val="center"/>
                    <w:rPr>
                      <w:szCs w:val="21"/>
                    </w:rPr>
                  </w:pPr>
                  <w:r>
                    <w:rPr>
                      <w:szCs w:val="21"/>
                    </w:rPr>
                    <w:t>160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trPr>
              <w:tc>
                <w:tcPr>
                  <w:tcW w:w="379" w:type="pct"/>
                  <w:vMerge w:val="continue"/>
                  <w:tcBorders>
                    <w:top w:val="single" w:color="auto" w:sz="2" w:space="0"/>
                    <w:left w:val="nil"/>
                    <w:bottom w:val="single" w:color="auto" w:sz="2" w:space="0"/>
                    <w:right w:val="single" w:color="auto" w:sz="2" w:space="0"/>
                  </w:tcBorders>
                  <w:vAlign w:val="center"/>
                </w:tcPr>
                <w:p>
                  <w:pPr>
                    <w:spacing w:line="340" w:lineRule="exact"/>
                    <w:jc w:val="center"/>
                    <w:rPr>
                      <w:szCs w:val="21"/>
                    </w:rPr>
                  </w:pPr>
                </w:p>
              </w:tc>
              <w:tc>
                <w:tcPr>
                  <w:tcW w:w="973" w:type="pct"/>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szCs w:val="21"/>
                    </w:rPr>
                    <w:t>占标率（%）</w:t>
                  </w:r>
                </w:p>
              </w:tc>
              <w:tc>
                <w:tcPr>
                  <w:tcW w:w="750"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zCs w:val="21"/>
                    </w:rPr>
                    <w:t>8.3</w:t>
                  </w:r>
                </w:p>
              </w:tc>
              <w:tc>
                <w:tcPr>
                  <w:tcW w:w="683"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zCs w:val="21"/>
                    </w:rPr>
                    <w:t>32.5</w:t>
                  </w:r>
                </w:p>
              </w:tc>
              <w:tc>
                <w:tcPr>
                  <w:tcW w:w="793"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zCs w:val="21"/>
                    </w:rPr>
                    <w:t>68.6</w:t>
                  </w:r>
                </w:p>
              </w:tc>
              <w:tc>
                <w:tcPr>
                  <w:tcW w:w="740"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zCs w:val="21"/>
                    </w:rPr>
                    <w:t>51.4</w:t>
                  </w:r>
                </w:p>
              </w:tc>
              <w:tc>
                <w:tcPr>
                  <w:tcW w:w="1608"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szCs w:val="21"/>
                    </w:rPr>
                  </w:pPr>
                  <w:r>
                    <w:rPr>
                      <w:rFonts w:hint="eastAsia"/>
                      <w:szCs w:val="21"/>
                    </w:rPr>
                    <w:t>20</w:t>
                  </w:r>
                </w:p>
              </w:tc>
              <w:tc>
                <w:tcPr>
                  <w:tcW w:w="1244" w:type="dxa"/>
                  <w:tcBorders>
                    <w:top w:val="single" w:color="auto" w:sz="2" w:space="0"/>
                    <w:left w:val="single" w:color="auto" w:sz="2" w:space="0"/>
                    <w:bottom w:val="single" w:color="auto" w:sz="2" w:space="0"/>
                    <w:right w:val="nil"/>
                  </w:tcBorders>
                  <w:vAlign w:val="center"/>
                </w:tcPr>
                <w:p>
                  <w:pPr>
                    <w:spacing w:line="340" w:lineRule="exact"/>
                    <w:jc w:val="center"/>
                    <w:rPr>
                      <w:szCs w:val="21"/>
                    </w:rPr>
                  </w:pPr>
                  <w:r>
                    <w:rPr>
                      <w:rFonts w:hint="eastAsia"/>
                      <w:szCs w:val="21"/>
                    </w:rPr>
                    <w:t>83.75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trPr>
              <w:tc>
                <w:tcPr>
                  <w:tcW w:w="379" w:type="pct"/>
                  <w:vMerge w:val="continue"/>
                  <w:tcBorders>
                    <w:top w:val="single" w:color="auto" w:sz="2" w:space="0"/>
                    <w:left w:val="nil"/>
                    <w:bottom w:val="single" w:color="auto" w:sz="12" w:space="0"/>
                    <w:right w:val="single" w:color="auto" w:sz="2" w:space="0"/>
                  </w:tcBorders>
                  <w:vAlign w:val="center"/>
                </w:tcPr>
                <w:p>
                  <w:pPr>
                    <w:spacing w:line="340" w:lineRule="exact"/>
                    <w:jc w:val="center"/>
                    <w:rPr>
                      <w:szCs w:val="21"/>
                    </w:rPr>
                  </w:pPr>
                </w:p>
              </w:tc>
              <w:tc>
                <w:tcPr>
                  <w:tcW w:w="973" w:type="pct"/>
                  <w:tcBorders>
                    <w:top w:val="single" w:color="auto" w:sz="2" w:space="0"/>
                    <w:left w:val="single" w:color="auto" w:sz="2" w:space="0"/>
                    <w:bottom w:val="single" w:color="auto" w:sz="12" w:space="0"/>
                    <w:right w:val="single" w:color="auto" w:sz="2" w:space="0"/>
                  </w:tcBorders>
                  <w:vAlign w:val="center"/>
                </w:tcPr>
                <w:p>
                  <w:pPr>
                    <w:spacing w:line="340" w:lineRule="exact"/>
                    <w:jc w:val="center"/>
                    <w:rPr>
                      <w:szCs w:val="21"/>
                    </w:rPr>
                  </w:pPr>
                  <w:r>
                    <w:rPr>
                      <w:szCs w:val="21"/>
                    </w:rPr>
                    <w:t>达标情况</w:t>
                  </w:r>
                </w:p>
              </w:tc>
              <w:tc>
                <w:tcPr>
                  <w:tcW w:w="3647" w:type="pct"/>
                  <w:gridSpan w:val="6"/>
                  <w:tcBorders>
                    <w:top w:val="single" w:color="auto" w:sz="2" w:space="0"/>
                    <w:left w:val="single" w:color="auto" w:sz="2" w:space="0"/>
                    <w:bottom w:val="single" w:color="auto" w:sz="12" w:space="0"/>
                    <w:right w:val="nil"/>
                  </w:tcBorders>
                  <w:vAlign w:val="center"/>
                </w:tcPr>
                <w:p>
                  <w:pPr>
                    <w:spacing w:line="340" w:lineRule="exact"/>
                    <w:jc w:val="center"/>
                    <w:rPr>
                      <w:szCs w:val="21"/>
                    </w:rPr>
                  </w:pPr>
                  <w:r>
                    <w:rPr>
                      <w:szCs w:val="21"/>
                    </w:rPr>
                    <w:t>达标</w:t>
                  </w:r>
                </w:p>
              </w:tc>
            </w:tr>
          </w:tbl>
          <w:p>
            <w:pPr>
              <w:rPr>
                <w:snapToGrid w:val="0"/>
                <w:vertAlign w:val="superscript"/>
              </w:rPr>
            </w:pPr>
            <w:r>
              <w:rPr>
                <w:kern w:val="0"/>
              </w:rPr>
              <w:t>备注：*单位为mg/m</w:t>
            </w:r>
            <w:r>
              <w:rPr>
                <w:kern w:val="0"/>
                <w:vertAlign w:val="superscript"/>
              </w:rPr>
              <w:t>3</w:t>
            </w:r>
          </w:p>
          <w:p>
            <w:pPr>
              <w:pStyle w:val="4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Times New Roman" w:hAnsi="Times New Roman" w:cs="Times New Roman" w:eastAsiaTheme="minorEastAsia"/>
                <w:color w:val="auto"/>
                <w:kern w:val="0"/>
              </w:rPr>
            </w:pPr>
            <w:r>
              <w:rPr>
                <w:rFonts w:ascii="Times New Roman" w:hAnsi="Times New Roman" w:eastAsia="宋体" w:cs="Times New Roman"/>
                <w:color w:val="auto"/>
                <w:kern w:val="0"/>
                <w:sz w:val="24"/>
                <w:szCs w:val="24"/>
              </w:rPr>
              <w:t>由表3-1可知，项目所在区域所有指标均能达《环境空气质量标准》(GB3095-2012)二级标准。根据《环境影响评价技术导则——大气环境》（HJ2.2-2018），“城市环境空气质量达标情况评价指标为SO</w:t>
            </w:r>
            <w:r>
              <w:rPr>
                <w:rFonts w:ascii="Times New Roman" w:hAnsi="Times New Roman" w:eastAsia="宋体" w:cs="Times New Roman"/>
                <w:color w:val="auto"/>
                <w:kern w:val="0"/>
                <w:sz w:val="24"/>
                <w:szCs w:val="24"/>
                <w:vertAlign w:val="subscript"/>
              </w:rPr>
              <w:t>2</w:t>
            </w:r>
            <w:r>
              <w:rPr>
                <w:rFonts w:ascii="Times New Roman" w:hAnsi="Times New Roman" w:eastAsia="宋体" w:cs="Times New Roman"/>
                <w:color w:val="auto"/>
                <w:kern w:val="0"/>
                <w:sz w:val="24"/>
                <w:szCs w:val="24"/>
              </w:rPr>
              <w:t>、NO</w:t>
            </w:r>
            <w:r>
              <w:rPr>
                <w:rFonts w:ascii="Times New Roman" w:hAnsi="Times New Roman" w:eastAsia="宋体" w:cs="Times New Roman"/>
                <w:color w:val="auto"/>
                <w:kern w:val="0"/>
                <w:sz w:val="24"/>
                <w:szCs w:val="24"/>
                <w:vertAlign w:val="subscript"/>
              </w:rPr>
              <w:t>2</w:t>
            </w:r>
            <w:r>
              <w:rPr>
                <w:rFonts w:ascii="Times New Roman" w:hAnsi="Times New Roman" w:eastAsia="宋体" w:cs="Times New Roman"/>
                <w:color w:val="auto"/>
                <w:kern w:val="0"/>
                <w:sz w:val="24"/>
                <w:szCs w:val="24"/>
              </w:rPr>
              <w:t>、PM</w:t>
            </w:r>
            <w:r>
              <w:rPr>
                <w:rFonts w:ascii="Times New Roman" w:hAnsi="Times New Roman" w:eastAsia="宋体" w:cs="Times New Roman"/>
                <w:color w:val="auto"/>
                <w:kern w:val="0"/>
                <w:sz w:val="24"/>
                <w:szCs w:val="24"/>
                <w:vertAlign w:val="subscript"/>
              </w:rPr>
              <w:t>10</w:t>
            </w:r>
            <w:r>
              <w:rPr>
                <w:rFonts w:ascii="Times New Roman" w:hAnsi="Times New Roman" w:eastAsia="宋体" w:cs="Times New Roman"/>
                <w:color w:val="auto"/>
                <w:kern w:val="0"/>
                <w:sz w:val="24"/>
                <w:szCs w:val="24"/>
              </w:rPr>
              <w:t>、PM</w:t>
            </w:r>
            <w:r>
              <w:rPr>
                <w:rFonts w:ascii="Times New Roman" w:hAnsi="Times New Roman" w:eastAsia="宋体" w:cs="Times New Roman"/>
                <w:color w:val="auto"/>
                <w:kern w:val="0"/>
                <w:sz w:val="24"/>
                <w:szCs w:val="24"/>
                <w:vertAlign w:val="subscript"/>
              </w:rPr>
              <w:t>2.5</w:t>
            </w:r>
            <w:r>
              <w:rPr>
                <w:rFonts w:ascii="Times New Roman" w:hAnsi="Times New Roman" w:eastAsia="宋体" w:cs="Times New Roman"/>
                <w:color w:val="auto"/>
                <w:kern w:val="0"/>
                <w:sz w:val="24"/>
                <w:szCs w:val="24"/>
              </w:rPr>
              <w:t>、CO、O</w:t>
            </w:r>
            <w:r>
              <w:rPr>
                <w:rFonts w:ascii="Times New Roman" w:hAnsi="Times New Roman" w:eastAsia="宋体" w:cs="Times New Roman"/>
                <w:color w:val="auto"/>
                <w:kern w:val="0"/>
                <w:sz w:val="24"/>
                <w:szCs w:val="24"/>
                <w:vertAlign w:val="subscript"/>
              </w:rPr>
              <w:t>3</w:t>
            </w:r>
            <w:r>
              <w:rPr>
                <w:rFonts w:ascii="Times New Roman" w:hAnsi="Times New Roman" w:eastAsia="宋体" w:cs="Times New Roman"/>
                <w:color w:val="auto"/>
                <w:kern w:val="0"/>
                <w:sz w:val="24"/>
                <w:szCs w:val="24"/>
              </w:rPr>
              <w:t>，六项污染物全部达标即为城市环境空气质量达标”，本项目所在区域六项</w:t>
            </w:r>
            <w:r>
              <w:rPr>
                <w:rFonts w:ascii="Times New Roman" w:hAnsi="Times New Roman" w:cs="Times New Roman" w:eastAsiaTheme="minorEastAsia"/>
                <w:color w:val="auto"/>
                <w:kern w:val="0"/>
                <w:sz w:val="24"/>
                <w:szCs w:val="24"/>
              </w:rPr>
              <w:t>污染物全部达标，因此项目所在区域环境空气质量达标，为达标区。</w:t>
            </w:r>
          </w:p>
          <w:p>
            <w:pPr>
              <w:adjustRightInd w:val="0"/>
              <w:spacing w:line="360" w:lineRule="auto"/>
              <w:ind w:firstLine="482" w:firstLineChars="200"/>
              <w:rPr>
                <w:b/>
                <w:sz w:val="24"/>
              </w:rPr>
            </w:pPr>
            <w:r>
              <w:rPr>
                <w:rFonts w:hint="eastAsia"/>
                <w:b/>
                <w:sz w:val="24"/>
              </w:rPr>
              <w:t>2</w:t>
            </w:r>
            <w:r>
              <w:rPr>
                <w:b/>
                <w:sz w:val="24"/>
              </w:rPr>
              <w:t>、地表水环境质量</w:t>
            </w:r>
          </w:p>
          <w:p>
            <w:pPr>
              <w:pStyle w:val="152"/>
              <w:adjustRightInd/>
              <w:snapToGrid/>
              <w:rPr>
                <w:rFonts w:hAnsi="Times New Roman"/>
                <w:bCs w:val="0"/>
                <w:sz w:val="24"/>
              </w:rPr>
            </w:pPr>
            <w:r>
              <w:rPr>
                <w:rFonts w:hint="eastAsia" w:hAnsi="Times New Roman"/>
                <w:bCs w:val="0"/>
                <w:sz w:val="24"/>
              </w:rPr>
              <w:t>本项目废水排放至江西余干工业园区（黄金埠）污水处理厂，经污水处理厂处理后的尾水排放至信江，信江地表水环境质量现状引用2022年上饶市环境质量月报（5月）中信江的监测数据，上饶市信江共设置25个河流监测断面，分别为：玉山浮桥、文成、渡船头、上饶市水厂、黄家桥、信州下洋桥、上饶县窑山、信州高铁桥、丰溪河河口、上饶樱花公园、应家坊、梅潭、铅山河河口、铅山、旗山、横峰满团桥、横峰九甲、横峰溪畈、岑港河河口、弋阳、流口村、梅港、余干黄湾村、布袋闸和瑞洪大桥。2022年5月余干县内信江断面水质结果见表3-</w:t>
            </w:r>
            <w:r>
              <w:rPr>
                <w:rFonts w:hAnsi="Times New Roman"/>
                <w:bCs w:val="0"/>
                <w:sz w:val="24"/>
              </w:rPr>
              <w:t>2</w:t>
            </w:r>
            <w:r>
              <w:rPr>
                <w:rFonts w:hint="eastAsia" w:hAnsi="Times New Roman"/>
                <w:bCs w:val="0"/>
                <w:sz w:val="24"/>
              </w:rPr>
              <w:t>。</w:t>
            </w:r>
          </w:p>
          <w:p>
            <w:pPr>
              <w:spacing w:before="120" w:beforeLines="50"/>
              <w:jc w:val="center"/>
              <w:rPr>
                <w:rFonts w:ascii="黑体" w:hAnsi="黑体" w:eastAsia="黑体"/>
                <w:sz w:val="24"/>
              </w:rPr>
            </w:pPr>
            <w:r>
              <w:rPr>
                <w:rFonts w:hint="eastAsia" w:ascii="黑体" w:hAnsi="黑体" w:eastAsia="黑体"/>
                <w:sz w:val="24"/>
              </w:rPr>
              <w:t>表3-2  2022年上饶市环境质量月报（5月）监测水质评价表（摘录）</w:t>
            </w:r>
          </w:p>
          <w:tbl>
            <w:tblPr>
              <w:tblStyle w:val="33"/>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174"/>
              <w:gridCol w:w="2800"/>
              <w:gridCol w:w="1499"/>
              <w:gridCol w:w="871"/>
              <w:gridCol w:w="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8"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序号</w:t>
                  </w:r>
                </w:p>
              </w:tc>
              <w:tc>
                <w:tcPr>
                  <w:tcW w:w="736"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河流名称</w:t>
                  </w:r>
                </w:p>
              </w:tc>
              <w:tc>
                <w:tcPr>
                  <w:tcW w:w="1755"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断面名称</w:t>
                  </w:r>
                </w:p>
              </w:tc>
              <w:tc>
                <w:tcPr>
                  <w:tcW w:w="940"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水质评价及主要污染物</w:t>
                  </w:r>
                </w:p>
              </w:tc>
              <w:tc>
                <w:tcPr>
                  <w:tcW w:w="546"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水质类别</w:t>
                  </w:r>
                </w:p>
              </w:tc>
              <w:tc>
                <w:tcPr>
                  <w:tcW w:w="562"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超标</w:t>
                  </w:r>
                </w:p>
                <w:p>
                  <w:pPr>
                    <w:pStyle w:val="153"/>
                    <w:adjustRightInd w:val="0"/>
                    <w:snapToGrid w:val="0"/>
                    <w:spacing w:line="240" w:lineRule="auto"/>
                    <w:ind w:firstLine="0" w:firstLineChars="0"/>
                    <w:jc w:val="center"/>
                    <w:rPr>
                      <w:sz w:val="21"/>
                      <w:szCs w:val="21"/>
                    </w:rPr>
                  </w:pPr>
                  <w:r>
                    <w:rPr>
                      <w:rFonts w:hint="eastAsia"/>
                      <w:sz w:val="21"/>
                      <w:szCs w:val="21"/>
                    </w:rPr>
                    <w:t>因子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8" w:type="pct"/>
                  <w:vAlign w:val="center"/>
                </w:tcPr>
                <w:p>
                  <w:pPr>
                    <w:pStyle w:val="153"/>
                    <w:adjustRightInd w:val="0"/>
                    <w:snapToGrid w:val="0"/>
                    <w:spacing w:line="240" w:lineRule="auto"/>
                    <w:ind w:firstLine="0" w:firstLineChars="0"/>
                    <w:jc w:val="center"/>
                    <w:rPr>
                      <w:sz w:val="21"/>
                      <w:szCs w:val="21"/>
                      <w:lang w:val="en-US"/>
                    </w:rPr>
                  </w:pPr>
                  <w:r>
                    <w:rPr>
                      <w:rFonts w:hint="eastAsia"/>
                      <w:sz w:val="21"/>
                      <w:szCs w:val="21"/>
                      <w:lang w:val="en-US"/>
                    </w:rPr>
                    <w:t>1</w:t>
                  </w:r>
                </w:p>
              </w:tc>
              <w:tc>
                <w:tcPr>
                  <w:tcW w:w="736"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信江东支</w:t>
                  </w:r>
                </w:p>
              </w:tc>
              <w:tc>
                <w:tcPr>
                  <w:tcW w:w="1755" w:type="pct"/>
                  <w:vAlign w:val="center"/>
                </w:tcPr>
                <w:p>
                  <w:pPr>
                    <w:pStyle w:val="153"/>
                    <w:adjustRightInd w:val="0"/>
                    <w:snapToGrid w:val="0"/>
                    <w:spacing w:line="240" w:lineRule="auto"/>
                    <w:ind w:firstLine="0" w:firstLineChars="0"/>
                    <w:jc w:val="left"/>
                    <w:rPr>
                      <w:sz w:val="21"/>
                      <w:szCs w:val="21"/>
                    </w:rPr>
                  </w:pPr>
                  <w:r>
                    <w:rPr>
                      <w:rFonts w:hint="eastAsia"/>
                      <w:sz w:val="21"/>
                      <w:szCs w:val="21"/>
                      <w:lang w:val="en-US"/>
                    </w:rPr>
                    <w:t>布袋闸（省控、入鄱阳湖、长江经济带）</w:t>
                  </w:r>
                </w:p>
              </w:tc>
              <w:tc>
                <w:tcPr>
                  <w:tcW w:w="940"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Ⅱ</w:t>
                  </w:r>
                </w:p>
              </w:tc>
              <w:tc>
                <w:tcPr>
                  <w:tcW w:w="546"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Ⅱ</w:t>
                  </w:r>
                </w:p>
              </w:tc>
              <w:tc>
                <w:tcPr>
                  <w:tcW w:w="562"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8" w:type="pct"/>
                  <w:vAlign w:val="center"/>
                </w:tcPr>
                <w:p>
                  <w:pPr>
                    <w:pStyle w:val="153"/>
                    <w:adjustRightInd w:val="0"/>
                    <w:snapToGrid w:val="0"/>
                    <w:spacing w:line="240" w:lineRule="auto"/>
                    <w:ind w:firstLine="0" w:firstLineChars="0"/>
                    <w:jc w:val="center"/>
                    <w:rPr>
                      <w:sz w:val="21"/>
                      <w:szCs w:val="21"/>
                      <w:lang w:val="en-US"/>
                    </w:rPr>
                  </w:pPr>
                  <w:r>
                    <w:rPr>
                      <w:rFonts w:hint="eastAsia"/>
                      <w:sz w:val="21"/>
                      <w:szCs w:val="21"/>
                      <w:lang w:val="en-US"/>
                    </w:rPr>
                    <w:t>2</w:t>
                  </w:r>
                </w:p>
              </w:tc>
              <w:tc>
                <w:tcPr>
                  <w:tcW w:w="736"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信江西支</w:t>
                  </w:r>
                </w:p>
              </w:tc>
              <w:tc>
                <w:tcPr>
                  <w:tcW w:w="1755" w:type="pct"/>
                  <w:vAlign w:val="center"/>
                </w:tcPr>
                <w:p>
                  <w:pPr>
                    <w:pStyle w:val="153"/>
                    <w:adjustRightInd w:val="0"/>
                    <w:snapToGrid w:val="0"/>
                    <w:spacing w:line="240" w:lineRule="auto"/>
                    <w:ind w:firstLine="0" w:firstLineChars="0"/>
                    <w:jc w:val="center"/>
                    <w:rPr>
                      <w:sz w:val="21"/>
                      <w:szCs w:val="21"/>
                    </w:rPr>
                  </w:pPr>
                  <w:r>
                    <w:rPr>
                      <w:rFonts w:hint="eastAsia"/>
                      <w:sz w:val="21"/>
                      <w:szCs w:val="21"/>
                      <w:lang w:val="en-US"/>
                    </w:rPr>
                    <w:t>瑞洪大桥（国控、入鄱阳湖）</w:t>
                  </w:r>
                </w:p>
              </w:tc>
              <w:tc>
                <w:tcPr>
                  <w:tcW w:w="940"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Ⅱ</w:t>
                  </w:r>
                </w:p>
              </w:tc>
              <w:tc>
                <w:tcPr>
                  <w:tcW w:w="546"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Ⅱ</w:t>
                  </w:r>
                </w:p>
              </w:tc>
              <w:tc>
                <w:tcPr>
                  <w:tcW w:w="562" w:type="pct"/>
                  <w:vAlign w:val="center"/>
                </w:tcPr>
                <w:p>
                  <w:pPr>
                    <w:pStyle w:val="153"/>
                    <w:adjustRightInd w:val="0"/>
                    <w:snapToGrid w:val="0"/>
                    <w:spacing w:line="240" w:lineRule="auto"/>
                    <w:ind w:firstLine="0" w:firstLineChars="0"/>
                    <w:jc w:val="center"/>
                    <w:rPr>
                      <w:sz w:val="21"/>
                      <w:szCs w:val="21"/>
                    </w:rPr>
                  </w:pPr>
                  <w:r>
                    <w:rPr>
                      <w:rFonts w:hint="eastAsia"/>
                      <w:sz w:val="21"/>
                      <w:szCs w:val="21"/>
                    </w:rPr>
                    <w:t>无</w:t>
                  </w:r>
                </w:p>
              </w:tc>
            </w:tr>
          </w:tbl>
          <w:p>
            <w:pPr>
              <w:adjustRightInd w:val="0"/>
              <w:spacing w:line="360" w:lineRule="auto"/>
              <w:ind w:firstLine="482" w:firstLineChars="200"/>
              <w:rPr>
                <w:b/>
                <w:bCs/>
                <w:sz w:val="24"/>
              </w:rPr>
            </w:pPr>
            <w:r>
              <w:rPr>
                <w:rFonts w:hint="eastAsia"/>
                <w:b/>
                <w:bCs/>
                <w:sz w:val="24"/>
              </w:rPr>
              <w:t>3</w:t>
            </w:r>
            <w:r>
              <w:rPr>
                <w:b/>
                <w:bCs/>
                <w:sz w:val="24"/>
              </w:rPr>
              <w:t>、声环境质量</w:t>
            </w:r>
          </w:p>
          <w:p>
            <w:pPr>
              <w:spacing w:line="360" w:lineRule="auto"/>
              <w:ind w:firstLine="480" w:firstLineChars="200"/>
              <w:rPr>
                <w:bCs/>
                <w:sz w:val="24"/>
              </w:rPr>
            </w:pPr>
            <w:r>
              <w:rPr>
                <w:bCs/>
                <w:sz w:val="24"/>
              </w:rPr>
              <w:t>项目位于</w:t>
            </w:r>
            <w:r>
              <w:rPr>
                <w:rFonts w:hint="eastAsia"/>
                <w:kern w:val="0"/>
                <w:sz w:val="24"/>
              </w:rPr>
              <w:t>江西余干高新技术产业园区内（余干黄金埠园区）</w:t>
            </w:r>
            <w:r>
              <w:rPr>
                <w:bCs/>
                <w:sz w:val="24"/>
              </w:rPr>
              <w:t>，执行《声环境质量标准》（GB3096-2008）3类标准（即昼间≤65dB(A)、夜间≤55dB(A)）。</w:t>
            </w:r>
          </w:p>
          <w:p>
            <w:pPr>
              <w:spacing w:line="360" w:lineRule="auto"/>
              <w:ind w:firstLine="480" w:firstLineChars="200"/>
              <w:rPr>
                <w:bCs/>
                <w:sz w:val="24"/>
              </w:rPr>
            </w:pPr>
            <w:r>
              <w:rPr>
                <w:bCs/>
                <w:sz w:val="24"/>
              </w:rPr>
              <w:t>由于项目厂界外50m范围内</w:t>
            </w:r>
            <w:r>
              <w:rPr>
                <w:rFonts w:hint="eastAsia"/>
                <w:bCs/>
                <w:sz w:val="24"/>
              </w:rPr>
              <w:t>不</w:t>
            </w:r>
            <w:r>
              <w:rPr>
                <w:bCs/>
                <w:sz w:val="24"/>
              </w:rPr>
              <w:t>存在声环境保护目标</w:t>
            </w:r>
            <w:r>
              <w:rPr>
                <w:rFonts w:hint="eastAsia"/>
                <w:bCs/>
                <w:sz w:val="24"/>
              </w:rPr>
              <w:t>，</w:t>
            </w:r>
            <w:r>
              <w:rPr>
                <w:bCs/>
                <w:sz w:val="24"/>
              </w:rPr>
              <w:t>因此，不需要进行声环境质量现状监测。</w:t>
            </w:r>
          </w:p>
          <w:p>
            <w:pPr>
              <w:spacing w:line="360" w:lineRule="auto"/>
              <w:ind w:firstLine="482" w:firstLineChars="200"/>
              <w:rPr>
                <w:b/>
                <w:bCs/>
                <w:sz w:val="24"/>
              </w:rPr>
            </w:pPr>
            <w:r>
              <w:rPr>
                <w:rFonts w:hint="eastAsia"/>
                <w:b/>
                <w:bCs/>
                <w:sz w:val="24"/>
              </w:rPr>
              <w:t>4</w:t>
            </w:r>
            <w:r>
              <w:rPr>
                <w:b/>
                <w:bCs/>
                <w:sz w:val="24"/>
              </w:rPr>
              <w:t>、生态环境</w:t>
            </w:r>
          </w:p>
          <w:p>
            <w:pPr>
              <w:autoSpaceDE w:val="0"/>
              <w:autoSpaceDN w:val="0"/>
              <w:spacing w:line="360" w:lineRule="auto"/>
              <w:ind w:firstLine="480" w:firstLineChars="200"/>
              <w:rPr>
                <w:sz w:val="24"/>
              </w:rPr>
            </w:pPr>
            <w:r>
              <w:rPr>
                <w:rFonts w:hint="eastAsia"/>
                <w:sz w:val="24"/>
              </w:rPr>
              <w:t>本项目位于</w:t>
            </w:r>
            <w:r>
              <w:rPr>
                <w:rFonts w:hint="eastAsia"/>
                <w:kern w:val="0"/>
                <w:sz w:val="24"/>
              </w:rPr>
              <w:t>江西余干高新技术产业园区内（余干黄金埠园区）</w:t>
            </w:r>
            <w:r>
              <w:rPr>
                <w:rFonts w:hint="eastAsia"/>
                <w:sz w:val="24"/>
              </w:rPr>
              <w:t>内，评价范围内无</w:t>
            </w:r>
            <w:r>
              <w:rPr>
                <w:sz w:val="24"/>
              </w:rPr>
              <w:t>重要生态保护目标，生态环境质量一般。</w:t>
            </w:r>
          </w:p>
          <w:p>
            <w:pPr>
              <w:spacing w:line="360" w:lineRule="auto"/>
              <w:ind w:firstLine="482" w:firstLineChars="200"/>
              <w:rPr>
                <w:b/>
                <w:bCs/>
                <w:sz w:val="24"/>
              </w:rPr>
            </w:pPr>
            <w:r>
              <w:rPr>
                <w:rFonts w:hint="eastAsia"/>
                <w:b/>
                <w:bCs/>
                <w:sz w:val="24"/>
              </w:rPr>
              <w:t>5</w:t>
            </w:r>
            <w:r>
              <w:rPr>
                <w:b/>
                <w:bCs/>
                <w:sz w:val="24"/>
              </w:rPr>
              <w:t>、</w:t>
            </w:r>
            <w:r>
              <w:rPr>
                <w:rFonts w:hint="eastAsia"/>
                <w:b/>
                <w:bCs/>
                <w:sz w:val="24"/>
              </w:rPr>
              <w:t>电磁辐射</w:t>
            </w:r>
          </w:p>
          <w:p>
            <w:pPr>
              <w:spacing w:line="360" w:lineRule="auto"/>
              <w:ind w:firstLine="480" w:firstLineChars="200"/>
              <w:rPr>
                <w:sz w:val="24"/>
              </w:rPr>
            </w:pPr>
            <w:r>
              <w:rPr>
                <w:rFonts w:hint="eastAsia"/>
                <w:sz w:val="24"/>
              </w:rPr>
              <w:t>本项目不属于</w:t>
            </w:r>
            <w:r>
              <w:rPr>
                <w:sz w:val="24"/>
              </w:rPr>
              <w:t>广播</w:t>
            </w:r>
            <w:r>
              <w:rPr>
                <w:rFonts w:hint="eastAsia"/>
                <w:sz w:val="24"/>
              </w:rPr>
              <w:t>电台、差转台、电视塔台、卫星地球上行站、雷达等电磁辐射类项目，无需开展电磁辐射现状监测与评价。</w:t>
            </w:r>
          </w:p>
          <w:p>
            <w:pPr>
              <w:spacing w:line="360" w:lineRule="auto"/>
              <w:ind w:firstLine="482" w:firstLineChars="200"/>
              <w:rPr>
                <w:b/>
                <w:bCs/>
                <w:sz w:val="24"/>
              </w:rPr>
            </w:pPr>
            <w:r>
              <w:rPr>
                <w:rFonts w:hint="eastAsia"/>
                <w:b/>
                <w:bCs/>
                <w:sz w:val="24"/>
              </w:rPr>
              <w:t>6、</w:t>
            </w:r>
            <w:r>
              <w:rPr>
                <w:b/>
                <w:bCs/>
                <w:sz w:val="24"/>
              </w:rPr>
              <w:t>地下水、土壤环境</w:t>
            </w:r>
          </w:p>
          <w:p>
            <w:pPr>
              <w:spacing w:line="360" w:lineRule="auto"/>
              <w:ind w:firstLine="480" w:firstLineChars="200"/>
              <w:rPr>
                <w:sz w:val="24"/>
              </w:rPr>
            </w:pPr>
            <w:r>
              <w:rPr>
                <w:rFonts w:hint="eastAsia"/>
                <w:sz w:val="24"/>
              </w:rPr>
              <w:t>根据《建设项目环境影响报告表编制技术指南（污染影响类）（试行）》：</w:t>
            </w:r>
            <w:r>
              <w:rPr>
                <w:sz w:val="24"/>
              </w:rPr>
              <w:t>原则上不开展环境质量现状调查。建设项目存在土壤、地下水环境污染途径的，应结合污染源、保护目标分布情况开展现状调查以留作背景值。</w:t>
            </w:r>
            <w:r>
              <w:rPr>
                <w:rFonts w:hint="eastAsia"/>
                <w:sz w:val="24"/>
              </w:rPr>
              <w:t>本项目采取“源头控制、分区防渗、污染监控、应急响应”等措施，可有效阻断</w:t>
            </w:r>
            <w:r>
              <w:rPr>
                <w:sz w:val="24"/>
              </w:rPr>
              <w:t>土壤、地下水环境污染途径</w:t>
            </w:r>
            <w:r>
              <w:rPr>
                <w:rFonts w:hint="eastAsia"/>
                <w:sz w:val="24"/>
              </w:rPr>
              <w:t>。</w:t>
            </w:r>
          </w:p>
          <w:p>
            <w:pPr>
              <w:adjustRightInd w:val="0"/>
              <w:snapToGrid w:val="0"/>
              <w:spacing w:line="360" w:lineRule="auto"/>
              <w:ind w:firstLine="480" w:firstLineChars="200"/>
              <w:jc w:val="left"/>
              <w:rPr>
                <w:rFonts w:ascii="宋体" w:hAnsi="宋体" w:cs="宋体"/>
                <w:color w:val="FF0000"/>
                <w:kern w:val="0"/>
                <w:szCs w:val="21"/>
              </w:rPr>
            </w:pPr>
            <w:r>
              <w:rPr>
                <w:sz w:val="24"/>
              </w:rPr>
              <w:t>综上所述，项目用地区生态环境较为简单，场地内水土流失现状不明显。项目选址周边环境空气质量、地表水环境质量、声环境质量、土壤环境质量符合功能区划的要求。项目所在地区整体环境质量良好</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保护</w:t>
            </w:r>
          </w:p>
          <w:p>
            <w:pPr>
              <w:adjustRightInd w:val="0"/>
              <w:snapToGrid w:val="0"/>
              <w:jc w:val="center"/>
              <w:rPr>
                <w:rFonts w:ascii="宋体" w:hAnsi="宋体" w:cs="宋体"/>
                <w:color w:val="FF0000"/>
                <w:kern w:val="0"/>
                <w:szCs w:val="21"/>
              </w:rPr>
            </w:pPr>
            <w:r>
              <w:rPr>
                <w:rFonts w:hint="eastAsia" w:ascii="宋体" w:hAnsi="宋体" w:cs="宋体"/>
                <w:kern w:val="0"/>
                <w:szCs w:val="21"/>
              </w:rPr>
              <w:t>目标</w:t>
            </w:r>
          </w:p>
        </w:tc>
        <w:tc>
          <w:tcPr>
            <w:tcW w:w="8190" w:type="dxa"/>
            <w:vAlign w:val="center"/>
          </w:tcPr>
          <w:p>
            <w:pPr>
              <w:spacing w:line="360" w:lineRule="auto"/>
              <w:ind w:firstLine="480" w:firstLineChars="200"/>
              <w:rPr>
                <w:sz w:val="24"/>
              </w:rPr>
            </w:pPr>
            <w:r>
              <w:rPr>
                <w:rFonts w:hint="eastAsia"/>
                <w:bCs/>
                <w:smallCaps/>
                <w:kern w:val="0"/>
                <w:sz w:val="24"/>
              </w:rPr>
              <w:t>项目位于</w:t>
            </w:r>
            <w:r>
              <w:rPr>
                <w:rFonts w:hint="eastAsia"/>
                <w:kern w:val="0"/>
                <w:sz w:val="24"/>
              </w:rPr>
              <w:t>江西余干高新技术产业园区内（余干黄金埠园区）</w:t>
            </w:r>
            <w:r>
              <w:rPr>
                <w:sz w:val="24"/>
              </w:rPr>
              <w:t>，地理坐标为</w:t>
            </w:r>
            <w:r>
              <w:rPr>
                <w:rFonts w:hint="eastAsia"/>
                <w:sz w:val="24"/>
              </w:rPr>
              <w:t>N28°28′1.629″，E116°49′55.966″</w:t>
            </w:r>
            <w:r>
              <w:rPr>
                <w:bCs/>
                <w:sz w:val="24"/>
              </w:rPr>
              <w:t>。</w:t>
            </w:r>
            <w:r>
              <w:rPr>
                <w:rFonts w:hint="eastAsia"/>
                <w:bCs/>
                <w:smallCaps/>
                <w:kern w:val="0"/>
                <w:sz w:val="24"/>
              </w:rPr>
              <w:t>项目东面为余干县伯爵仕智能科技有限公司，南面为金电大道，西面为林地，北面为</w:t>
            </w:r>
            <w:r>
              <w:rPr>
                <w:rFonts w:hint="eastAsia" w:ascii="宋体" w:hAnsi="宋体" w:cs="宋体"/>
                <w:sz w:val="24"/>
              </w:rPr>
              <w:t>余干县乐泰五金有限公司</w:t>
            </w:r>
            <w:r>
              <w:rPr>
                <w:bCs/>
                <w:sz w:val="24"/>
              </w:rPr>
              <w:t>。</w:t>
            </w:r>
            <w:r>
              <w:rPr>
                <w:sz w:val="24"/>
              </w:rPr>
              <w:t>项目周边环境质量良好，在评价范围内无名胜古迹、重要公共设施，也无学校、医院等敏感点，环境保护目标为一般环境保护区域。</w:t>
            </w:r>
          </w:p>
          <w:p>
            <w:pPr>
              <w:spacing w:before="120" w:beforeLines="50"/>
              <w:jc w:val="center"/>
              <w:rPr>
                <w:rFonts w:ascii="黑体" w:hAnsi="黑体" w:eastAsia="黑体"/>
                <w:sz w:val="24"/>
              </w:rPr>
            </w:pPr>
            <w:r>
              <w:rPr>
                <w:rFonts w:hint="eastAsia" w:ascii="黑体" w:hAnsi="黑体" w:eastAsia="黑体"/>
                <w:sz w:val="24"/>
              </w:rPr>
              <w:t>表3-3  主要环境保护目标</w:t>
            </w:r>
          </w:p>
          <w:tbl>
            <w:tblPr>
              <w:tblStyle w:val="33"/>
              <w:tblW w:w="4993"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796"/>
              <w:gridCol w:w="2030"/>
              <w:gridCol w:w="843"/>
              <w:gridCol w:w="709"/>
              <w:gridCol w:w="1356"/>
              <w:gridCol w:w="1007"/>
              <w:gridCol w:w="122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Merge w:val="restart"/>
                  <w:vAlign w:val="center"/>
                </w:tcPr>
                <w:p>
                  <w:pPr>
                    <w:widowControl/>
                    <w:snapToGrid w:val="0"/>
                    <w:jc w:val="center"/>
                    <w:textAlignment w:val="center"/>
                    <w:rPr>
                      <w:rStyle w:val="114"/>
                      <w:rFonts w:hint="default" w:ascii="Times New Roman" w:hAnsi="Times New Roman" w:cs="Times New Roman"/>
                      <w:b w:val="0"/>
                      <w:bCs w:val="0"/>
                      <w:color w:val="auto"/>
                      <w:sz w:val="21"/>
                      <w:szCs w:val="21"/>
                      <w:lang w:bidi="ar"/>
                    </w:rPr>
                  </w:pPr>
                  <w:r>
                    <w:rPr>
                      <w:rStyle w:val="114"/>
                      <w:rFonts w:hint="default" w:ascii="Times New Roman" w:hAnsi="Times New Roman" w:cs="Times New Roman"/>
                      <w:b w:val="0"/>
                      <w:bCs w:val="0"/>
                      <w:color w:val="auto"/>
                      <w:sz w:val="21"/>
                      <w:szCs w:val="21"/>
                      <w:lang w:bidi="ar"/>
                    </w:rPr>
                    <w:t>环境</w:t>
                  </w:r>
                </w:p>
                <w:p>
                  <w:pPr>
                    <w:widowControl/>
                    <w:snapToGrid w:val="0"/>
                    <w:jc w:val="center"/>
                    <w:textAlignment w:val="center"/>
                    <w:rPr>
                      <w:szCs w:val="21"/>
                    </w:rPr>
                  </w:pPr>
                  <w:r>
                    <w:rPr>
                      <w:rStyle w:val="114"/>
                      <w:rFonts w:hint="default" w:ascii="Times New Roman" w:hAnsi="Times New Roman" w:cs="Times New Roman"/>
                      <w:b w:val="0"/>
                      <w:bCs w:val="0"/>
                      <w:color w:val="auto"/>
                      <w:sz w:val="21"/>
                      <w:szCs w:val="21"/>
                      <w:lang w:bidi="ar"/>
                    </w:rPr>
                    <w:t>要素</w:t>
                  </w:r>
                </w:p>
              </w:tc>
              <w:tc>
                <w:tcPr>
                  <w:tcW w:w="1275" w:type="pct"/>
                  <w:vMerge w:val="restart"/>
                  <w:vAlign w:val="center"/>
                </w:tcPr>
                <w:p>
                  <w:pPr>
                    <w:widowControl/>
                    <w:snapToGrid w:val="0"/>
                    <w:jc w:val="center"/>
                    <w:textAlignment w:val="center"/>
                    <w:rPr>
                      <w:szCs w:val="21"/>
                    </w:rPr>
                  </w:pPr>
                  <w:r>
                    <w:rPr>
                      <w:rStyle w:val="114"/>
                      <w:rFonts w:hint="default" w:ascii="Times New Roman" w:hAnsi="Times New Roman" w:cs="Times New Roman"/>
                      <w:b w:val="0"/>
                      <w:bCs w:val="0"/>
                      <w:color w:val="auto"/>
                      <w:sz w:val="21"/>
                      <w:szCs w:val="21"/>
                      <w:lang w:bidi="ar"/>
                    </w:rPr>
                    <w:t>环境保护对象</w:t>
                  </w:r>
                </w:p>
              </w:tc>
              <w:tc>
                <w:tcPr>
                  <w:tcW w:w="974" w:type="pct"/>
                  <w:gridSpan w:val="2"/>
                  <w:vAlign w:val="center"/>
                </w:tcPr>
                <w:p>
                  <w:pPr>
                    <w:widowControl/>
                    <w:snapToGrid w:val="0"/>
                    <w:jc w:val="center"/>
                    <w:textAlignment w:val="center"/>
                    <w:rPr>
                      <w:szCs w:val="21"/>
                    </w:rPr>
                  </w:pPr>
                  <w:r>
                    <w:rPr>
                      <w:rStyle w:val="114"/>
                      <w:rFonts w:hint="default" w:ascii="Times New Roman" w:hAnsi="Times New Roman" w:cs="Times New Roman"/>
                      <w:b w:val="0"/>
                      <w:bCs w:val="0"/>
                      <w:color w:val="auto"/>
                      <w:sz w:val="21"/>
                      <w:szCs w:val="21"/>
                      <w:lang w:bidi="ar"/>
                    </w:rPr>
                    <w:t>坐标</w:t>
                  </w:r>
                  <w:r>
                    <w:rPr>
                      <w:kern w:val="0"/>
                      <w:szCs w:val="21"/>
                      <w:lang w:bidi="ar"/>
                    </w:rPr>
                    <w:t>/m</w:t>
                  </w:r>
                </w:p>
              </w:tc>
              <w:tc>
                <w:tcPr>
                  <w:tcW w:w="851" w:type="pct"/>
                  <w:vMerge w:val="restart"/>
                  <w:vAlign w:val="center"/>
                </w:tcPr>
                <w:p>
                  <w:pPr>
                    <w:widowControl/>
                    <w:snapToGrid w:val="0"/>
                    <w:jc w:val="center"/>
                    <w:textAlignment w:val="center"/>
                    <w:rPr>
                      <w:szCs w:val="21"/>
                    </w:rPr>
                  </w:pPr>
                  <w:r>
                    <w:rPr>
                      <w:rStyle w:val="114"/>
                      <w:rFonts w:hint="default" w:ascii="Times New Roman" w:hAnsi="Times New Roman" w:cs="Times New Roman"/>
                      <w:b w:val="0"/>
                      <w:bCs w:val="0"/>
                      <w:color w:val="auto"/>
                      <w:sz w:val="21"/>
                      <w:szCs w:val="21"/>
                      <w:lang w:bidi="ar"/>
                    </w:rPr>
                    <w:t>保护内容</w:t>
                  </w:r>
                </w:p>
              </w:tc>
              <w:tc>
                <w:tcPr>
                  <w:tcW w:w="632" w:type="pct"/>
                  <w:vMerge w:val="restart"/>
                  <w:vAlign w:val="center"/>
                </w:tcPr>
                <w:p>
                  <w:pPr>
                    <w:widowControl/>
                    <w:snapToGrid w:val="0"/>
                    <w:jc w:val="center"/>
                    <w:textAlignment w:val="center"/>
                    <w:rPr>
                      <w:szCs w:val="21"/>
                    </w:rPr>
                  </w:pPr>
                  <w:r>
                    <w:rPr>
                      <w:rStyle w:val="114"/>
                      <w:rFonts w:hint="default" w:ascii="Times New Roman" w:hAnsi="Times New Roman" w:cs="Times New Roman"/>
                      <w:b w:val="0"/>
                      <w:bCs w:val="0"/>
                      <w:color w:val="auto"/>
                      <w:sz w:val="21"/>
                      <w:szCs w:val="21"/>
                      <w:lang w:bidi="ar"/>
                    </w:rPr>
                    <w:t>方位</w:t>
                  </w:r>
                </w:p>
              </w:tc>
              <w:tc>
                <w:tcPr>
                  <w:tcW w:w="766" w:type="pct"/>
                  <w:vMerge w:val="restart"/>
                  <w:vAlign w:val="center"/>
                </w:tcPr>
                <w:p>
                  <w:pPr>
                    <w:widowControl/>
                    <w:snapToGrid w:val="0"/>
                    <w:spacing w:before="48" w:beforeLines="20" w:after="48" w:afterLines="20"/>
                    <w:jc w:val="center"/>
                    <w:textAlignment w:val="center"/>
                    <w:rPr>
                      <w:szCs w:val="21"/>
                    </w:rPr>
                  </w:pPr>
                  <w:r>
                    <w:rPr>
                      <w:rStyle w:val="114"/>
                      <w:rFonts w:hint="default" w:ascii="Times New Roman" w:hAnsi="Times New Roman" w:cs="Times New Roman"/>
                      <w:b w:val="0"/>
                      <w:bCs w:val="0"/>
                      <w:color w:val="auto"/>
                      <w:sz w:val="21"/>
                      <w:szCs w:val="21"/>
                      <w:lang w:bidi="ar"/>
                    </w:rPr>
                    <w:t>距厂界距离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Merge w:val="continue"/>
                  <w:vAlign w:val="center"/>
                </w:tcPr>
                <w:p>
                  <w:pPr>
                    <w:widowControl/>
                    <w:snapToGrid w:val="0"/>
                    <w:spacing w:before="48" w:beforeLines="20" w:after="48" w:afterLines="20"/>
                    <w:jc w:val="center"/>
                    <w:rPr>
                      <w:b/>
                      <w:bCs/>
                      <w:szCs w:val="21"/>
                    </w:rPr>
                  </w:pPr>
                </w:p>
              </w:tc>
              <w:tc>
                <w:tcPr>
                  <w:tcW w:w="1275" w:type="pct"/>
                  <w:vMerge w:val="continue"/>
                  <w:vAlign w:val="center"/>
                </w:tcPr>
                <w:p>
                  <w:pPr>
                    <w:widowControl/>
                    <w:snapToGrid w:val="0"/>
                    <w:spacing w:before="48" w:beforeLines="20" w:after="48" w:afterLines="20"/>
                    <w:jc w:val="center"/>
                    <w:rPr>
                      <w:b/>
                      <w:bCs/>
                      <w:szCs w:val="21"/>
                    </w:rPr>
                  </w:pPr>
                </w:p>
              </w:tc>
              <w:tc>
                <w:tcPr>
                  <w:tcW w:w="529" w:type="pct"/>
                  <w:vAlign w:val="center"/>
                </w:tcPr>
                <w:p>
                  <w:pPr>
                    <w:widowControl/>
                    <w:snapToGrid w:val="0"/>
                    <w:spacing w:before="48" w:beforeLines="20" w:after="48" w:afterLines="20"/>
                    <w:jc w:val="center"/>
                    <w:textAlignment w:val="center"/>
                    <w:rPr>
                      <w:szCs w:val="21"/>
                    </w:rPr>
                  </w:pPr>
                  <w:r>
                    <w:rPr>
                      <w:kern w:val="0"/>
                      <w:szCs w:val="21"/>
                      <w:lang w:bidi="ar"/>
                    </w:rPr>
                    <w:t>X</w:t>
                  </w:r>
                </w:p>
              </w:tc>
              <w:tc>
                <w:tcPr>
                  <w:tcW w:w="445" w:type="pct"/>
                  <w:vAlign w:val="center"/>
                </w:tcPr>
                <w:p>
                  <w:pPr>
                    <w:widowControl/>
                    <w:snapToGrid w:val="0"/>
                    <w:spacing w:before="48" w:beforeLines="20" w:after="48" w:afterLines="20"/>
                    <w:jc w:val="center"/>
                    <w:textAlignment w:val="center"/>
                    <w:rPr>
                      <w:szCs w:val="21"/>
                    </w:rPr>
                  </w:pPr>
                  <w:r>
                    <w:rPr>
                      <w:kern w:val="0"/>
                      <w:szCs w:val="21"/>
                      <w:lang w:bidi="ar"/>
                    </w:rPr>
                    <w:t>Y</w:t>
                  </w:r>
                </w:p>
              </w:tc>
              <w:tc>
                <w:tcPr>
                  <w:tcW w:w="851" w:type="pct"/>
                  <w:vMerge w:val="continue"/>
                  <w:vAlign w:val="center"/>
                </w:tcPr>
                <w:p>
                  <w:pPr>
                    <w:widowControl/>
                    <w:snapToGrid w:val="0"/>
                    <w:spacing w:before="48" w:beforeLines="20" w:after="48" w:afterLines="20"/>
                    <w:jc w:val="center"/>
                    <w:rPr>
                      <w:b/>
                      <w:bCs/>
                      <w:szCs w:val="21"/>
                    </w:rPr>
                  </w:pPr>
                </w:p>
              </w:tc>
              <w:tc>
                <w:tcPr>
                  <w:tcW w:w="632" w:type="pct"/>
                  <w:vMerge w:val="continue"/>
                  <w:vAlign w:val="center"/>
                </w:tcPr>
                <w:p>
                  <w:pPr>
                    <w:widowControl/>
                    <w:snapToGrid w:val="0"/>
                    <w:spacing w:before="48" w:beforeLines="20" w:after="48" w:afterLines="20"/>
                    <w:jc w:val="center"/>
                    <w:rPr>
                      <w:b/>
                      <w:bCs/>
                      <w:szCs w:val="21"/>
                    </w:rPr>
                  </w:pPr>
                </w:p>
              </w:tc>
              <w:tc>
                <w:tcPr>
                  <w:tcW w:w="766" w:type="pct"/>
                  <w:vMerge w:val="continue"/>
                  <w:vAlign w:val="center"/>
                </w:tcPr>
                <w:p>
                  <w:pPr>
                    <w:widowControl/>
                    <w:snapToGrid w:val="0"/>
                    <w:spacing w:before="48" w:beforeLines="20" w:after="48" w:afterLines="20"/>
                    <w:jc w:val="center"/>
                    <w:rPr>
                      <w:b/>
                      <w:bCs/>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00" w:type="pct"/>
                  <w:vMerge w:val="restart"/>
                  <w:vAlign w:val="center"/>
                </w:tcPr>
                <w:p>
                  <w:pPr>
                    <w:widowControl/>
                    <w:snapToGrid w:val="0"/>
                    <w:spacing w:before="48" w:beforeLines="20" w:after="48" w:afterLines="20"/>
                    <w:jc w:val="center"/>
                    <w:textAlignment w:val="center"/>
                    <w:rPr>
                      <w:rStyle w:val="115"/>
                      <w:rFonts w:hint="default" w:ascii="Times New Roman" w:hAnsi="Times New Roman" w:cs="Times New Roman"/>
                      <w:color w:val="auto"/>
                      <w:sz w:val="21"/>
                      <w:szCs w:val="21"/>
                      <w:lang w:bidi="ar"/>
                    </w:rPr>
                  </w:pPr>
                  <w:r>
                    <w:rPr>
                      <w:rStyle w:val="115"/>
                      <w:rFonts w:hint="default" w:ascii="Times New Roman" w:hAnsi="Times New Roman" w:cs="Times New Roman"/>
                      <w:color w:val="auto"/>
                      <w:sz w:val="21"/>
                      <w:szCs w:val="21"/>
                      <w:lang w:bidi="ar"/>
                    </w:rPr>
                    <w:t>大气</w:t>
                  </w:r>
                </w:p>
                <w:p>
                  <w:pPr>
                    <w:widowControl/>
                    <w:snapToGrid w:val="0"/>
                    <w:spacing w:before="48" w:beforeLines="20" w:after="48" w:afterLines="20"/>
                    <w:jc w:val="center"/>
                    <w:textAlignment w:val="center"/>
                    <w:rPr>
                      <w:szCs w:val="21"/>
                    </w:rPr>
                  </w:pPr>
                  <w:r>
                    <w:rPr>
                      <w:rStyle w:val="115"/>
                      <w:rFonts w:hint="default" w:ascii="Times New Roman" w:hAnsi="Times New Roman" w:cs="Times New Roman"/>
                      <w:color w:val="auto"/>
                      <w:sz w:val="21"/>
                      <w:szCs w:val="21"/>
                      <w:lang w:bidi="ar"/>
                    </w:rPr>
                    <w:t>环境</w:t>
                  </w:r>
                </w:p>
              </w:tc>
              <w:tc>
                <w:tcPr>
                  <w:tcW w:w="1275" w:type="pct"/>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园区管委会</w:t>
                  </w:r>
                </w:p>
              </w:tc>
              <w:tc>
                <w:tcPr>
                  <w:tcW w:w="529"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340</w:t>
                  </w:r>
                </w:p>
              </w:tc>
              <w:tc>
                <w:tcPr>
                  <w:tcW w:w="445"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-265</w:t>
                  </w:r>
                </w:p>
              </w:tc>
              <w:tc>
                <w:tcPr>
                  <w:tcW w:w="851" w:type="pct"/>
                  <w:vAlign w:val="center"/>
                </w:tcPr>
                <w:p>
                  <w:pPr>
                    <w:widowControl/>
                    <w:snapToGrid w:val="0"/>
                    <w:spacing w:before="48" w:beforeLines="20" w:after="48" w:afterLines="20"/>
                    <w:jc w:val="center"/>
                    <w:textAlignment w:val="center"/>
                    <w:rPr>
                      <w:rStyle w:val="115"/>
                      <w:rFonts w:hint="default" w:ascii="Times New Roman" w:hAnsi="Times New Roman" w:cs="Times New Roman"/>
                      <w:color w:val="auto"/>
                      <w:sz w:val="21"/>
                      <w:szCs w:val="21"/>
                      <w:lang w:bidi="ar"/>
                    </w:rPr>
                  </w:pPr>
                  <w:r>
                    <w:rPr>
                      <w:rStyle w:val="115"/>
                      <w:rFonts w:cs="Times New Roman"/>
                      <w:color w:val="auto"/>
                      <w:sz w:val="21"/>
                      <w:szCs w:val="21"/>
                      <w:lang w:bidi="ar"/>
                    </w:rPr>
                    <w:t>约50人</w:t>
                  </w:r>
                </w:p>
              </w:tc>
              <w:tc>
                <w:tcPr>
                  <w:tcW w:w="632" w:type="pct"/>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东</w:t>
                  </w:r>
                  <w:r>
                    <w:rPr>
                      <w:rStyle w:val="115"/>
                      <w:rFonts w:hint="default" w:cs="Times New Roman"/>
                      <w:color w:val="auto"/>
                      <w:sz w:val="21"/>
                      <w:szCs w:val="21"/>
                      <w:lang w:bidi="ar"/>
                    </w:rPr>
                    <w:t>南</w:t>
                  </w:r>
                </w:p>
              </w:tc>
              <w:tc>
                <w:tcPr>
                  <w:tcW w:w="766"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246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Merge w:val="continue"/>
                  <w:vAlign w:val="center"/>
                </w:tcPr>
                <w:p>
                  <w:pPr>
                    <w:widowControl/>
                    <w:snapToGrid w:val="0"/>
                    <w:spacing w:before="48" w:beforeLines="20" w:after="48" w:afterLines="20"/>
                    <w:jc w:val="center"/>
                    <w:textAlignment w:val="center"/>
                    <w:rPr>
                      <w:szCs w:val="21"/>
                    </w:rPr>
                  </w:pPr>
                </w:p>
              </w:tc>
              <w:tc>
                <w:tcPr>
                  <w:tcW w:w="1275" w:type="pct"/>
                  <w:vAlign w:val="center"/>
                </w:tcPr>
                <w:p>
                  <w:pPr>
                    <w:widowControl/>
                    <w:snapToGrid w:val="0"/>
                    <w:spacing w:before="48" w:beforeLines="20" w:after="48" w:afterLines="20"/>
                    <w:jc w:val="center"/>
                    <w:textAlignment w:val="center"/>
                    <w:rPr>
                      <w:rFonts w:ascii="宋体" w:hAnsi="宋体"/>
                      <w:szCs w:val="21"/>
                      <w:lang w:bidi="ar"/>
                    </w:rPr>
                  </w:pPr>
                  <w:r>
                    <w:rPr>
                      <w:rStyle w:val="115"/>
                      <w:rFonts w:cs="Times New Roman"/>
                      <w:color w:val="auto"/>
                      <w:sz w:val="21"/>
                      <w:szCs w:val="21"/>
                      <w:lang w:bidi="ar"/>
                    </w:rPr>
                    <w:t>居民房（临马路居民房）</w:t>
                  </w:r>
                </w:p>
              </w:tc>
              <w:tc>
                <w:tcPr>
                  <w:tcW w:w="529"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81</w:t>
                  </w:r>
                </w:p>
              </w:tc>
              <w:tc>
                <w:tcPr>
                  <w:tcW w:w="445"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-177</w:t>
                  </w:r>
                </w:p>
              </w:tc>
              <w:tc>
                <w:tcPr>
                  <w:tcW w:w="851" w:type="pct"/>
                  <w:vAlign w:val="center"/>
                </w:tcPr>
                <w:p>
                  <w:pPr>
                    <w:widowControl/>
                    <w:snapToGrid w:val="0"/>
                    <w:spacing w:before="48" w:beforeLines="20" w:after="48" w:afterLines="20"/>
                    <w:jc w:val="center"/>
                    <w:textAlignment w:val="center"/>
                    <w:rPr>
                      <w:szCs w:val="21"/>
                    </w:rPr>
                  </w:pPr>
                  <w:r>
                    <w:rPr>
                      <w:rStyle w:val="115"/>
                      <w:rFonts w:hint="default" w:ascii="Times New Roman" w:hAnsi="Times New Roman" w:cs="Times New Roman"/>
                      <w:color w:val="auto"/>
                      <w:sz w:val="21"/>
                      <w:szCs w:val="21"/>
                      <w:lang w:bidi="ar"/>
                    </w:rPr>
                    <w:t>约</w:t>
                  </w:r>
                  <w:r>
                    <w:rPr>
                      <w:rFonts w:hint="eastAsia"/>
                      <w:kern w:val="0"/>
                      <w:szCs w:val="21"/>
                      <w:lang w:bidi="ar"/>
                    </w:rPr>
                    <w:t>60</w:t>
                  </w:r>
                  <w:r>
                    <w:rPr>
                      <w:rStyle w:val="115"/>
                      <w:rFonts w:hint="default" w:ascii="Times New Roman" w:hAnsi="Times New Roman" w:cs="Times New Roman"/>
                      <w:color w:val="auto"/>
                      <w:sz w:val="21"/>
                      <w:szCs w:val="21"/>
                      <w:lang w:bidi="ar"/>
                    </w:rPr>
                    <w:t>人</w:t>
                  </w:r>
                </w:p>
              </w:tc>
              <w:tc>
                <w:tcPr>
                  <w:tcW w:w="632" w:type="pct"/>
                  <w:vAlign w:val="center"/>
                </w:tcPr>
                <w:p>
                  <w:pPr>
                    <w:widowControl/>
                    <w:snapToGrid w:val="0"/>
                    <w:spacing w:before="48" w:beforeLines="20" w:after="48" w:afterLines="20"/>
                    <w:jc w:val="center"/>
                    <w:textAlignment w:val="center"/>
                    <w:rPr>
                      <w:szCs w:val="21"/>
                    </w:rPr>
                  </w:pPr>
                  <w:r>
                    <w:rPr>
                      <w:rStyle w:val="115"/>
                      <w:rFonts w:cs="Times New Roman"/>
                      <w:color w:val="auto"/>
                      <w:sz w:val="21"/>
                      <w:szCs w:val="21"/>
                      <w:lang w:bidi="ar"/>
                    </w:rPr>
                    <w:t>东</w:t>
                  </w:r>
                  <w:r>
                    <w:rPr>
                      <w:rStyle w:val="115"/>
                      <w:rFonts w:hint="default" w:cs="Times New Roman"/>
                      <w:color w:val="auto"/>
                      <w:sz w:val="21"/>
                      <w:szCs w:val="21"/>
                      <w:lang w:bidi="ar"/>
                    </w:rPr>
                    <w:t>南</w:t>
                  </w:r>
                </w:p>
              </w:tc>
              <w:tc>
                <w:tcPr>
                  <w:tcW w:w="766" w:type="pct"/>
                  <w:vAlign w:val="center"/>
                </w:tcPr>
                <w:p>
                  <w:pPr>
                    <w:widowControl/>
                    <w:snapToGrid w:val="0"/>
                    <w:spacing w:before="48" w:beforeLines="20" w:after="48" w:afterLines="20"/>
                    <w:jc w:val="center"/>
                    <w:textAlignment w:val="center"/>
                    <w:rPr>
                      <w:szCs w:val="21"/>
                    </w:rPr>
                  </w:pPr>
                  <w:r>
                    <w:rPr>
                      <w:rFonts w:hint="eastAsia"/>
                      <w:szCs w:val="21"/>
                    </w:rPr>
                    <w:t>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Merge w:val="continue"/>
                  <w:vAlign w:val="center"/>
                </w:tcPr>
                <w:p>
                  <w:pPr>
                    <w:widowControl/>
                    <w:snapToGrid w:val="0"/>
                    <w:spacing w:before="48" w:beforeLines="20" w:after="48" w:afterLines="20"/>
                    <w:jc w:val="center"/>
                    <w:textAlignment w:val="center"/>
                    <w:rPr>
                      <w:rStyle w:val="115"/>
                      <w:rFonts w:hint="default" w:ascii="Times New Roman" w:hAnsi="Times New Roman" w:cs="Times New Roman"/>
                      <w:color w:val="auto"/>
                      <w:sz w:val="21"/>
                      <w:szCs w:val="21"/>
                      <w:lang w:bidi="ar"/>
                    </w:rPr>
                  </w:pPr>
                </w:p>
              </w:tc>
              <w:tc>
                <w:tcPr>
                  <w:tcW w:w="1275" w:type="pct"/>
                  <w:vAlign w:val="center"/>
                </w:tcPr>
                <w:p>
                  <w:pPr>
                    <w:widowControl/>
                    <w:snapToGrid w:val="0"/>
                    <w:spacing w:before="48" w:beforeLines="20" w:after="48" w:afterLines="20"/>
                    <w:jc w:val="center"/>
                    <w:textAlignment w:val="center"/>
                    <w:rPr>
                      <w:szCs w:val="21"/>
                    </w:rPr>
                  </w:pPr>
                  <w:r>
                    <w:rPr>
                      <w:rFonts w:hint="eastAsia"/>
                      <w:szCs w:val="21"/>
                    </w:rPr>
                    <w:t>新屋郑家</w:t>
                  </w:r>
                </w:p>
              </w:tc>
              <w:tc>
                <w:tcPr>
                  <w:tcW w:w="529"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-389</w:t>
                  </w:r>
                </w:p>
              </w:tc>
              <w:tc>
                <w:tcPr>
                  <w:tcW w:w="445"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0</w:t>
                  </w:r>
                </w:p>
              </w:tc>
              <w:tc>
                <w:tcPr>
                  <w:tcW w:w="1356" w:type="dxa"/>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约310人</w:t>
                  </w:r>
                </w:p>
              </w:tc>
              <w:tc>
                <w:tcPr>
                  <w:tcW w:w="632" w:type="pct"/>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西南</w:t>
                  </w:r>
                </w:p>
              </w:tc>
              <w:tc>
                <w:tcPr>
                  <w:tcW w:w="1222" w:type="dxa"/>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389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Merge w:val="continue"/>
                  <w:vAlign w:val="center"/>
                </w:tcPr>
                <w:p>
                  <w:pPr>
                    <w:widowControl/>
                    <w:snapToGrid w:val="0"/>
                    <w:spacing w:before="48" w:beforeLines="20" w:after="48" w:afterLines="20"/>
                    <w:jc w:val="center"/>
                    <w:textAlignment w:val="center"/>
                    <w:rPr>
                      <w:rStyle w:val="115"/>
                      <w:rFonts w:hint="default" w:ascii="Times New Roman" w:hAnsi="Times New Roman" w:cs="Times New Roman"/>
                      <w:color w:val="auto"/>
                      <w:sz w:val="21"/>
                      <w:szCs w:val="21"/>
                      <w:lang w:bidi="ar"/>
                    </w:rPr>
                  </w:pPr>
                </w:p>
              </w:tc>
              <w:tc>
                <w:tcPr>
                  <w:tcW w:w="1275" w:type="pct"/>
                  <w:vAlign w:val="center"/>
                </w:tcPr>
                <w:p>
                  <w:pPr>
                    <w:widowControl/>
                    <w:snapToGrid w:val="0"/>
                    <w:spacing w:before="48" w:beforeLines="20" w:after="48" w:afterLines="20"/>
                    <w:jc w:val="center"/>
                    <w:textAlignment w:val="center"/>
                    <w:rPr>
                      <w:rFonts w:ascii="宋体" w:hAnsi="宋体"/>
                      <w:szCs w:val="21"/>
                      <w:lang w:bidi="ar"/>
                    </w:rPr>
                  </w:pPr>
                  <w:r>
                    <w:rPr>
                      <w:rStyle w:val="115"/>
                      <w:rFonts w:cs="Times New Roman"/>
                      <w:color w:val="auto"/>
                      <w:sz w:val="21"/>
                      <w:szCs w:val="21"/>
                      <w:lang w:bidi="ar"/>
                    </w:rPr>
                    <w:t>园区公租房</w:t>
                  </w:r>
                </w:p>
              </w:tc>
              <w:tc>
                <w:tcPr>
                  <w:tcW w:w="529"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-408</w:t>
                  </w:r>
                </w:p>
              </w:tc>
              <w:tc>
                <w:tcPr>
                  <w:tcW w:w="445"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133</w:t>
                  </w:r>
                </w:p>
              </w:tc>
              <w:tc>
                <w:tcPr>
                  <w:tcW w:w="1356" w:type="dxa"/>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hint="default" w:ascii="Times New Roman" w:hAnsi="Times New Roman" w:cs="Times New Roman"/>
                      <w:color w:val="auto"/>
                      <w:sz w:val="21"/>
                      <w:szCs w:val="21"/>
                      <w:lang w:bidi="ar"/>
                    </w:rPr>
                    <w:t>约</w:t>
                  </w:r>
                  <w:r>
                    <w:rPr>
                      <w:rFonts w:hint="eastAsia"/>
                      <w:kern w:val="0"/>
                      <w:szCs w:val="21"/>
                      <w:lang w:bidi="ar"/>
                    </w:rPr>
                    <w:t>120</w:t>
                  </w:r>
                  <w:r>
                    <w:rPr>
                      <w:rStyle w:val="115"/>
                      <w:rFonts w:hint="default" w:ascii="Times New Roman" w:hAnsi="Times New Roman" w:cs="Times New Roman"/>
                      <w:color w:val="auto"/>
                      <w:sz w:val="21"/>
                      <w:szCs w:val="21"/>
                      <w:lang w:bidi="ar"/>
                    </w:rPr>
                    <w:t>人</w:t>
                  </w:r>
                </w:p>
              </w:tc>
              <w:tc>
                <w:tcPr>
                  <w:tcW w:w="632" w:type="pct"/>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西</w:t>
                  </w:r>
                </w:p>
              </w:tc>
              <w:tc>
                <w:tcPr>
                  <w:tcW w:w="1222" w:type="dxa"/>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306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00" w:type="pct"/>
                  <w:vMerge w:val="continue"/>
                  <w:vAlign w:val="center"/>
                </w:tcPr>
                <w:p>
                  <w:pPr>
                    <w:widowControl/>
                    <w:snapToGrid w:val="0"/>
                    <w:spacing w:before="48" w:beforeLines="20" w:after="48" w:afterLines="20"/>
                    <w:jc w:val="center"/>
                    <w:textAlignment w:val="center"/>
                    <w:rPr>
                      <w:rStyle w:val="115"/>
                      <w:rFonts w:hint="default" w:ascii="Times New Roman" w:hAnsi="Times New Roman" w:cs="Times New Roman"/>
                      <w:color w:val="auto"/>
                      <w:sz w:val="21"/>
                      <w:szCs w:val="21"/>
                      <w:lang w:bidi="ar"/>
                    </w:rPr>
                  </w:pPr>
                </w:p>
              </w:tc>
              <w:tc>
                <w:tcPr>
                  <w:tcW w:w="1275" w:type="pct"/>
                  <w:vAlign w:val="center"/>
                </w:tcPr>
                <w:p>
                  <w:pPr>
                    <w:widowControl/>
                    <w:snapToGrid w:val="0"/>
                    <w:spacing w:before="48" w:beforeLines="20" w:after="48" w:afterLines="20"/>
                    <w:jc w:val="center"/>
                    <w:textAlignment w:val="center"/>
                    <w:rPr>
                      <w:rFonts w:ascii="宋体" w:hAnsi="宋体"/>
                      <w:szCs w:val="21"/>
                      <w:lang w:bidi="ar"/>
                    </w:rPr>
                  </w:pPr>
                  <w:r>
                    <w:rPr>
                      <w:rStyle w:val="115"/>
                      <w:rFonts w:cs="Times New Roman"/>
                      <w:color w:val="auto"/>
                      <w:sz w:val="21"/>
                      <w:szCs w:val="21"/>
                      <w:lang w:bidi="ar"/>
                    </w:rPr>
                    <w:t>老屋郑家</w:t>
                  </w:r>
                </w:p>
              </w:tc>
              <w:tc>
                <w:tcPr>
                  <w:tcW w:w="529"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-317</w:t>
                  </w:r>
                </w:p>
              </w:tc>
              <w:tc>
                <w:tcPr>
                  <w:tcW w:w="445" w:type="pct"/>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204</w:t>
                  </w:r>
                </w:p>
              </w:tc>
              <w:tc>
                <w:tcPr>
                  <w:tcW w:w="1356" w:type="dxa"/>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约280人</w:t>
                  </w:r>
                </w:p>
              </w:tc>
              <w:tc>
                <w:tcPr>
                  <w:tcW w:w="632" w:type="pct"/>
                  <w:vAlign w:val="center"/>
                </w:tcPr>
                <w:p>
                  <w:pPr>
                    <w:widowControl/>
                    <w:snapToGrid w:val="0"/>
                    <w:spacing w:before="48" w:beforeLines="20" w:after="48" w:afterLines="20"/>
                    <w:jc w:val="center"/>
                    <w:textAlignment w:val="center"/>
                    <w:rPr>
                      <w:rStyle w:val="115"/>
                      <w:rFonts w:hint="default" w:cs="Times New Roman"/>
                      <w:color w:val="auto"/>
                      <w:sz w:val="21"/>
                      <w:szCs w:val="21"/>
                      <w:lang w:bidi="ar"/>
                    </w:rPr>
                  </w:pPr>
                  <w:r>
                    <w:rPr>
                      <w:rStyle w:val="115"/>
                      <w:rFonts w:cs="Times New Roman"/>
                      <w:color w:val="auto"/>
                      <w:sz w:val="21"/>
                      <w:szCs w:val="21"/>
                      <w:lang w:bidi="ar"/>
                    </w:rPr>
                    <w:t>西北</w:t>
                  </w:r>
                </w:p>
              </w:tc>
              <w:tc>
                <w:tcPr>
                  <w:tcW w:w="1222" w:type="dxa"/>
                  <w:vAlign w:val="center"/>
                </w:tcPr>
                <w:p>
                  <w:pPr>
                    <w:widowControl/>
                    <w:snapToGrid w:val="0"/>
                    <w:spacing w:before="48" w:beforeLines="20" w:after="48" w:afterLines="20"/>
                    <w:jc w:val="center"/>
                    <w:textAlignment w:val="center"/>
                    <w:rPr>
                      <w:kern w:val="0"/>
                      <w:szCs w:val="21"/>
                      <w:lang w:bidi="ar"/>
                    </w:rPr>
                  </w:pPr>
                  <w:r>
                    <w:rPr>
                      <w:rFonts w:hint="eastAsia"/>
                      <w:kern w:val="0"/>
                      <w:szCs w:val="21"/>
                      <w:lang w:bidi="ar"/>
                    </w:rPr>
                    <w:t>332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Align w:val="center"/>
                </w:tcPr>
                <w:p>
                  <w:pPr>
                    <w:widowControl/>
                    <w:snapToGrid w:val="0"/>
                    <w:spacing w:before="48" w:beforeLines="20" w:after="48" w:afterLines="20"/>
                    <w:jc w:val="center"/>
                    <w:textAlignment w:val="center"/>
                    <w:rPr>
                      <w:szCs w:val="21"/>
                    </w:rPr>
                  </w:pPr>
                  <w:r>
                    <w:rPr>
                      <w:kern w:val="0"/>
                      <w:szCs w:val="21"/>
                      <w:lang w:bidi="ar"/>
                    </w:rPr>
                    <w:t>声环境</w:t>
                  </w:r>
                </w:p>
              </w:tc>
              <w:tc>
                <w:tcPr>
                  <w:tcW w:w="4499" w:type="pct"/>
                  <w:gridSpan w:val="6"/>
                  <w:vAlign w:val="center"/>
                </w:tcPr>
                <w:p>
                  <w:pPr>
                    <w:widowControl/>
                    <w:snapToGrid w:val="0"/>
                    <w:spacing w:before="48" w:beforeLines="20" w:after="48" w:afterLines="20"/>
                    <w:jc w:val="center"/>
                    <w:textAlignment w:val="center"/>
                    <w:rPr>
                      <w:szCs w:val="21"/>
                    </w:rPr>
                  </w:pPr>
                  <w:r>
                    <w:t>本项目厂界50米范围内无居民点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Align w:val="center"/>
                </w:tcPr>
                <w:p>
                  <w:pPr>
                    <w:widowControl/>
                    <w:snapToGrid w:val="0"/>
                    <w:spacing w:before="48" w:beforeLines="20" w:after="48" w:afterLines="20"/>
                    <w:jc w:val="center"/>
                    <w:textAlignment w:val="center"/>
                    <w:rPr>
                      <w:szCs w:val="21"/>
                    </w:rPr>
                  </w:pPr>
                  <w:r>
                    <w:rPr>
                      <w:kern w:val="0"/>
                      <w:szCs w:val="21"/>
                      <w:lang w:bidi="ar"/>
                    </w:rPr>
                    <w:t>地下水环境</w:t>
                  </w:r>
                </w:p>
              </w:tc>
              <w:tc>
                <w:tcPr>
                  <w:tcW w:w="4499" w:type="pct"/>
                  <w:gridSpan w:val="6"/>
                  <w:vAlign w:val="center"/>
                </w:tcPr>
                <w:p>
                  <w:pPr>
                    <w:widowControl/>
                    <w:snapToGrid w:val="0"/>
                    <w:spacing w:before="48" w:beforeLines="20" w:after="48" w:afterLines="20"/>
                    <w:jc w:val="left"/>
                    <w:textAlignment w:val="center"/>
                    <w:rPr>
                      <w:szCs w:val="21"/>
                    </w:rPr>
                  </w:pPr>
                  <w:r>
                    <w:rPr>
                      <w:kern w:val="0"/>
                      <w:szCs w:val="21"/>
                      <w:lang w:bidi="ar"/>
                    </w:rPr>
                    <w:t>厂界500m范围内无地下水集中式饮用水源和热水、矿泉水、温泉等特殊地下水资源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500" w:type="pct"/>
                  <w:vAlign w:val="center"/>
                </w:tcPr>
                <w:p>
                  <w:pPr>
                    <w:widowControl/>
                    <w:snapToGrid w:val="0"/>
                    <w:spacing w:before="48" w:beforeLines="20" w:after="48" w:afterLines="20"/>
                    <w:jc w:val="center"/>
                    <w:textAlignment w:val="center"/>
                    <w:rPr>
                      <w:kern w:val="0"/>
                      <w:szCs w:val="21"/>
                      <w:lang w:bidi="ar"/>
                    </w:rPr>
                  </w:pPr>
                  <w:r>
                    <w:rPr>
                      <w:kern w:val="0"/>
                      <w:szCs w:val="21"/>
                      <w:lang w:bidi="ar"/>
                    </w:rPr>
                    <w:t>生态</w:t>
                  </w:r>
                </w:p>
                <w:p>
                  <w:pPr>
                    <w:widowControl/>
                    <w:snapToGrid w:val="0"/>
                    <w:spacing w:before="48" w:beforeLines="20" w:after="48" w:afterLines="20"/>
                    <w:jc w:val="center"/>
                    <w:textAlignment w:val="center"/>
                    <w:rPr>
                      <w:szCs w:val="21"/>
                    </w:rPr>
                  </w:pPr>
                  <w:r>
                    <w:rPr>
                      <w:kern w:val="0"/>
                      <w:szCs w:val="21"/>
                      <w:lang w:bidi="ar"/>
                    </w:rPr>
                    <w:t>环境</w:t>
                  </w:r>
                </w:p>
              </w:tc>
              <w:tc>
                <w:tcPr>
                  <w:tcW w:w="4499" w:type="pct"/>
                  <w:gridSpan w:val="6"/>
                  <w:vAlign w:val="center"/>
                </w:tcPr>
                <w:p>
                  <w:pPr>
                    <w:widowControl/>
                    <w:snapToGrid w:val="0"/>
                    <w:spacing w:before="48" w:beforeLines="20" w:after="48" w:afterLines="20"/>
                    <w:jc w:val="left"/>
                    <w:textAlignment w:val="center"/>
                    <w:rPr>
                      <w:szCs w:val="21"/>
                    </w:rPr>
                  </w:pPr>
                  <w:r>
                    <w:rPr>
                      <w:kern w:val="0"/>
                      <w:szCs w:val="21"/>
                      <w:lang w:bidi="ar"/>
                    </w:rPr>
                    <w:t>项目位于</w:t>
                  </w:r>
                  <w:r>
                    <w:rPr>
                      <w:rFonts w:hint="eastAsia"/>
                      <w:kern w:val="0"/>
                      <w:szCs w:val="21"/>
                      <w:lang w:bidi="ar"/>
                    </w:rPr>
                    <w:t>江西余干高新技术产业园区内（余干黄金埠园区）</w:t>
                  </w:r>
                  <w:r>
                    <w:rPr>
                      <w:kern w:val="0"/>
                      <w:szCs w:val="21"/>
                      <w:lang w:bidi="ar"/>
                    </w:rPr>
                    <w:t>，无生态环境保护目标</w:t>
                  </w:r>
                </w:p>
              </w:tc>
            </w:tr>
          </w:tbl>
          <w:p>
            <w:pPr>
              <w:pStyle w:val="127"/>
              <w:rPr>
                <w:rFonts w:ascii="宋体" w:hAnsi="宋体" w:cs="宋体"/>
                <w:color w:val="FF0000"/>
                <w:kern w:val="0"/>
              </w:rPr>
            </w:pPr>
            <w:r>
              <w:rPr>
                <w:kern w:val="0"/>
                <w:sz w:val="18"/>
                <w:szCs w:val="18"/>
                <w:lang w:bidi="ar"/>
              </w:rPr>
              <w:t>注：本次评价以厂区中心</w:t>
            </w:r>
            <w:r>
              <w:rPr>
                <w:rFonts w:hint="eastAsia"/>
                <w:kern w:val="0"/>
                <w:sz w:val="18"/>
                <w:szCs w:val="18"/>
                <w:lang w:bidi="ar"/>
              </w:rPr>
              <w:t>N28°28′1.629″，E116°49′55.966″</w:t>
            </w:r>
            <w:r>
              <w:rPr>
                <w:kern w:val="0"/>
                <w:sz w:val="18"/>
                <w:szCs w:val="18"/>
                <w:lang w:bidi="ar"/>
              </w:rPr>
              <w:t>为原点坐标（0，0），正东X轴为正方向，正北Y轴为正方向建立直角坐标系给出环境保护目标对应坐标。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rFonts w:ascii="宋体" w:hAnsi="宋体" w:cs="宋体"/>
                <w:kern w:val="0"/>
                <w:szCs w:val="21"/>
              </w:rPr>
            </w:pPr>
            <w:r>
              <w:rPr>
                <w:rFonts w:hint="eastAsia" w:ascii="宋体" w:hAnsi="宋体" w:cs="宋体"/>
                <w:kern w:val="0"/>
                <w:szCs w:val="21"/>
              </w:rPr>
              <w:t>污染</w:t>
            </w:r>
          </w:p>
          <w:p>
            <w:pPr>
              <w:adjustRightInd w:val="0"/>
              <w:snapToGrid w:val="0"/>
              <w:jc w:val="center"/>
              <w:rPr>
                <w:rFonts w:ascii="宋体" w:hAnsi="宋体" w:cs="宋体"/>
                <w:kern w:val="0"/>
                <w:szCs w:val="21"/>
              </w:rPr>
            </w:pPr>
            <w:r>
              <w:rPr>
                <w:rFonts w:hint="eastAsia" w:ascii="宋体" w:hAnsi="宋体" w:cs="宋体"/>
                <w:kern w:val="0"/>
                <w:szCs w:val="21"/>
              </w:rPr>
              <w:t>物排</w:t>
            </w:r>
          </w:p>
          <w:p>
            <w:pPr>
              <w:adjustRightInd w:val="0"/>
              <w:snapToGrid w:val="0"/>
              <w:jc w:val="center"/>
              <w:rPr>
                <w:rFonts w:ascii="宋体" w:hAnsi="宋体" w:cs="宋体"/>
                <w:kern w:val="0"/>
                <w:szCs w:val="21"/>
              </w:rPr>
            </w:pPr>
            <w:r>
              <w:rPr>
                <w:rFonts w:hint="eastAsia" w:ascii="宋体" w:hAnsi="宋体" w:cs="宋体"/>
                <w:kern w:val="0"/>
                <w:szCs w:val="21"/>
              </w:rPr>
              <w:t>放控</w:t>
            </w:r>
          </w:p>
          <w:p>
            <w:pPr>
              <w:adjustRightInd w:val="0"/>
              <w:snapToGrid w:val="0"/>
              <w:jc w:val="center"/>
              <w:rPr>
                <w:rFonts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color w:val="FF0000"/>
                <w:kern w:val="0"/>
                <w:szCs w:val="21"/>
              </w:rPr>
            </w:pPr>
            <w:r>
              <w:rPr>
                <w:rFonts w:hint="eastAsia" w:ascii="宋体" w:hAnsi="宋体" w:cs="宋体"/>
                <w:kern w:val="0"/>
                <w:szCs w:val="21"/>
              </w:rPr>
              <w:t>准</w:t>
            </w:r>
          </w:p>
        </w:tc>
        <w:tc>
          <w:tcPr>
            <w:tcW w:w="8190" w:type="dxa"/>
            <w:vAlign w:val="center"/>
          </w:tcPr>
          <w:p>
            <w:pPr>
              <w:snapToGrid w:val="0"/>
              <w:spacing w:line="360" w:lineRule="auto"/>
              <w:ind w:firstLine="480" w:firstLineChars="200"/>
              <w:outlineLvl w:val="0"/>
              <w:rPr>
                <w:sz w:val="24"/>
              </w:rPr>
            </w:pPr>
            <w:r>
              <w:rPr>
                <w:rFonts w:hint="eastAsia"/>
                <w:sz w:val="24"/>
              </w:rPr>
              <w:t>（1）</w:t>
            </w:r>
            <w:r>
              <w:rPr>
                <w:sz w:val="24"/>
              </w:rPr>
              <w:t>废水</w:t>
            </w:r>
          </w:p>
          <w:p>
            <w:pPr>
              <w:adjustRightInd w:val="0"/>
              <w:snapToGrid w:val="0"/>
              <w:spacing w:line="360" w:lineRule="auto"/>
              <w:ind w:firstLine="480" w:firstLineChars="200"/>
              <w:rPr>
                <w:rFonts w:hint="eastAsia" w:ascii="黑体" w:hAnsi="黑体" w:eastAsia="黑体"/>
                <w:sz w:val="24"/>
              </w:rPr>
            </w:pPr>
            <w:r>
              <w:rPr>
                <w:rFonts w:hint="eastAsia"/>
                <w:sz w:val="24"/>
              </w:rPr>
              <w:t>本项目外排废水主要为生活污水，生活污水经化粪池预处理达江西余干工业园区（黄金埠）污水处理厂纳管标准</w:t>
            </w:r>
            <w:r>
              <w:rPr>
                <w:rFonts w:hint="eastAsia"/>
                <w:sz w:val="24"/>
                <w:lang w:eastAsia="zh-CN"/>
              </w:rPr>
              <w:t>（</w:t>
            </w:r>
            <w:r>
              <w:rPr>
                <w:rFonts w:hint="eastAsia"/>
                <w:sz w:val="24"/>
              </w:rPr>
              <w:t>氨氮执行《污水排入城镇下水道水质标准》（GB/T31962-2015）中B级标准</w:t>
            </w:r>
            <w:r>
              <w:rPr>
                <w:rFonts w:hint="eastAsia"/>
                <w:sz w:val="24"/>
                <w:lang w:eastAsia="zh-CN"/>
              </w:rPr>
              <w:t>）后</w:t>
            </w:r>
            <w:r>
              <w:rPr>
                <w:rFonts w:hint="eastAsia"/>
                <w:sz w:val="24"/>
              </w:rPr>
              <w:t>进入江西余干工业园区（黄金埠）污水处理厂进行深度处理，</w:t>
            </w:r>
            <w:r>
              <w:rPr>
                <w:rFonts w:hint="eastAsia"/>
                <w:sz w:val="24"/>
                <w:lang w:eastAsia="zh-CN"/>
              </w:rPr>
              <w:t>处理</w:t>
            </w:r>
            <w:r>
              <w:rPr>
                <w:rFonts w:hint="eastAsia"/>
                <w:sz w:val="24"/>
              </w:rPr>
              <w:t>达《城镇污水处理厂污染物排放标准》（GB18918-2002）一级B标准后排入信江</w:t>
            </w:r>
            <w:r>
              <w:rPr>
                <w:sz w:val="24"/>
              </w:rPr>
              <w:t>。</w:t>
            </w:r>
          </w:p>
          <w:p>
            <w:pPr>
              <w:spacing w:before="120" w:beforeLines="50"/>
              <w:jc w:val="center"/>
              <w:rPr>
                <w:rFonts w:ascii="黑体" w:hAnsi="黑体" w:eastAsia="黑体"/>
                <w:sz w:val="24"/>
              </w:rPr>
            </w:pPr>
            <w:r>
              <w:rPr>
                <w:rFonts w:hint="eastAsia" w:ascii="黑体" w:hAnsi="黑体" w:eastAsia="黑体"/>
                <w:sz w:val="24"/>
              </w:rPr>
              <w:t>表3</w:t>
            </w:r>
            <w:r>
              <w:rPr>
                <w:rFonts w:ascii="黑体" w:hAnsi="黑体" w:eastAsia="黑体"/>
                <w:sz w:val="24"/>
              </w:rPr>
              <w:t>-</w:t>
            </w:r>
            <w:r>
              <w:rPr>
                <w:rFonts w:hint="eastAsia" w:ascii="黑体" w:hAnsi="黑体" w:eastAsia="黑体"/>
                <w:sz w:val="24"/>
              </w:rPr>
              <w:t>4  江西余干工业园区（黄金埠）污水处理厂</w:t>
            </w:r>
            <w:r>
              <w:rPr>
                <w:rFonts w:ascii="黑体" w:hAnsi="黑体" w:eastAsia="黑体"/>
                <w:sz w:val="24"/>
              </w:rPr>
              <w:t>纳管标准（单位：mg/L）</w:t>
            </w:r>
          </w:p>
          <w:tbl>
            <w:tblPr>
              <w:tblStyle w:val="33"/>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84"/>
              <w:gridCol w:w="930"/>
              <w:gridCol w:w="1036"/>
              <w:gridCol w:w="721"/>
              <w:gridCol w:w="10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5" w:type="dxa"/>
                  <w:vAlign w:val="center"/>
                </w:tcPr>
                <w:p>
                  <w:pPr>
                    <w:autoSpaceDE w:val="0"/>
                    <w:autoSpaceDN w:val="0"/>
                    <w:adjustRightInd w:val="0"/>
                    <w:jc w:val="center"/>
                    <w:rPr>
                      <w:kern w:val="0"/>
                    </w:rPr>
                  </w:pPr>
                  <w:r>
                    <w:rPr>
                      <w:kern w:val="0"/>
                    </w:rPr>
                    <w:t>指标</w:t>
                  </w:r>
                </w:p>
              </w:tc>
              <w:tc>
                <w:tcPr>
                  <w:tcW w:w="930" w:type="dxa"/>
                  <w:vAlign w:val="center"/>
                </w:tcPr>
                <w:p>
                  <w:pPr>
                    <w:autoSpaceDE w:val="0"/>
                    <w:autoSpaceDN w:val="0"/>
                    <w:adjustRightInd w:val="0"/>
                    <w:jc w:val="center"/>
                    <w:rPr>
                      <w:kern w:val="0"/>
                    </w:rPr>
                  </w:pPr>
                  <w:r>
                    <w:rPr>
                      <w:kern w:val="0"/>
                    </w:rPr>
                    <w:t>COD</w:t>
                  </w:r>
                  <w:r>
                    <w:rPr>
                      <w:kern w:val="0"/>
                      <w:vertAlign w:val="subscript"/>
                    </w:rPr>
                    <w:t>Cr</w:t>
                  </w:r>
                </w:p>
              </w:tc>
              <w:tc>
                <w:tcPr>
                  <w:tcW w:w="1036" w:type="dxa"/>
                  <w:vAlign w:val="center"/>
                </w:tcPr>
                <w:p>
                  <w:pPr>
                    <w:autoSpaceDE w:val="0"/>
                    <w:autoSpaceDN w:val="0"/>
                    <w:adjustRightInd w:val="0"/>
                    <w:jc w:val="center"/>
                    <w:rPr>
                      <w:kern w:val="0"/>
                    </w:rPr>
                  </w:pPr>
                  <w:r>
                    <w:rPr>
                      <w:kern w:val="0"/>
                    </w:rPr>
                    <w:t>BOD</w:t>
                  </w:r>
                  <w:r>
                    <w:rPr>
                      <w:kern w:val="0"/>
                      <w:vertAlign w:val="subscript"/>
                    </w:rPr>
                    <w:t>5</w:t>
                  </w:r>
                </w:p>
              </w:tc>
              <w:tc>
                <w:tcPr>
                  <w:tcW w:w="721" w:type="dxa"/>
                  <w:vAlign w:val="center"/>
                </w:tcPr>
                <w:p>
                  <w:pPr>
                    <w:autoSpaceDE w:val="0"/>
                    <w:autoSpaceDN w:val="0"/>
                    <w:adjustRightInd w:val="0"/>
                    <w:jc w:val="center"/>
                    <w:rPr>
                      <w:kern w:val="0"/>
                    </w:rPr>
                  </w:pPr>
                  <w:r>
                    <w:rPr>
                      <w:kern w:val="0"/>
                    </w:rPr>
                    <w:t>SS</w:t>
                  </w:r>
                </w:p>
              </w:tc>
              <w:tc>
                <w:tcPr>
                  <w:tcW w:w="1022" w:type="dxa"/>
                  <w:vAlign w:val="center"/>
                </w:tcPr>
                <w:p>
                  <w:pPr>
                    <w:autoSpaceDE w:val="0"/>
                    <w:autoSpaceDN w:val="0"/>
                    <w:adjustRightInd w:val="0"/>
                    <w:jc w:val="center"/>
                    <w:rPr>
                      <w:kern w:val="0"/>
                    </w:rPr>
                  </w:pPr>
                  <w:r>
                    <w:rPr>
                      <w:kern w:val="0"/>
                    </w:rPr>
                    <w:t>NH</w:t>
                  </w:r>
                  <w:r>
                    <w:rPr>
                      <w:kern w:val="0"/>
                      <w:vertAlign w:val="subscript"/>
                    </w:rPr>
                    <w:t>3</w:t>
                  </w:r>
                  <w:r>
                    <w:rPr>
                      <w:kern w:val="0"/>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5" w:type="dxa"/>
                  <w:vAlign w:val="center"/>
                </w:tcPr>
                <w:p>
                  <w:pPr>
                    <w:autoSpaceDE w:val="0"/>
                    <w:autoSpaceDN w:val="0"/>
                    <w:adjustRightInd w:val="0"/>
                    <w:jc w:val="center"/>
                    <w:rPr>
                      <w:kern w:val="0"/>
                    </w:rPr>
                  </w:pPr>
                  <w:r>
                    <w:rPr>
                      <w:kern w:val="0"/>
                    </w:rPr>
                    <w:t>《污水综合排放标准》（GB8978-1996）</w:t>
                  </w:r>
                </w:p>
                <w:p>
                  <w:pPr>
                    <w:autoSpaceDE w:val="0"/>
                    <w:autoSpaceDN w:val="0"/>
                    <w:adjustRightInd w:val="0"/>
                    <w:jc w:val="center"/>
                    <w:rPr>
                      <w:bCs/>
                      <w:kern w:val="18"/>
                    </w:rPr>
                  </w:pPr>
                  <w:r>
                    <w:rPr>
                      <w:kern w:val="0"/>
                    </w:rPr>
                    <w:t>表4中的三级标准</w:t>
                  </w:r>
                </w:p>
              </w:tc>
              <w:tc>
                <w:tcPr>
                  <w:tcW w:w="930" w:type="dxa"/>
                  <w:vAlign w:val="center"/>
                </w:tcPr>
                <w:p>
                  <w:pPr>
                    <w:autoSpaceDE w:val="0"/>
                    <w:autoSpaceDN w:val="0"/>
                    <w:adjustRightInd w:val="0"/>
                    <w:jc w:val="center"/>
                    <w:rPr>
                      <w:kern w:val="0"/>
                    </w:rPr>
                  </w:pPr>
                  <w:r>
                    <w:rPr>
                      <w:kern w:val="0"/>
                    </w:rPr>
                    <w:t>500</w:t>
                  </w:r>
                </w:p>
              </w:tc>
              <w:tc>
                <w:tcPr>
                  <w:tcW w:w="1036" w:type="dxa"/>
                  <w:vAlign w:val="center"/>
                </w:tcPr>
                <w:p>
                  <w:pPr>
                    <w:autoSpaceDE w:val="0"/>
                    <w:autoSpaceDN w:val="0"/>
                    <w:adjustRightInd w:val="0"/>
                    <w:jc w:val="center"/>
                    <w:rPr>
                      <w:kern w:val="0"/>
                    </w:rPr>
                  </w:pPr>
                  <w:r>
                    <w:rPr>
                      <w:kern w:val="0"/>
                    </w:rPr>
                    <w:t>300</w:t>
                  </w:r>
                </w:p>
              </w:tc>
              <w:tc>
                <w:tcPr>
                  <w:tcW w:w="721" w:type="dxa"/>
                  <w:vAlign w:val="center"/>
                </w:tcPr>
                <w:p>
                  <w:pPr>
                    <w:autoSpaceDE w:val="0"/>
                    <w:autoSpaceDN w:val="0"/>
                    <w:adjustRightInd w:val="0"/>
                    <w:jc w:val="center"/>
                    <w:rPr>
                      <w:kern w:val="0"/>
                    </w:rPr>
                  </w:pPr>
                  <w:r>
                    <w:rPr>
                      <w:kern w:val="0"/>
                    </w:rPr>
                    <w:t>400</w:t>
                  </w:r>
                </w:p>
              </w:tc>
              <w:tc>
                <w:tcPr>
                  <w:tcW w:w="1022" w:type="dxa"/>
                  <w:vAlign w:val="center"/>
                </w:tcPr>
                <w:p>
                  <w:pPr>
                    <w:autoSpaceDE w:val="0"/>
                    <w:autoSpaceDN w:val="0"/>
                    <w:adjustRightInd w:val="0"/>
                    <w:jc w:val="center"/>
                    <w:rPr>
                      <w:kern w:val="0"/>
                    </w:rPr>
                  </w:pPr>
                  <w:r>
                    <w:rPr>
                      <w:kern w:val="0"/>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5" w:type="dxa"/>
                  <w:vAlign w:val="center"/>
                </w:tcPr>
                <w:p>
                  <w:pPr>
                    <w:autoSpaceDE w:val="0"/>
                    <w:autoSpaceDN w:val="0"/>
                    <w:adjustRightInd w:val="0"/>
                    <w:jc w:val="center"/>
                    <w:rPr>
                      <w:bCs/>
                      <w:kern w:val="18"/>
                    </w:rPr>
                  </w:pPr>
                  <w:r>
                    <w:rPr>
                      <w:bCs/>
                      <w:kern w:val="18"/>
                    </w:rPr>
                    <w:t>《城镇污水处理厂污染物排放标准》</w:t>
                  </w:r>
                </w:p>
                <w:p>
                  <w:pPr>
                    <w:autoSpaceDE w:val="0"/>
                    <w:autoSpaceDN w:val="0"/>
                    <w:adjustRightInd w:val="0"/>
                    <w:jc w:val="center"/>
                    <w:rPr>
                      <w:bCs/>
                      <w:kern w:val="18"/>
                    </w:rPr>
                  </w:pPr>
                  <w:r>
                    <w:rPr>
                      <w:bCs/>
                      <w:kern w:val="18"/>
                    </w:rPr>
                    <w:t>(GB 18918-2002)一级B标准</w:t>
                  </w:r>
                </w:p>
              </w:tc>
              <w:tc>
                <w:tcPr>
                  <w:tcW w:w="930" w:type="dxa"/>
                  <w:vAlign w:val="center"/>
                </w:tcPr>
                <w:p>
                  <w:pPr>
                    <w:autoSpaceDE w:val="0"/>
                    <w:autoSpaceDN w:val="0"/>
                    <w:adjustRightInd w:val="0"/>
                    <w:jc w:val="center"/>
                    <w:rPr>
                      <w:kern w:val="0"/>
                    </w:rPr>
                  </w:pPr>
                  <w:r>
                    <w:rPr>
                      <w:kern w:val="0"/>
                    </w:rPr>
                    <w:t>60</w:t>
                  </w:r>
                </w:p>
              </w:tc>
              <w:tc>
                <w:tcPr>
                  <w:tcW w:w="1036" w:type="dxa"/>
                  <w:vAlign w:val="center"/>
                </w:tcPr>
                <w:p>
                  <w:pPr>
                    <w:autoSpaceDE w:val="0"/>
                    <w:autoSpaceDN w:val="0"/>
                    <w:adjustRightInd w:val="0"/>
                    <w:jc w:val="center"/>
                    <w:rPr>
                      <w:kern w:val="0"/>
                    </w:rPr>
                  </w:pPr>
                  <w:r>
                    <w:rPr>
                      <w:kern w:val="0"/>
                    </w:rPr>
                    <w:t>20</w:t>
                  </w:r>
                </w:p>
              </w:tc>
              <w:tc>
                <w:tcPr>
                  <w:tcW w:w="721" w:type="dxa"/>
                  <w:vAlign w:val="center"/>
                </w:tcPr>
                <w:p>
                  <w:pPr>
                    <w:autoSpaceDE w:val="0"/>
                    <w:autoSpaceDN w:val="0"/>
                    <w:adjustRightInd w:val="0"/>
                    <w:jc w:val="center"/>
                    <w:rPr>
                      <w:kern w:val="0"/>
                    </w:rPr>
                  </w:pPr>
                  <w:r>
                    <w:rPr>
                      <w:kern w:val="0"/>
                    </w:rPr>
                    <w:t>20</w:t>
                  </w:r>
                </w:p>
              </w:tc>
              <w:tc>
                <w:tcPr>
                  <w:tcW w:w="1022" w:type="dxa"/>
                  <w:vAlign w:val="center"/>
                </w:tcPr>
                <w:p>
                  <w:pPr>
                    <w:autoSpaceDE w:val="0"/>
                    <w:autoSpaceDN w:val="0"/>
                    <w:adjustRightInd w:val="0"/>
                    <w:jc w:val="center"/>
                    <w:rPr>
                      <w:kern w:val="0"/>
                    </w:rPr>
                  </w:pPr>
                  <w:r>
                    <w:rPr>
                      <w:kern w:val="0"/>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94" w:type="dxa"/>
                  <w:gridSpan w:val="5"/>
                  <w:vAlign w:val="center"/>
                </w:tcPr>
                <w:p>
                  <w:pPr>
                    <w:autoSpaceDE w:val="0"/>
                    <w:autoSpaceDN w:val="0"/>
                    <w:adjustRightInd w:val="0"/>
                    <w:spacing w:line="360" w:lineRule="auto"/>
                    <w:jc w:val="left"/>
                    <w:rPr>
                      <w:kern w:val="0"/>
                    </w:rPr>
                  </w:pPr>
                  <w:r>
                    <w:rPr>
                      <w:rFonts w:hint="eastAsia"/>
                      <w:szCs w:val="21"/>
                    </w:rPr>
                    <w:t>注：氨氮执行《污水排入城镇下水道水质标准》（GB/T31962-2015）中B级标准</w:t>
                  </w:r>
                </w:p>
              </w:tc>
            </w:tr>
          </w:tbl>
          <w:p>
            <w:pPr>
              <w:snapToGrid w:val="0"/>
              <w:spacing w:line="360" w:lineRule="auto"/>
              <w:ind w:firstLine="480" w:firstLineChars="200"/>
              <w:outlineLvl w:val="0"/>
              <w:rPr>
                <w:sz w:val="24"/>
              </w:rPr>
            </w:pPr>
            <w:r>
              <w:rPr>
                <w:rFonts w:hint="eastAsia"/>
                <w:sz w:val="24"/>
              </w:rPr>
              <w:t>（2）废气</w:t>
            </w:r>
          </w:p>
          <w:p>
            <w:pPr>
              <w:pStyle w:val="130"/>
              <w:ind w:firstLine="480"/>
              <w:rPr>
                <w:color w:val="000000" w:themeColor="text1"/>
                <w14:textFill>
                  <w14:solidFill>
                    <w14:schemeClr w14:val="tx1"/>
                  </w14:solidFill>
                </w14:textFill>
              </w:rPr>
            </w:pPr>
            <w:r>
              <w:t>工艺</w:t>
            </w:r>
            <w:r>
              <w:rPr>
                <w:color w:val="000000" w:themeColor="text1"/>
                <w14:textFill>
                  <w14:solidFill>
                    <w14:schemeClr w14:val="tx1"/>
                  </w14:solidFill>
                </w14:textFill>
              </w:rPr>
              <w:t>废气</w:t>
            </w:r>
            <w:r>
              <w:rPr>
                <w:rFonts w:hint="eastAsia"/>
                <w:color w:val="000000" w:themeColor="text1"/>
                <w14:textFill>
                  <w14:solidFill>
                    <w14:schemeClr w14:val="tx1"/>
                  </w14:solidFill>
                </w14:textFill>
              </w:rPr>
              <w:t>中甲苯及二甲苯、TVOC污染物</w:t>
            </w:r>
            <w:r>
              <w:rPr>
                <w:color w:val="000000" w:themeColor="text1"/>
                <w14:textFill>
                  <w14:solidFill>
                    <w14:schemeClr w14:val="tx1"/>
                  </w14:solidFill>
                </w14:textFill>
              </w:rPr>
              <w:t>排放执行</w:t>
            </w:r>
            <w:r>
              <w:rPr>
                <w:rFonts w:hint="eastAsia"/>
                <w:color w:val="000000" w:themeColor="text1"/>
                <w14:textFill>
                  <w14:solidFill>
                    <w14:schemeClr w14:val="tx1"/>
                  </w14:solidFill>
                </w14:textFill>
              </w:rPr>
              <w:t>江西省地方标准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挥发性有机物排放标准第6部分：家具制造业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DB36/1101.6-2019</w:t>
            </w:r>
            <w:r>
              <w:rPr>
                <w:color w:val="000000" w:themeColor="text1"/>
                <w14:textFill>
                  <w14:solidFill>
                    <w14:schemeClr w14:val="tx1"/>
                  </w14:solidFill>
                </w14:textFill>
              </w:rPr>
              <w:t>）表</w:t>
            </w:r>
            <w:r>
              <w:rPr>
                <w:rFonts w:hint="eastAsia"/>
                <w:color w:val="000000" w:themeColor="text1"/>
                <w14:textFill>
                  <w14:solidFill>
                    <w14:schemeClr w14:val="tx1"/>
                  </w14:solidFill>
                </w14:textFill>
              </w:rPr>
              <w:t>1、表</w:t>
            </w:r>
            <w:r>
              <w:rPr>
                <w:color w:val="000000" w:themeColor="text1"/>
                <w14:textFill>
                  <w14:solidFill>
                    <w14:schemeClr w14:val="tx1"/>
                  </w14:solidFill>
                </w14:textFill>
              </w:rPr>
              <w:t>2中标准</w:t>
            </w:r>
            <w:r>
              <w:rPr>
                <w:rFonts w:hint="eastAsia"/>
                <w:color w:val="000000" w:themeColor="text1"/>
                <w14:textFill>
                  <w14:solidFill>
                    <w14:schemeClr w14:val="tx1"/>
                  </w14:solidFill>
                </w14:textFill>
              </w:rPr>
              <w:t>，粉尘排放</w:t>
            </w:r>
            <w:r>
              <w:rPr>
                <w:color w:val="000000" w:themeColor="text1"/>
                <w14:textFill>
                  <w14:solidFill>
                    <w14:schemeClr w14:val="tx1"/>
                  </w14:solidFill>
                </w14:textFill>
              </w:rPr>
              <w:t>执行</w:t>
            </w:r>
            <w:r>
              <w:rPr>
                <w:rFonts w:hint="eastAsia"/>
                <w:color w:val="000000" w:themeColor="text1"/>
                <w14:textFill>
                  <w14:solidFill>
                    <w14:schemeClr w14:val="tx1"/>
                  </w14:solidFill>
                </w14:textFill>
              </w:rPr>
              <w:t>《大气污染物综合排放标准》（GB16297-1996）表2中二级标准及无组织排放监控浓度限值，厂内TVOC无组织排放参照《挥发性有机物无组织排放控制标准》（GB 37822-2019），排放标准见下表。</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表3-5 《挥发性有机物排放标准第6部分：家具制造业》（DB36/1101.6-2019）</w:t>
            </w:r>
          </w:p>
          <w:tbl>
            <w:tblPr>
              <w:tblStyle w:val="33"/>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1143"/>
              <w:gridCol w:w="2082"/>
              <w:gridCol w:w="1953"/>
              <w:gridCol w:w="12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1" w:type="dxa"/>
                  <w:vMerge w:val="restar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污染物</w:t>
                  </w:r>
                </w:p>
              </w:tc>
              <w:tc>
                <w:tcPr>
                  <w:tcW w:w="1183" w:type="dxa"/>
                  <w:vMerge w:val="restar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排气筒（m）</w:t>
                  </w:r>
                </w:p>
              </w:tc>
              <w:tc>
                <w:tcPr>
                  <w:tcW w:w="2186" w:type="dxa"/>
                  <w:vMerge w:val="restar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最高</w:t>
                  </w:r>
                  <w:r>
                    <w:rPr>
                      <w:rFonts w:hint="eastAsia"/>
                      <w:bCs/>
                      <w:color w:val="000000" w:themeColor="text1"/>
                      <w14:textFill>
                        <w14:solidFill>
                          <w14:schemeClr w14:val="tx1"/>
                        </w14:solidFill>
                      </w14:textFill>
                    </w:rPr>
                    <w:t>允</w:t>
                  </w:r>
                  <w:r>
                    <w:rPr>
                      <w:bCs/>
                      <w:color w:val="000000" w:themeColor="text1"/>
                      <w14:textFill>
                        <w14:solidFill>
                          <w14:schemeClr w14:val="tx1"/>
                        </w14:solidFill>
                      </w14:textFill>
                    </w:rPr>
                    <w:t>许排放</w:t>
                  </w:r>
                  <w:r>
                    <w:rPr>
                      <w:rFonts w:hint="eastAsia"/>
                      <w:bCs/>
                      <w:color w:val="000000" w:themeColor="text1"/>
                      <w14:textFill>
                        <w14:solidFill>
                          <w14:schemeClr w14:val="tx1"/>
                        </w14:solidFill>
                      </w14:textFill>
                    </w:rPr>
                    <w:t>浓度</w:t>
                  </w:r>
                  <w:r>
                    <w:rPr>
                      <w:bCs/>
                      <w:color w:val="000000" w:themeColor="text1"/>
                      <w14:textFill>
                        <w14:solidFill>
                          <w14:schemeClr w14:val="tx1"/>
                        </w14:solidFill>
                      </w14:textFill>
                    </w:rPr>
                    <w:t>（mg/m</w:t>
                  </w:r>
                  <w:r>
                    <w:rPr>
                      <w:bCs/>
                      <w:color w:val="000000" w:themeColor="text1"/>
                      <w:vertAlign w:val="superscript"/>
                      <w14:textFill>
                        <w14:solidFill>
                          <w14:schemeClr w14:val="tx1"/>
                        </w14:solidFill>
                      </w14:textFill>
                    </w:rPr>
                    <w:t>3</w:t>
                  </w:r>
                  <w:r>
                    <w:rPr>
                      <w:bCs/>
                      <w:color w:val="000000" w:themeColor="text1"/>
                      <w14:textFill>
                        <w14:solidFill>
                          <w14:schemeClr w14:val="tx1"/>
                        </w14:solidFill>
                      </w14:textFill>
                    </w:rPr>
                    <w:t>）</w:t>
                  </w:r>
                </w:p>
              </w:tc>
              <w:tc>
                <w:tcPr>
                  <w:tcW w:w="3435" w:type="dxa"/>
                  <w:gridSpan w:val="2"/>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1" w:type="dxa"/>
                  <w:vMerge w:val="continue"/>
                  <w:tcBorders>
                    <w:tl2br w:val="nil"/>
                    <w:tr2bl w:val="nil"/>
                  </w:tcBorders>
                  <w:vAlign w:val="center"/>
                </w:tcPr>
                <w:p>
                  <w:pPr>
                    <w:spacing w:line="340" w:lineRule="exact"/>
                    <w:jc w:val="center"/>
                    <w:rPr>
                      <w:bCs/>
                      <w:color w:val="000000" w:themeColor="text1"/>
                      <w14:textFill>
                        <w14:solidFill>
                          <w14:schemeClr w14:val="tx1"/>
                        </w14:solidFill>
                      </w14:textFill>
                    </w:rPr>
                  </w:pPr>
                </w:p>
              </w:tc>
              <w:tc>
                <w:tcPr>
                  <w:tcW w:w="1183" w:type="dxa"/>
                  <w:vMerge w:val="continue"/>
                  <w:tcBorders>
                    <w:tl2br w:val="nil"/>
                    <w:tr2bl w:val="nil"/>
                  </w:tcBorders>
                  <w:vAlign w:val="center"/>
                </w:tcPr>
                <w:p>
                  <w:pPr>
                    <w:spacing w:line="340" w:lineRule="exact"/>
                    <w:jc w:val="center"/>
                    <w:rPr>
                      <w:bCs/>
                      <w:color w:val="000000" w:themeColor="text1"/>
                      <w14:textFill>
                        <w14:solidFill>
                          <w14:schemeClr w14:val="tx1"/>
                        </w14:solidFill>
                      </w14:textFill>
                    </w:rPr>
                  </w:pPr>
                </w:p>
              </w:tc>
              <w:tc>
                <w:tcPr>
                  <w:tcW w:w="2186" w:type="dxa"/>
                  <w:vMerge w:val="continue"/>
                  <w:tcBorders>
                    <w:tl2br w:val="nil"/>
                    <w:tr2bl w:val="nil"/>
                  </w:tcBorders>
                  <w:vAlign w:val="center"/>
                </w:tcPr>
                <w:p>
                  <w:pPr>
                    <w:spacing w:line="340" w:lineRule="exact"/>
                    <w:jc w:val="center"/>
                    <w:rPr>
                      <w:bCs/>
                      <w:color w:val="000000" w:themeColor="text1"/>
                      <w14:textFill>
                        <w14:solidFill>
                          <w14:schemeClr w14:val="tx1"/>
                        </w14:solidFill>
                      </w14:textFill>
                    </w:rPr>
                  </w:pPr>
                </w:p>
              </w:tc>
              <w:tc>
                <w:tcPr>
                  <w:tcW w:w="2133"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监控点</w:t>
                  </w:r>
                </w:p>
              </w:tc>
              <w:tc>
                <w:tcPr>
                  <w:tcW w:w="1302"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浓度（mg/m</w:t>
                  </w:r>
                  <w:r>
                    <w:rPr>
                      <w:bCs/>
                      <w:color w:val="000000" w:themeColor="text1"/>
                      <w:vertAlign w:val="superscript"/>
                      <w14:textFill>
                        <w14:solidFill>
                          <w14:schemeClr w14:val="tx1"/>
                        </w14:solidFill>
                      </w14:textFill>
                    </w:rPr>
                    <w:t>3</w:t>
                  </w:r>
                  <w:r>
                    <w:rPr>
                      <w:bCs/>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1"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甲苯与二甲苯合计</w:t>
                  </w:r>
                </w:p>
              </w:tc>
              <w:tc>
                <w:tcPr>
                  <w:tcW w:w="1183"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15</w:t>
                  </w:r>
                </w:p>
              </w:tc>
              <w:tc>
                <w:tcPr>
                  <w:tcW w:w="2186"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20</w:t>
                  </w:r>
                </w:p>
              </w:tc>
              <w:tc>
                <w:tcPr>
                  <w:tcW w:w="2133" w:type="dxa"/>
                  <w:tcBorders>
                    <w:tl2br w:val="nil"/>
                    <w:tr2bl w:val="nil"/>
                  </w:tcBorders>
                  <w:vAlign w:val="center"/>
                </w:tcPr>
                <w:p>
                  <w:pPr>
                    <w:spacing w:line="340" w:lineRule="exact"/>
                    <w:jc w:val="center"/>
                    <w:rPr>
                      <w:bCs/>
                      <w:color w:val="000000" w:themeColor="text1"/>
                      <w:lang w:val="pt-BR"/>
                      <w14:textFill>
                        <w14:solidFill>
                          <w14:schemeClr w14:val="tx1"/>
                        </w14:solidFill>
                      </w14:textFill>
                    </w:rPr>
                  </w:pPr>
                  <w:r>
                    <w:rPr>
                      <w:bCs/>
                      <w:color w:val="000000" w:themeColor="text1"/>
                      <w:lang w:val="pt-BR"/>
                      <w14:textFill>
                        <w14:solidFill>
                          <w14:schemeClr w14:val="tx1"/>
                        </w14:solidFill>
                      </w14:textFill>
                    </w:rPr>
                    <w:t>周界外浓度最高点</w:t>
                  </w:r>
                </w:p>
              </w:tc>
              <w:tc>
                <w:tcPr>
                  <w:tcW w:w="1302"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1"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TVOC</w:t>
                  </w:r>
                </w:p>
              </w:tc>
              <w:tc>
                <w:tcPr>
                  <w:tcW w:w="1183"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15</w:t>
                  </w:r>
                </w:p>
              </w:tc>
              <w:tc>
                <w:tcPr>
                  <w:tcW w:w="2186"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40</w:t>
                  </w:r>
                </w:p>
              </w:tc>
              <w:tc>
                <w:tcPr>
                  <w:tcW w:w="2133" w:type="dxa"/>
                  <w:tcBorders>
                    <w:tl2br w:val="nil"/>
                    <w:tr2bl w:val="nil"/>
                  </w:tcBorders>
                  <w:vAlign w:val="center"/>
                </w:tcPr>
                <w:p>
                  <w:pPr>
                    <w:spacing w:line="340" w:lineRule="exact"/>
                    <w:jc w:val="center"/>
                    <w:rPr>
                      <w:bCs/>
                      <w:color w:val="000000" w:themeColor="text1"/>
                      <w:lang w:val="pt-BR"/>
                      <w14:textFill>
                        <w14:solidFill>
                          <w14:schemeClr w14:val="tx1"/>
                        </w14:solidFill>
                      </w14:textFill>
                    </w:rPr>
                  </w:pPr>
                  <w:r>
                    <w:rPr>
                      <w:bCs/>
                      <w:color w:val="000000" w:themeColor="text1"/>
                      <w:lang w:val="pt-BR"/>
                      <w14:textFill>
                        <w14:solidFill>
                          <w14:schemeClr w14:val="tx1"/>
                        </w14:solidFill>
                      </w14:textFill>
                    </w:rPr>
                    <w:t>周界外浓度最高点</w:t>
                  </w:r>
                </w:p>
              </w:tc>
              <w:tc>
                <w:tcPr>
                  <w:tcW w:w="1302" w:type="dxa"/>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2.0</w:t>
                  </w:r>
                </w:p>
              </w:tc>
            </w:tr>
          </w:tbl>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表3-6 大气污染物排放执行标准</w:t>
            </w:r>
          </w:p>
          <w:tbl>
            <w:tblPr>
              <w:tblStyle w:val="33"/>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1479"/>
              <w:gridCol w:w="1255"/>
              <w:gridCol w:w="1430"/>
              <w:gridCol w:w="1422"/>
              <w:gridCol w:w="13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069" w:type="dxa"/>
                  <w:vMerge w:val="restart"/>
                  <w:vAlign w:val="center"/>
                </w:tcPr>
                <w:p>
                  <w:pPr>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w:t>
                  </w:r>
                </w:p>
              </w:tc>
              <w:tc>
                <w:tcPr>
                  <w:tcW w:w="1592" w:type="dxa"/>
                  <w:vMerge w:val="restart"/>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最高允许排放浓度mg/m</w:t>
                  </w:r>
                  <w:r>
                    <w:rPr>
                      <w:rFonts w:hint="eastAsia"/>
                      <w:color w:val="000000" w:themeColor="text1"/>
                      <w:sz w:val="21"/>
                      <w:szCs w:val="21"/>
                      <w:vertAlign w:val="superscript"/>
                      <w14:textFill>
                        <w14:solidFill>
                          <w14:schemeClr w14:val="tx1"/>
                        </w14:solidFill>
                      </w14:textFill>
                    </w:rPr>
                    <w:t>3</w:t>
                  </w:r>
                </w:p>
              </w:tc>
              <w:tc>
                <w:tcPr>
                  <w:tcW w:w="2983" w:type="dxa"/>
                  <w:gridSpan w:val="2"/>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最高允许排放速率kg/h</w:t>
                  </w:r>
                </w:p>
              </w:tc>
              <w:tc>
                <w:tcPr>
                  <w:tcW w:w="3020" w:type="dxa"/>
                  <w:gridSpan w:val="2"/>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0" w:hRule="exact"/>
                <w:jc w:val="center"/>
              </w:trPr>
              <w:tc>
                <w:tcPr>
                  <w:tcW w:w="1069" w:type="dxa"/>
                  <w:vMerge w:val="continue"/>
                  <w:vAlign w:val="center"/>
                </w:tcPr>
                <w:p>
                  <w:pPr>
                    <w:adjustRightInd w:val="0"/>
                    <w:snapToGrid w:val="0"/>
                    <w:jc w:val="center"/>
                    <w:rPr>
                      <w:rFonts w:ascii="宋体" w:hAnsi="宋体"/>
                      <w:color w:val="000000" w:themeColor="text1"/>
                      <w:kern w:val="10"/>
                      <w:szCs w:val="21"/>
                      <w14:textFill>
                        <w14:solidFill>
                          <w14:schemeClr w14:val="tx1"/>
                        </w14:solidFill>
                      </w14:textFill>
                    </w:rPr>
                  </w:pPr>
                </w:p>
              </w:tc>
              <w:tc>
                <w:tcPr>
                  <w:tcW w:w="1592" w:type="dxa"/>
                  <w:vMerge w:val="continue"/>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p>
              </w:tc>
              <w:tc>
                <w:tcPr>
                  <w:tcW w:w="1392"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排气筒m</w:t>
                  </w:r>
                </w:p>
              </w:tc>
              <w:tc>
                <w:tcPr>
                  <w:tcW w:w="1591"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二级</w:t>
                  </w:r>
                </w:p>
              </w:tc>
              <w:tc>
                <w:tcPr>
                  <w:tcW w:w="1591"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监控点</w:t>
                  </w:r>
                </w:p>
              </w:tc>
              <w:tc>
                <w:tcPr>
                  <w:tcW w:w="1429" w:type="dxa"/>
                  <w:vAlign w:val="center"/>
                </w:tcPr>
                <w:p>
                  <w:pPr>
                    <w:pStyle w:val="17"/>
                    <w:tabs>
                      <w:tab w:val="left" w:pos="0"/>
                      <w:tab w:val="left" w:pos="1260"/>
                    </w:tabs>
                    <w:adjustRightInd w:val="0"/>
                    <w:spacing w:after="0"/>
                    <w:jc w:val="center"/>
                    <w:rPr>
                      <w:color w:val="000000" w:themeColor="text1"/>
                      <w:sz w:val="21"/>
                      <w:szCs w:val="21"/>
                      <w:vertAlign w:val="superscript"/>
                      <w14:textFill>
                        <w14:solidFill>
                          <w14:schemeClr w14:val="tx1"/>
                        </w14:solidFill>
                      </w14:textFill>
                    </w:rPr>
                  </w:pPr>
                  <w:r>
                    <w:rPr>
                      <w:rFonts w:hint="eastAsia"/>
                      <w:color w:val="000000" w:themeColor="text1"/>
                      <w:sz w:val="21"/>
                      <w:szCs w:val="21"/>
                      <w14:textFill>
                        <w14:solidFill>
                          <w14:schemeClr w14:val="tx1"/>
                        </w14:solidFill>
                      </w14:textFill>
                    </w:rPr>
                    <w:t>浓度mg/m</w:t>
                  </w:r>
                  <w:r>
                    <w:rPr>
                      <w:rFonts w:hint="eastAsia"/>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069" w:type="dxa"/>
                  <w:vAlign w:val="center"/>
                </w:tcPr>
                <w:p>
                  <w:pPr>
                    <w:adjustRightInd w:val="0"/>
                    <w:snapToGrid w:val="0"/>
                    <w:jc w:val="center"/>
                    <w:rPr>
                      <w:rFonts w:ascii="宋体" w:hAnsi="宋体"/>
                      <w:color w:val="000000" w:themeColor="text1"/>
                      <w:kern w:val="10"/>
                      <w:szCs w:val="21"/>
                      <w14:textFill>
                        <w14:solidFill>
                          <w14:schemeClr w14:val="tx1"/>
                        </w14:solidFill>
                      </w14:textFill>
                    </w:rPr>
                  </w:pPr>
                  <w:r>
                    <w:rPr>
                      <w:rFonts w:hint="eastAsia" w:ascii="宋体" w:hAnsi="宋体"/>
                      <w:color w:val="000000" w:themeColor="text1"/>
                      <w:kern w:val="10"/>
                      <w:szCs w:val="21"/>
                      <w14:textFill>
                        <w14:solidFill>
                          <w14:schemeClr w14:val="tx1"/>
                        </w14:solidFill>
                      </w14:textFill>
                    </w:rPr>
                    <w:t>颗粒物</w:t>
                  </w:r>
                </w:p>
              </w:tc>
              <w:tc>
                <w:tcPr>
                  <w:tcW w:w="1592"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w:t>
                  </w:r>
                </w:p>
              </w:tc>
              <w:tc>
                <w:tcPr>
                  <w:tcW w:w="1392"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p>
              </w:tc>
              <w:tc>
                <w:tcPr>
                  <w:tcW w:w="1591"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3.5</w:t>
                  </w:r>
                </w:p>
              </w:tc>
              <w:tc>
                <w:tcPr>
                  <w:tcW w:w="1591"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周界外</w:t>
                  </w:r>
                </w:p>
              </w:tc>
              <w:tc>
                <w:tcPr>
                  <w:tcW w:w="1429" w:type="dxa"/>
                  <w:vAlign w:val="center"/>
                </w:tcPr>
                <w:p>
                  <w:pPr>
                    <w:pStyle w:val="17"/>
                    <w:tabs>
                      <w:tab w:val="left" w:pos="0"/>
                      <w:tab w:val="left" w:pos="1260"/>
                    </w:tabs>
                    <w:adjustRightInd w:val="0"/>
                    <w:spacing w:after="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r>
          </w:tbl>
          <w:p>
            <w:pPr>
              <w:tabs>
                <w:tab w:val="left" w:pos="180"/>
              </w:tabs>
              <w:spacing w:before="120" w:beforeLines="50"/>
              <w:jc w:val="center"/>
              <w:rPr>
                <w:rFonts w:hint="eastAsia" w:ascii="黑体" w:hAnsi="黑体" w:eastAsia="黑体"/>
                <w:color w:val="000000" w:themeColor="text1"/>
                <w:sz w:val="24"/>
                <w14:textFill>
                  <w14:solidFill>
                    <w14:schemeClr w14:val="tx1"/>
                  </w14:solidFill>
                </w14:textFill>
              </w:rPr>
            </w:pP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表3-7   厂区内TVOC无组织排放限值   单位：mg/m</w:t>
            </w:r>
            <w:r>
              <w:rPr>
                <w:rFonts w:hint="eastAsia" w:ascii="黑体" w:hAnsi="黑体" w:eastAsia="黑体"/>
                <w:color w:val="000000" w:themeColor="text1"/>
                <w:sz w:val="24"/>
                <w:vertAlign w:val="superscript"/>
                <w14:textFill>
                  <w14:solidFill>
                    <w14:schemeClr w14:val="tx1"/>
                  </w14:solidFill>
                </w14:textFill>
              </w:rPr>
              <w:t>3</w:t>
            </w:r>
          </w:p>
          <w:tbl>
            <w:tblPr>
              <w:tblStyle w:val="33"/>
              <w:tblW w:w="495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108" w:type="dxa"/>
                <w:bottom w:w="0" w:type="dxa"/>
                <w:right w:w="108" w:type="dxa"/>
              </w:tblCellMar>
            </w:tblPr>
            <w:tblGrid>
              <w:gridCol w:w="1464"/>
              <w:gridCol w:w="1154"/>
              <w:gridCol w:w="1002"/>
              <w:gridCol w:w="1943"/>
              <w:gridCol w:w="2331"/>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539" w:hRule="atLeast"/>
                <w:jc w:val="center"/>
              </w:trPr>
              <w:tc>
                <w:tcPr>
                  <w:tcW w:w="144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污染物项目</w:t>
                  </w:r>
                </w:p>
              </w:tc>
              <w:tc>
                <w:tcPr>
                  <w:tcW w:w="114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排放限值</w:t>
                  </w:r>
                </w:p>
              </w:tc>
              <w:tc>
                <w:tcPr>
                  <w:tcW w:w="99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特别排放限值</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限值含义</w:t>
                  </w:r>
                </w:p>
              </w:tc>
              <w:tc>
                <w:tcPr>
                  <w:tcW w:w="2303"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无组织排放监控位置</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539" w:hRule="atLeast"/>
                <w:jc w:val="center"/>
              </w:trPr>
              <w:tc>
                <w:tcPr>
                  <w:tcW w:w="1447"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NMHC</w:t>
                  </w:r>
                </w:p>
              </w:tc>
              <w:tc>
                <w:tcPr>
                  <w:tcW w:w="114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99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监控点处1h平均浓度值</w:t>
                  </w:r>
                </w:p>
              </w:tc>
              <w:tc>
                <w:tcPr>
                  <w:tcW w:w="2303"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在厂界外设置监控点</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539" w:hRule="atLeast"/>
                <w:jc w:val="center"/>
              </w:trPr>
              <w:tc>
                <w:tcPr>
                  <w:tcW w:w="1447"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4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99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9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监控点处任意一次浓度值</w:t>
                  </w:r>
                </w:p>
              </w:tc>
              <w:tc>
                <w:tcPr>
                  <w:tcW w:w="2303" w:type="dxa"/>
                  <w:vMerge w:val="continue"/>
                  <w:vAlign w:val="center"/>
                </w:tcPr>
                <w:p>
                  <w:pPr>
                    <w:adjustRightInd w:val="0"/>
                    <w:snapToGrid w:val="0"/>
                    <w:jc w:val="center"/>
                    <w:rPr>
                      <w:color w:val="000000" w:themeColor="text1"/>
                      <w:szCs w:val="21"/>
                      <w14:textFill>
                        <w14:solidFill>
                          <w14:schemeClr w14:val="tx1"/>
                        </w14:solidFill>
                      </w14:textFill>
                    </w:rPr>
                  </w:pPr>
                </w:p>
              </w:tc>
            </w:tr>
          </w:tbl>
          <w:p>
            <w:pPr>
              <w:snapToGrid w:val="0"/>
              <w:spacing w:line="360" w:lineRule="auto"/>
              <w:ind w:firstLine="480" w:firstLineChars="200"/>
              <w:outlineLvl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（3）噪声</w:t>
            </w:r>
          </w:p>
          <w:p>
            <w:pPr>
              <w:pStyle w:val="154"/>
              <w:rPr>
                <w:bCs/>
                <w:snapToGrid w:val="0"/>
                <w:color w:val="000000" w:themeColor="text1"/>
                <w:szCs w:val="21"/>
                <w14:textFill>
                  <w14:solidFill>
                    <w14:schemeClr w14:val="tx1"/>
                  </w14:solidFill>
                </w14:textFill>
              </w:rPr>
            </w:pPr>
            <w:r>
              <w:rPr>
                <w:rFonts w:hint="eastAsia"/>
                <w:bCs/>
                <w:snapToGrid w:val="0"/>
                <w:color w:val="000000" w:themeColor="text1"/>
                <w:szCs w:val="21"/>
                <w14:textFill>
                  <w14:solidFill>
                    <w14:schemeClr w14:val="tx1"/>
                  </w14:solidFill>
                </w14:textFill>
              </w:rPr>
              <w:t>营运期厂界噪声执行《工业企业厂界环境噪声排放标准》（GB12348-2008）3类标准。厂界噪声执行标准详见表3-</w:t>
            </w:r>
            <w:r>
              <w:rPr>
                <w:bCs/>
                <w:snapToGrid w:val="0"/>
                <w:color w:val="000000" w:themeColor="text1"/>
                <w:szCs w:val="21"/>
                <w14:textFill>
                  <w14:solidFill>
                    <w14:schemeClr w14:val="tx1"/>
                  </w14:solidFill>
                </w14:textFill>
              </w:rPr>
              <w:t>8</w:t>
            </w:r>
            <w:r>
              <w:rPr>
                <w:rFonts w:hint="eastAsia"/>
                <w:bCs/>
                <w:snapToGrid w:val="0"/>
                <w:color w:val="000000" w:themeColor="text1"/>
                <w:szCs w:val="21"/>
                <w14:textFill>
                  <w14:solidFill>
                    <w14:schemeClr w14:val="tx1"/>
                  </w14:solidFill>
                </w14:textFill>
              </w:rPr>
              <w:t>。</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表3-8 厂界噪声排放标准（摘录）单位：dB（A）</w:t>
            </w:r>
          </w:p>
          <w:tbl>
            <w:tblPr>
              <w:tblStyle w:val="33"/>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5694"/>
              <w:gridCol w:w="582"/>
              <w:gridCol w:w="5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评价时段</w:t>
                  </w:r>
                </w:p>
              </w:tc>
              <w:tc>
                <w:tcPr>
                  <w:tcW w:w="3642"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标准</w:t>
                  </w:r>
                </w:p>
              </w:tc>
              <w:tc>
                <w:tcPr>
                  <w:tcW w:w="372"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昼间</w:t>
                  </w:r>
                </w:p>
              </w:tc>
              <w:tc>
                <w:tcPr>
                  <w:tcW w:w="335"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运营期</w:t>
                  </w:r>
                </w:p>
              </w:tc>
              <w:tc>
                <w:tcPr>
                  <w:tcW w:w="3642"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《工业企业厂界环境噪声排放标准》（</w:t>
                  </w:r>
                  <w:r>
                    <w:rPr>
                      <w:bCs/>
                      <w:color w:val="000000" w:themeColor="text1"/>
                      <w14:textFill>
                        <w14:solidFill>
                          <w14:schemeClr w14:val="tx1"/>
                        </w14:solidFill>
                      </w14:textFill>
                    </w:rPr>
                    <w:t>GB12348-2008</w:t>
                  </w:r>
                  <w:r>
                    <w:rPr>
                      <w:rFonts w:hint="eastAsia"/>
                      <w:bCs/>
                      <w:color w:val="000000" w:themeColor="text1"/>
                      <w14:textFill>
                        <w14:solidFill>
                          <w14:schemeClr w14:val="tx1"/>
                        </w14:solidFill>
                      </w14:textFill>
                    </w:rPr>
                    <w:t>）3</w:t>
                  </w:r>
                  <w:r>
                    <w:rPr>
                      <w:bCs/>
                      <w:color w:val="000000" w:themeColor="text1"/>
                      <w14:textFill>
                        <w14:solidFill>
                          <w14:schemeClr w14:val="tx1"/>
                        </w14:solidFill>
                      </w14:textFill>
                    </w:rPr>
                    <w:t>类标准</w:t>
                  </w:r>
                </w:p>
              </w:tc>
              <w:tc>
                <w:tcPr>
                  <w:tcW w:w="372"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6</w:t>
                  </w:r>
                  <w:r>
                    <w:rPr>
                      <w:rFonts w:hint="eastAsia"/>
                      <w:bCs/>
                      <w:color w:val="000000" w:themeColor="text1"/>
                      <w14:textFill>
                        <w14:solidFill>
                          <w14:schemeClr w14:val="tx1"/>
                        </w14:solidFill>
                      </w14:textFill>
                    </w:rPr>
                    <w:t>5</w:t>
                  </w:r>
                </w:p>
              </w:tc>
              <w:tc>
                <w:tcPr>
                  <w:tcW w:w="335" w:type="pct"/>
                  <w:tcBorders>
                    <w:tl2br w:val="nil"/>
                    <w:tr2bl w:val="nil"/>
                  </w:tcBorders>
                  <w:vAlign w:val="center"/>
                </w:tcPr>
                <w:p>
                  <w:pPr>
                    <w:spacing w:line="340" w:lineRule="exact"/>
                    <w:jc w:val="center"/>
                    <w:rPr>
                      <w:bCs/>
                      <w:color w:val="000000" w:themeColor="text1"/>
                      <w14:textFill>
                        <w14:solidFill>
                          <w14:schemeClr w14:val="tx1"/>
                        </w14:solidFill>
                      </w14:textFill>
                    </w:rPr>
                  </w:pPr>
                  <w:r>
                    <w:rPr>
                      <w:bCs/>
                      <w:color w:val="000000" w:themeColor="text1"/>
                      <w14:textFill>
                        <w14:solidFill>
                          <w14:schemeClr w14:val="tx1"/>
                        </w14:solidFill>
                      </w14:textFill>
                    </w:rPr>
                    <w:t>5</w:t>
                  </w:r>
                  <w:r>
                    <w:rPr>
                      <w:rFonts w:hint="eastAsia"/>
                      <w:bCs/>
                      <w:color w:val="000000" w:themeColor="text1"/>
                      <w14:textFill>
                        <w14:solidFill>
                          <w14:schemeClr w14:val="tx1"/>
                        </w14:solidFill>
                      </w14:textFill>
                    </w:rPr>
                    <w:t>5</w:t>
                  </w:r>
                </w:p>
              </w:tc>
            </w:tr>
          </w:tbl>
          <w:p>
            <w:pPr>
              <w:snapToGrid w:val="0"/>
              <w:spacing w:line="360" w:lineRule="auto"/>
              <w:ind w:firstLine="480" w:firstLineChars="200"/>
              <w:outlineLvl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（4）固体废物</w:t>
            </w:r>
          </w:p>
          <w:p>
            <w:pPr>
              <w:adjustRightInd w:val="0"/>
              <w:snapToGrid w:val="0"/>
              <w:spacing w:line="360" w:lineRule="auto"/>
              <w:ind w:firstLine="480" w:firstLineChars="200"/>
              <w:rPr>
                <w:rFonts w:hint="eastAsia"/>
                <w:sz w:val="24"/>
                <w:lang w:val="zh-CN"/>
              </w:rPr>
            </w:pPr>
            <w:r>
              <w:rPr>
                <w:rFonts w:hint="eastAsia" w:ascii="宋体" w:hAnsi="宋体" w:cs="宋体"/>
                <w:color w:val="000000" w:themeColor="text1"/>
                <w:sz w:val="24"/>
                <w14:textFill>
                  <w14:solidFill>
                    <w14:schemeClr w14:val="tx1"/>
                  </w14:solidFill>
                </w14:textFill>
              </w:rPr>
              <w:t>一般工业固体废物贮存过程应满足相应</w:t>
            </w:r>
            <w:r>
              <w:rPr>
                <w:rFonts w:hint="eastAsia" w:ascii="宋体" w:hAnsi="宋体" w:cs="宋体"/>
                <w:sz w:val="24"/>
              </w:rPr>
              <w:t>防渗漏、防雨淋、防扬尘等环境保护要求；</w:t>
            </w:r>
            <w:r>
              <w:rPr>
                <w:rFonts w:hint="eastAsia"/>
                <w:sz w:val="24"/>
                <w:lang w:val="zh-CN"/>
              </w:rPr>
              <w:t>危险废物执行《危险废物贮存污染控制标准》(GB 18597—2023) 。</w:t>
            </w: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480" w:firstLineChars="200"/>
              <w:rPr>
                <w:rFonts w:hint="eastAsia"/>
                <w:sz w:val="24"/>
                <w:lang w:val="zh-CN"/>
              </w:rPr>
            </w:pPr>
          </w:p>
          <w:p>
            <w:pPr>
              <w:adjustRightInd w:val="0"/>
              <w:snapToGrid w:val="0"/>
              <w:spacing w:line="360" w:lineRule="auto"/>
              <w:rPr>
                <w:rFonts w:hint="eastAsia" w:ascii="宋体" w:hAnsi="宋体" w:eastAsia="宋体" w:cs="宋体"/>
                <w:color w:val="FF0000"/>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7"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总量</w:t>
            </w:r>
          </w:p>
          <w:p>
            <w:pPr>
              <w:adjustRightInd w:val="0"/>
              <w:snapToGrid w:val="0"/>
              <w:jc w:val="center"/>
              <w:rPr>
                <w:rFonts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color w:val="FF0000"/>
                <w:kern w:val="0"/>
                <w:szCs w:val="21"/>
              </w:rPr>
            </w:pPr>
            <w:r>
              <w:rPr>
                <w:rFonts w:hint="eastAsia" w:ascii="宋体" w:hAnsi="宋体" w:cs="宋体"/>
                <w:kern w:val="0"/>
                <w:szCs w:val="21"/>
              </w:rPr>
              <w:t>指标</w:t>
            </w:r>
          </w:p>
        </w:tc>
        <w:tc>
          <w:tcPr>
            <w:tcW w:w="8190" w:type="dxa"/>
            <w:vAlign w:val="center"/>
          </w:tcPr>
          <w:p>
            <w:pPr>
              <w:pStyle w:val="155"/>
              <w:tabs>
                <w:tab w:val="left" w:pos="2595"/>
              </w:tabs>
              <w:adjustRightInd/>
              <w:textAlignment w:val="auto"/>
              <w:rPr>
                <w:rFonts w:ascii="Times New Roman" w:hAnsi="Times New Roman"/>
                <w:szCs w:val="22"/>
              </w:rPr>
            </w:pPr>
            <w:r>
              <w:rPr>
                <w:rFonts w:ascii="Times New Roman" w:hAnsi="Times New Roman"/>
              </w:rPr>
              <w:t>根据《国务院关于印发“十</w:t>
            </w:r>
            <w:r>
              <w:rPr>
                <w:rFonts w:hint="eastAsia" w:ascii="Times New Roman" w:hAnsi="Times New Roman"/>
              </w:rPr>
              <w:t>四</w:t>
            </w:r>
            <w:r>
              <w:rPr>
                <w:rFonts w:ascii="Times New Roman" w:hAnsi="Times New Roman"/>
              </w:rPr>
              <w:t>五”节能减排综合工作方案的通知》</w:t>
            </w:r>
            <w:r>
              <w:rPr>
                <w:rFonts w:hint="eastAsia" w:ascii="Times New Roman" w:hAnsi="Times New Roman"/>
              </w:rPr>
              <w:t>（</w:t>
            </w:r>
            <w:r>
              <w:rPr>
                <w:rFonts w:ascii="Times New Roman" w:hAnsi="Times New Roman"/>
              </w:rPr>
              <w:t>国发</w:t>
            </w:r>
            <w:r>
              <w:rPr>
                <w:rFonts w:hint="eastAsia"/>
              </w:rPr>
              <w:t>〔</w:t>
            </w:r>
            <w:r>
              <w:rPr>
                <w:rFonts w:hint="eastAsia" w:ascii="Times New Roman" w:hAnsi="Times New Roman"/>
              </w:rPr>
              <w:t>2021</w:t>
            </w:r>
            <w:r>
              <w:rPr>
                <w:rFonts w:hint="eastAsia"/>
              </w:rPr>
              <w:t>〕</w:t>
            </w:r>
            <w:r>
              <w:rPr>
                <w:rFonts w:hint="eastAsia" w:ascii="Times New Roman" w:hAnsi="Times New Roman"/>
              </w:rPr>
              <w:t>33</w:t>
            </w:r>
            <w:r>
              <w:rPr>
                <w:rFonts w:ascii="Times New Roman" w:hAnsi="Times New Roman"/>
              </w:rPr>
              <w:t>号</w:t>
            </w:r>
            <w:r>
              <w:rPr>
                <w:rFonts w:hint="eastAsia" w:ascii="Times New Roman" w:hAnsi="Times New Roman"/>
              </w:rPr>
              <w:t>）</w:t>
            </w:r>
            <w:r>
              <w:rPr>
                <w:rFonts w:ascii="Times New Roman" w:hAnsi="Times New Roman"/>
              </w:rPr>
              <w:t>，“十</w:t>
            </w:r>
            <w:r>
              <w:rPr>
                <w:rFonts w:hint="eastAsia" w:ascii="Times New Roman" w:hAnsi="Times New Roman"/>
              </w:rPr>
              <w:t>四</w:t>
            </w:r>
            <w:r>
              <w:rPr>
                <w:rFonts w:ascii="Times New Roman" w:hAnsi="Times New Roman"/>
              </w:rPr>
              <w:t>五”期间，国家对COD、NH</w:t>
            </w:r>
            <w:r>
              <w:rPr>
                <w:rFonts w:ascii="Times New Roman" w:hAnsi="Times New Roman"/>
                <w:vertAlign w:val="subscript"/>
              </w:rPr>
              <w:t>3</w:t>
            </w:r>
            <w:r>
              <w:rPr>
                <w:rFonts w:ascii="Times New Roman" w:hAnsi="Times New Roman"/>
              </w:rPr>
              <w:t>-N</w:t>
            </w:r>
            <w:r>
              <w:rPr>
                <w:rFonts w:hint="eastAsia"/>
              </w:rPr>
              <w:t>、挥发性有机物</w:t>
            </w:r>
            <w:r>
              <w:rPr>
                <w:rFonts w:ascii="Times New Roman" w:hAnsi="Times New Roman"/>
              </w:rPr>
              <w:t>及NOx四种污染物排放实行</w:t>
            </w:r>
            <w:r>
              <w:rPr>
                <w:rFonts w:hint="eastAsia" w:ascii="Times New Roman" w:hAnsi="Times New Roman"/>
              </w:rPr>
              <w:t>协同减排和协同控制</w:t>
            </w:r>
            <w:r>
              <w:rPr>
                <w:rFonts w:ascii="Times New Roman" w:hAnsi="Times New Roman"/>
              </w:rPr>
              <w:t>。</w:t>
            </w:r>
          </w:p>
          <w:p>
            <w:pPr>
              <w:spacing w:line="360" w:lineRule="auto"/>
              <w:ind w:firstLine="480" w:firstLineChars="200"/>
              <w:rPr>
                <w:sz w:val="24"/>
              </w:rPr>
            </w:pPr>
            <w:r>
              <w:rPr>
                <w:rFonts w:hint="eastAsia"/>
                <w:sz w:val="24"/>
              </w:rPr>
              <w:t>项目外排废水主要为生活污水</w:t>
            </w:r>
            <w:r>
              <w:rPr>
                <w:bCs/>
                <w:sz w:val="24"/>
              </w:rPr>
              <w:t>，</w:t>
            </w:r>
            <w:r>
              <w:rPr>
                <w:rFonts w:hint="eastAsia"/>
                <w:bCs/>
                <w:sz w:val="24"/>
              </w:rPr>
              <w:t>生活污水经厂内化粪池预处理</w:t>
            </w:r>
            <w:r>
              <w:rPr>
                <w:rFonts w:hint="eastAsia"/>
                <w:bCs/>
                <w:sz w:val="24"/>
                <w:lang w:eastAsia="zh-CN"/>
              </w:rPr>
              <w:t>达</w:t>
            </w:r>
            <w:r>
              <w:rPr>
                <w:rFonts w:hint="eastAsia"/>
                <w:sz w:val="24"/>
              </w:rPr>
              <w:t>江西余干工业园区（黄金埠）污水处理厂纳管标准</w:t>
            </w:r>
            <w:r>
              <w:rPr>
                <w:rFonts w:hint="eastAsia"/>
                <w:sz w:val="24"/>
                <w:lang w:eastAsia="zh-CN"/>
              </w:rPr>
              <w:t>（</w:t>
            </w:r>
            <w:r>
              <w:rPr>
                <w:rFonts w:hint="eastAsia"/>
                <w:sz w:val="24"/>
              </w:rPr>
              <w:t>氨氮执行《污水排入城镇下水道水质标准》（GB/T31962-2015）中B级标准</w:t>
            </w:r>
            <w:r>
              <w:rPr>
                <w:rFonts w:hint="eastAsia"/>
                <w:sz w:val="24"/>
                <w:lang w:eastAsia="zh-CN"/>
              </w:rPr>
              <w:t>）后</w:t>
            </w:r>
            <w:r>
              <w:rPr>
                <w:rFonts w:hint="eastAsia"/>
                <w:bCs/>
                <w:sz w:val="24"/>
              </w:rPr>
              <w:t>进入园区污水管网，</w:t>
            </w:r>
            <w:r>
              <w:rPr>
                <w:rFonts w:hint="eastAsia"/>
                <w:bCs/>
                <w:sz w:val="24"/>
                <w:lang w:eastAsia="zh-CN"/>
              </w:rPr>
              <w:t>由</w:t>
            </w:r>
            <w:r>
              <w:rPr>
                <w:rFonts w:hint="eastAsia"/>
                <w:bCs/>
                <w:sz w:val="24"/>
              </w:rPr>
              <w:t>江西余干工业园区（黄金埠）污水处理厂进行深度处理，</w:t>
            </w:r>
            <w:r>
              <w:rPr>
                <w:rFonts w:hint="eastAsia"/>
                <w:bCs/>
                <w:sz w:val="24"/>
                <w:lang w:eastAsia="zh-CN"/>
              </w:rPr>
              <w:t>处理</w:t>
            </w:r>
            <w:r>
              <w:rPr>
                <w:rFonts w:hint="eastAsia"/>
                <w:bCs/>
                <w:sz w:val="24"/>
              </w:rPr>
              <w:t>达《城镇污水处理厂污染物排放标准》（GB18918-2002）一级B标准后排入信江</w:t>
            </w:r>
            <w:r>
              <w:rPr>
                <w:bCs/>
                <w:sz w:val="24"/>
              </w:rPr>
              <w:t>。</w:t>
            </w:r>
            <w:r>
              <w:rPr>
                <w:rFonts w:hAnsi="宋体"/>
                <w:color w:val="000000"/>
                <w:sz w:val="24"/>
              </w:rPr>
              <w:t>废水污染</w:t>
            </w:r>
            <w:r>
              <w:rPr>
                <w:rFonts w:hint="eastAsia" w:hAnsi="宋体"/>
                <w:color w:val="000000"/>
                <w:sz w:val="24"/>
              </w:rPr>
              <w:t>物</w:t>
            </w:r>
            <w:r>
              <w:rPr>
                <w:rFonts w:hAnsi="宋体"/>
                <w:color w:val="000000"/>
                <w:sz w:val="24"/>
              </w:rPr>
              <w:t>排放的总量已纳入</w:t>
            </w:r>
            <w:r>
              <w:rPr>
                <w:rFonts w:hint="eastAsia"/>
                <w:bCs/>
                <w:sz w:val="24"/>
              </w:rPr>
              <w:t>江西余干工业园区（黄金埠）污水处理厂</w:t>
            </w:r>
            <w:r>
              <w:rPr>
                <w:rFonts w:hAnsi="宋体"/>
                <w:color w:val="000000"/>
                <w:sz w:val="24"/>
              </w:rPr>
              <w:t>的总量指标内，本项目不再另行申报</w:t>
            </w:r>
            <w:r>
              <w:rPr>
                <w:rFonts w:hint="eastAsia" w:ascii="宋体" w:hAnsi="宋体" w:cs="宋体"/>
                <w:color w:val="000000"/>
                <w:sz w:val="24"/>
              </w:rPr>
              <w:t>，项目不涉及水污染物总量控制指标问题。</w:t>
            </w:r>
          </w:p>
          <w:p>
            <w:pPr>
              <w:adjustRightInd w:val="0"/>
              <w:snapToGrid w:val="0"/>
              <w:spacing w:line="360" w:lineRule="auto"/>
              <w:ind w:firstLine="480" w:firstLineChars="200"/>
              <w:rPr>
                <w:sz w:val="24"/>
              </w:rPr>
            </w:pPr>
            <w:r>
              <w:rPr>
                <w:rFonts w:hint="eastAsia"/>
                <w:sz w:val="24"/>
              </w:rPr>
              <w:t>本次</w:t>
            </w:r>
            <w:r>
              <w:rPr>
                <w:sz w:val="24"/>
              </w:rPr>
              <w:t>项目</w:t>
            </w:r>
            <w:r>
              <w:rPr>
                <w:rFonts w:hint="eastAsia"/>
                <w:sz w:val="24"/>
                <w:lang w:eastAsia="zh-CN"/>
              </w:rPr>
              <w:t>变动后</w:t>
            </w:r>
            <w:r>
              <w:rPr>
                <w:sz w:val="24"/>
              </w:rPr>
              <w:t>全厂废水排放量为</w:t>
            </w:r>
            <w:r>
              <w:rPr>
                <w:rFonts w:hint="eastAsia"/>
                <w:sz w:val="24"/>
              </w:rPr>
              <w:t>1200</w:t>
            </w:r>
            <w:r>
              <w:rPr>
                <w:sz w:val="24"/>
              </w:rPr>
              <w:t>m</w:t>
            </w:r>
            <w:r>
              <w:rPr>
                <w:sz w:val="24"/>
                <w:vertAlign w:val="superscript"/>
              </w:rPr>
              <w:t>3</w:t>
            </w:r>
            <w:r>
              <w:rPr>
                <w:sz w:val="24"/>
              </w:rPr>
              <w:t>/a。</w:t>
            </w:r>
          </w:p>
          <w:p>
            <w:pPr>
              <w:adjustRightInd w:val="0"/>
              <w:snapToGrid w:val="0"/>
              <w:spacing w:line="360" w:lineRule="auto"/>
              <w:ind w:firstLine="480" w:firstLineChars="200"/>
              <w:rPr>
                <w:rFonts w:hint="eastAsia" w:eastAsia="宋体"/>
                <w:color w:val="0000FF"/>
                <w:sz w:val="24"/>
                <w:lang w:eastAsia="zh-CN"/>
              </w:rPr>
            </w:pPr>
            <w:r>
              <w:rPr>
                <w:rFonts w:hint="eastAsia"/>
                <w:color w:val="0000FF"/>
                <w:sz w:val="24"/>
              </w:rPr>
              <w:t>考核量</w:t>
            </w:r>
            <w:r>
              <w:rPr>
                <w:rFonts w:hint="eastAsia"/>
                <w:color w:val="0000FF"/>
                <w:sz w:val="24"/>
                <w:lang w:eastAsia="zh-CN"/>
              </w:rPr>
              <w:t>：</w:t>
            </w:r>
          </w:p>
          <w:p>
            <w:pPr>
              <w:adjustRightInd w:val="0"/>
              <w:snapToGrid w:val="0"/>
              <w:spacing w:line="360" w:lineRule="auto"/>
              <w:ind w:firstLine="480" w:firstLineChars="200"/>
              <w:rPr>
                <w:rFonts w:hint="eastAsia"/>
                <w:color w:val="0000FF"/>
                <w:sz w:val="24"/>
              </w:rPr>
            </w:pPr>
            <w:r>
              <w:rPr>
                <w:rFonts w:hint="eastAsia"/>
                <w:color w:val="0000FF"/>
                <w:sz w:val="24"/>
              </w:rPr>
              <w:t>出水标准按照</w:t>
            </w:r>
            <w:r>
              <w:rPr>
                <w:rFonts w:hint="eastAsia"/>
                <w:color w:val="0000FF"/>
                <w:sz w:val="24"/>
                <w:lang w:eastAsia="zh-CN"/>
              </w:rPr>
              <w:t>项目厂区生活污水排放浓度</w:t>
            </w:r>
            <w:r>
              <w:rPr>
                <w:rFonts w:hint="eastAsia"/>
                <w:color w:val="0000FF"/>
                <w:sz w:val="24"/>
              </w:rPr>
              <w:t>计，COD</w:t>
            </w:r>
            <w:r>
              <w:rPr>
                <w:rFonts w:hint="eastAsia"/>
                <w:color w:val="0000FF"/>
                <w:sz w:val="24"/>
                <w:lang w:eastAsia="zh-CN"/>
              </w:rPr>
              <w:t>：</w:t>
            </w:r>
            <w:r>
              <w:rPr>
                <w:rFonts w:hint="eastAsia"/>
                <w:color w:val="0000FF"/>
                <w:sz w:val="24"/>
                <w:lang w:val="en-US" w:eastAsia="zh-CN"/>
              </w:rPr>
              <w:t>200</w:t>
            </w:r>
            <w:r>
              <w:rPr>
                <w:rFonts w:hint="eastAsia"/>
                <w:color w:val="0000FF"/>
                <w:sz w:val="24"/>
              </w:rPr>
              <w:t>mg/L</w:t>
            </w:r>
            <w:r>
              <w:rPr>
                <w:rFonts w:hint="eastAsia"/>
                <w:color w:val="0000FF"/>
                <w:sz w:val="24"/>
                <w:lang w:eastAsia="zh-CN"/>
              </w:rPr>
              <w:t>；</w:t>
            </w:r>
            <w:r>
              <w:rPr>
                <w:rFonts w:hint="eastAsia"/>
                <w:color w:val="0000FF"/>
                <w:sz w:val="24"/>
              </w:rPr>
              <w:t>NH</w:t>
            </w:r>
            <w:r>
              <w:rPr>
                <w:rFonts w:hint="eastAsia"/>
                <w:color w:val="0000FF"/>
                <w:sz w:val="24"/>
                <w:vertAlign w:val="subscript"/>
              </w:rPr>
              <w:t>3</w:t>
            </w:r>
            <w:r>
              <w:rPr>
                <w:rFonts w:hint="eastAsia"/>
                <w:color w:val="0000FF"/>
                <w:sz w:val="24"/>
                <w:lang w:eastAsia="zh-CN"/>
              </w:rPr>
              <w:t>：</w:t>
            </w:r>
            <w:r>
              <w:rPr>
                <w:rFonts w:hint="eastAsia"/>
                <w:color w:val="0000FF"/>
                <w:sz w:val="24"/>
                <w:lang w:val="en-US" w:eastAsia="zh-CN"/>
              </w:rPr>
              <w:t>25</w:t>
            </w:r>
            <w:r>
              <w:rPr>
                <w:rFonts w:hint="eastAsia"/>
                <w:color w:val="0000FF"/>
                <w:sz w:val="24"/>
              </w:rPr>
              <w:t>mg/L</w:t>
            </w:r>
          </w:p>
          <w:p>
            <w:pPr>
              <w:adjustRightInd w:val="0"/>
              <w:snapToGrid w:val="0"/>
              <w:spacing w:line="360" w:lineRule="auto"/>
              <w:ind w:firstLine="480" w:firstLineChars="200"/>
              <w:rPr>
                <w:rFonts w:hint="eastAsia" w:eastAsia="宋体"/>
                <w:color w:val="0000FF"/>
                <w:sz w:val="24"/>
                <w:lang w:eastAsia="zh-CN"/>
              </w:rPr>
            </w:pPr>
            <w:r>
              <w:rPr>
                <w:rFonts w:hint="eastAsia"/>
                <w:color w:val="0000FF"/>
                <w:sz w:val="24"/>
              </w:rPr>
              <w:t>CODcr的总量:</w:t>
            </w:r>
            <w:r>
              <w:rPr>
                <w:rFonts w:hint="eastAsia"/>
                <w:color w:val="0000FF"/>
                <w:sz w:val="24"/>
                <w:lang w:val="en-US" w:eastAsia="zh-CN"/>
              </w:rPr>
              <w:t>200</w:t>
            </w:r>
            <w:r>
              <w:rPr>
                <w:rFonts w:hint="eastAsia"/>
                <w:color w:val="0000FF"/>
                <w:sz w:val="24"/>
              </w:rPr>
              <w:t>x</w:t>
            </w:r>
            <w:r>
              <w:rPr>
                <w:rFonts w:hint="eastAsia"/>
                <w:color w:val="0000FF"/>
                <w:sz w:val="24"/>
                <w:lang w:val="en-US" w:eastAsia="zh-CN"/>
              </w:rPr>
              <w:t>1200</w:t>
            </w:r>
            <w:r>
              <w:rPr>
                <w:rFonts w:hint="eastAsia"/>
                <w:color w:val="0000FF"/>
                <w:sz w:val="24"/>
              </w:rPr>
              <w:t>x10</w:t>
            </w:r>
            <w:r>
              <w:rPr>
                <w:rFonts w:hint="eastAsia"/>
                <w:color w:val="0000FF"/>
                <w:sz w:val="24"/>
                <w:vertAlign w:val="superscript"/>
              </w:rPr>
              <w:t>-6</w:t>
            </w:r>
            <w:r>
              <w:rPr>
                <w:rFonts w:hint="eastAsia"/>
                <w:color w:val="0000FF"/>
                <w:sz w:val="24"/>
              </w:rPr>
              <w:t>=0.</w:t>
            </w:r>
            <w:r>
              <w:rPr>
                <w:rFonts w:hint="eastAsia"/>
                <w:color w:val="0000FF"/>
                <w:sz w:val="24"/>
                <w:lang w:val="en-US" w:eastAsia="zh-CN"/>
              </w:rPr>
              <w:t>24</w:t>
            </w:r>
            <w:r>
              <w:rPr>
                <w:rFonts w:hint="eastAsia"/>
                <w:color w:val="0000FF"/>
                <w:sz w:val="24"/>
              </w:rPr>
              <w:t>t/a</w:t>
            </w:r>
            <w:r>
              <w:rPr>
                <w:rFonts w:hint="eastAsia"/>
                <w:color w:val="0000FF"/>
                <w:sz w:val="24"/>
                <w:lang w:eastAsia="zh-CN"/>
              </w:rPr>
              <w:t>；</w:t>
            </w:r>
          </w:p>
          <w:p>
            <w:pPr>
              <w:adjustRightInd w:val="0"/>
              <w:snapToGrid w:val="0"/>
              <w:spacing w:line="360" w:lineRule="auto"/>
              <w:ind w:firstLine="480" w:firstLineChars="200"/>
              <w:rPr>
                <w:rFonts w:hint="eastAsia" w:eastAsia="宋体"/>
                <w:color w:val="0000FF"/>
                <w:sz w:val="24"/>
                <w:lang w:eastAsia="zh-CN"/>
              </w:rPr>
            </w:pPr>
            <w:r>
              <w:rPr>
                <w:rFonts w:hint="eastAsia"/>
                <w:color w:val="0000FF"/>
                <w:sz w:val="24"/>
              </w:rPr>
              <w:t>NH</w:t>
            </w:r>
            <w:r>
              <w:rPr>
                <w:rFonts w:hint="eastAsia"/>
                <w:color w:val="0000FF"/>
                <w:sz w:val="24"/>
                <w:vertAlign w:val="subscript"/>
              </w:rPr>
              <w:t>3</w:t>
            </w:r>
            <w:r>
              <w:rPr>
                <w:rFonts w:hint="eastAsia"/>
                <w:color w:val="0000FF"/>
                <w:sz w:val="24"/>
              </w:rPr>
              <w:t>-N的总量:</w:t>
            </w:r>
            <w:r>
              <w:rPr>
                <w:rFonts w:hint="eastAsia"/>
                <w:color w:val="0000FF"/>
                <w:sz w:val="24"/>
                <w:lang w:val="en-US" w:eastAsia="zh-CN"/>
              </w:rPr>
              <w:t>25</w:t>
            </w:r>
            <w:r>
              <w:rPr>
                <w:rFonts w:hint="eastAsia"/>
                <w:color w:val="0000FF"/>
                <w:sz w:val="24"/>
              </w:rPr>
              <w:t>x</w:t>
            </w:r>
            <w:r>
              <w:rPr>
                <w:rFonts w:hint="eastAsia"/>
                <w:color w:val="0000FF"/>
                <w:sz w:val="24"/>
                <w:lang w:val="en-US" w:eastAsia="zh-CN"/>
              </w:rPr>
              <w:t>1200</w:t>
            </w:r>
            <w:r>
              <w:rPr>
                <w:rFonts w:hint="eastAsia"/>
                <w:color w:val="0000FF"/>
                <w:sz w:val="24"/>
              </w:rPr>
              <w:t>x10</w:t>
            </w:r>
            <w:r>
              <w:rPr>
                <w:rFonts w:hint="eastAsia"/>
                <w:color w:val="0000FF"/>
                <w:sz w:val="24"/>
                <w:vertAlign w:val="superscript"/>
              </w:rPr>
              <w:t>-6</w:t>
            </w:r>
            <w:r>
              <w:rPr>
                <w:rFonts w:hint="eastAsia"/>
                <w:color w:val="0000FF"/>
                <w:sz w:val="24"/>
              </w:rPr>
              <w:t>=0.</w:t>
            </w:r>
            <w:r>
              <w:rPr>
                <w:rFonts w:hint="eastAsia"/>
                <w:color w:val="0000FF"/>
                <w:sz w:val="24"/>
                <w:lang w:val="en-US" w:eastAsia="zh-CN"/>
              </w:rPr>
              <w:t>03</w:t>
            </w:r>
            <w:r>
              <w:rPr>
                <w:rFonts w:hint="eastAsia"/>
                <w:color w:val="0000FF"/>
                <w:sz w:val="24"/>
              </w:rPr>
              <w:t>t/a</w:t>
            </w:r>
            <w:r>
              <w:rPr>
                <w:rFonts w:hint="eastAsia"/>
                <w:color w:val="0000FF"/>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4"/>
              </w:rPr>
            </w:pPr>
            <w:r>
              <w:rPr>
                <w:color w:val="0000FF"/>
                <w:sz w:val="24"/>
              </w:rPr>
              <w:t>本项目建议废水主要污染物</w:t>
            </w:r>
            <w:r>
              <w:rPr>
                <w:rFonts w:hint="eastAsia"/>
                <w:color w:val="0000FF"/>
                <w:sz w:val="24"/>
                <w:lang w:eastAsia="zh-CN"/>
              </w:rPr>
              <w:t>考核</w:t>
            </w:r>
            <w:r>
              <w:rPr>
                <w:color w:val="0000FF"/>
                <w:sz w:val="24"/>
              </w:rPr>
              <w:t>指标为：CODcr：</w:t>
            </w:r>
            <w:r>
              <w:rPr>
                <w:rFonts w:hint="eastAsia"/>
                <w:color w:val="0000FF"/>
                <w:sz w:val="24"/>
                <w:lang w:val="en-US" w:eastAsia="zh-CN"/>
              </w:rPr>
              <w:t>0.24</w:t>
            </w:r>
            <w:r>
              <w:rPr>
                <w:color w:val="0000FF"/>
                <w:sz w:val="24"/>
              </w:rPr>
              <w:t>t/a，NH</w:t>
            </w:r>
            <w:r>
              <w:rPr>
                <w:color w:val="0000FF"/>
                <w:sz w:val="24"/>
                <w:vertAlign w:val="subscript"/>
              </w:rPr>
              <w:t>3</w:t>
            </w:r>
            <w:r>
              <w:rPr>
                <w:color w:val="0000FF"/>
                <w:sz w:val="24"/>
              </w:rPr>
              <w:t>-N：0.</w:t>
            </w:r>
            <w:r>
              <w:rPr>
                <w:rFonts w:hint="eastAsia"/>
                <w:color w:val="0000FF"/>
                <w:sz w:val="24"/>
                <w:lang w:val="en-US" w:eastAsia="zh-CN"/>
              </w:rPr>
              <w:t>03</w:t>
            </w:r>
            <w:r>
              <w:rPr>
                <w:color w:val="0000FF"/>
                <w:sz w:val="24"/>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olor w:val="000000"/>
                <w:sz w:val="24"/>
              </w:rPr>
            </w:pPr>
            <w:r>
              <w:rPr>
                <w:color w:val="000000"/>
                <w:sz w:val="24"/>
              </w:rPr>
              <w:t>控制指标：</w:t>
            </w:r>
            <w:r>
              <w:rPr>
                <w:rFonts w:hint="eastAsia"/>
                <w:color w:val="000000"/>
                <w:sz w:val="24"/>
              </w:rPr>
              <w:t>本项目需对</w:t>
            </w:r>
            <w:r>
              <w:rPr>
                <w:rFonts w:hint="eastAsia"/>
                <w:color w:val="000000"/>
                <w:sz w:val="24"/>
                <w:lang w:eastAsia="zh-CN"/>
              </w:rPr>
              <w:t>有机</w:t>
            </w:r>
            <w:r>
              <w:rPr>
                <w:rFonts w:hint="eastAsia"/>
                <w:color w:val="000000"/>
                <w:sz w:val="24"/>
              </w:rPr>
              <w:t>废气排放量进行总量控制，具体包括：UV滚涂工序有机废气0.0583t/a</w:t>
            </w:r>
            <w:r>
              <w:rPr>
                <w:rFonts w:hint="eastAsia"/>
                <w:color w:val="000000"/>
                <w:sz w:val="24"/>
                <w:lang w:eastAsia="zh-CN"/>
              </w:rPr>
              <w:t>、拼板废气0.004t/a、喷漆车间有机废气</w:t>
            </w:r>
            <w:r>
              <w:rPr>
                <w:rFonts w:hint="eastAsia"/>
                <w:color w:val="000000"/>
                <w:sz w:val="24"/>
                <w:lang w:val="en-US" w:eastAsia="zh-CN"/>
              </w:rPr>
              <w:t>1.907</w:t>
            </w:r>
            <w:r>
              <w:rPr>
                <w:rFonts w:hint="eastAsia"/>
                <w:color w:val="000000"/>
                <w:sz w:val="24"/>
                <w:lang w:eastAsia="zh-CN"/>
              </w:rPr>
              <w:t>t/a（有组织</w:t>
            </w:r>
            <w:r>
              <w:rPr>
                <w:rFonts w:hint="eastAsia"/>
                <w:color w:val="000000"/>
                <w:sz w:val="24"/>
                <w:lang w:val="en-US" w:eastAsia="zh-CN"/>
              </w:rPr>
              <w:t>1.56</w:t>
            </w:r>
            <w:r>
              <w:rPr>
                <w:rFonts w:hint="eastAsia"/>
                <w:color w:val="000000"/>
                <w:sz w:val="24"/>
              </w:rPr>
              <w:t>t</w:t>
            </w:r>
            <w:r>
              <w:rPr>
                <w:color w:val="000000"/>
                <w:sz w:val="24"/>
              </w:rPr>
              <w:t>/a</w:t>
            </w:r>
            <w:r>
              <w:rPr>
                <w:rFonts w:hint="eastAsia"/>
                <w:color w:val="000000"/>
                <w:sz w:val="24"/>
                <w:lang w:val="en-US" w:eastAsia="zh-CN"/>
              </w:rPr>
              <w:t>+无组织0.347</w:t>
            </w:r>
            <w:r>
              <w:rPr>
                <w:rFonts w:hint="eastAsia"/>
                <w:color w:val="000000"/>
                <w:sz w:val="24"/>
              </w:rPr>
              <w:t>t</w:t>
            </w:r>
            <w:r>
              <w:rPr>
                <w:color w:val="000000"/>
                <w:sz w:val="24"/>
              </w:rPr>
              <w:t>/a</w:t>
            </w:r>
            <w:r>
              <w:rPr>
                <w:rFonts w:hint="eastAsia"/>
                <w:color w:val="000000"/>
                <w:sz w:val="24"/>
                <w:lang w:eastAsia="zh-CN"/>
              </w:rPr>
              <w:t>）</w:t>
            </w:r>
            <w:r>
              <w:rPr>
                <w:rFonts w:hint="eastAsia"/>
                <w:color w:val="00000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rPr>
            </w:pPr>
            <w:r>
              <w:rPr>
                <w:rFonts w:hint="eastAsia" w:hAnsi="宋体"/>
                <w:color w:val="000000"/>
                <w:kern w:val="21"/>
                <w:sz w:val="24"/>
              </w:rPr>
              <w:t>故本项目挥发性有机废气总量控制指标</w:t>
            </w:r>
            <w:r>
              <w:rPr>
                <w:color w:val="000000"/>
                <w:sz w:val="24"/>
              </w:rPr>
              <w:t>：</w:t>
            </w:r>
            <w:r>
              <w:rPr>
                <w:rFonts w:hint="eastAsia"/>
                <w:color w:val="000000"/>
                <w:sz w:val="24"/>
                <w:lang w:val="en-US" w:eastAsia="zh-CN"/>
              </w:rPr>
              <w:t>1.9693</w:t>
            </w:r>
            <w:r>
              <w:rPr>
                <w:rFonts w:hint="eastAsia"/>
                <w:color w:val="000000"/>
                <w:sz w:val="24"/>
              </w:rPr>
              <w:t>t</w:t>
            </w:r>
            <w:r>
              <w:rPr>
                <w:color w:val="000000"/>
                <w:sz w:val="24"/>
              </w:rPr>
              <w:t>/a</w:t>
            </w:r>
            <w:r>
              <w:rPr>
                <w:rFonts w:hint="eastAsia"/>
                <w:color w:val="000000"/>
                <w:sz w:val="24"/>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hAnsi="宋体"/>
                <w:color w:val="0000FF"/>
                <w:kern w:val="21"/>
                <w:sz w:val="24"/>
                <w:lang w:eastAsia="zh-CN"/>
              </w:rPr>
            </w:pPr>
            <w:r>
              <w:rPr>
                <w:rFonts w:hint="eastAsia"/>
                <w:color w:val="0000FF"/>
                <w:sz w:val="24"/>
                <w:lang w:eastAsia="zh-CN"/>
              </w:rPr>
              <w:t>现有项目未设置总量控制，故本项目变动后需设置的</w:t>
            </w:r>
            <w:r>
              <w:rPr>
                <w:rFonts w:hint="eastAsia" w:hAnsi="宋体"/>
                <w:color w:val="0000FF"/>
                <w:kern w:val="21"/>
                <w:sz w:val="24"/>
              </w:rPr>
              <w:t>总量控制指标</w:t>
            </w:r>
            <w:r>
              <w:rPr>
                <w:rFonts w:hint="eastAsia" w:hAnsi="宋体"/>
                <w:color w:val="0000FF"/>
                <w:kern w:val="21"/>
                <w:sz w:val="24"/>
                <w:lang w:eastAsia="zh-CN"/>
              </w:rPr>
              <w:t>为：</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textAlignment w:val="auto"/>
              <w:rPr>
                <w:rFonts w:hint="eastAsia" w:eastAsia="宋体"/>
                <w:color w:val="0000FF"/>
                <w:lang w:eastAsia="zh-CN"/>
              </w:rPr>
            </w:pPr>
            <w:r>
              <w:rPr>
                <w:rFonts w:hint="eastAsia" w:hAnsi="宋体"/>
                <w:color w:val="0000FF"/>
                <w:kern w:val="21"/>
                <w:sz w:val="24"/>
                <w:lang w:eastAsia="zh-CN"/>
              </w:rPr>
              <w:t>挥发性有机废气1.9693t/a。</w:t>
            </w:r>
          </w:p>
          <w:p>
            <w:pPr>
              <w:spacing w:line="360" w:lineRule="auto"/>
              <w:ind w:firstLine="420" w:firstLineChars="200"/>
              <w:rPr>
                <w:rFonts w:hint="eastAsia" w:ascii="宋体" w:hAnsi="宋体" w:cs="宋体"/>
                <w:color w:val="FF0000"/>
                <w:kern w:val="0"/>
                <w:szCs w:val="21"/>
                <w:lang w:val="en-US" w:eastAsia="zh-CN"/>
              </w:rPr>
            </w:pPr>
          </w:p>
          <w:p>
            <w:pPr>
              <w:spacing w:line="360" w:lineRule="auto"/>
              <w:ind w:firstLine="420" w:firstLineChars="200"/>
              <w:rPr>
                <w:rFonts w:hint="eastAsia" w:ascii="宋体" w:hAnsi="宋体" w:cs="宋体"/>
                <w:color w:val="FF0000"/>
                <w:kern w:val="0"/>
                <w:szCs w:val="21"/>
                <w:lang w:val="en-US" w:eastAsia="zh-CN"/>
              </w:rPr>
            </w:pPr>
          </w:p>
          <w:p>
            <w:pPr>
              <w:spacing w:line="360" w:lineRule="auto"/>
              <w:ind w:firstLine="420" w:firstLineChars="200"/>
              <w:rPr>
                <w:rFonts w:hint="eastAsia" w:ascii="宋体" w:hAnsi="宋体" w:cs="宋体"/>
                <w:color w:val="FF0000"/>
                <w:kern w:val="0"/>
                <w:szCs w:val="21"/>
                <w:lang w:val="en-US" w:eastAsia="zh-CN"/>
              </w:rPr>
            </w:pPr>
          </w:p>
          <w:p>
            <w:pPr>
              <w:spacing w:line="360" w:lineRule="auto"/>
              <w:ind w:firstLine="420" w:firstLineChars="200"/>
              <w:rPr>
                <w:rFonts w:hint="eastAsia" w:ascii="宋体" w:hAnsi="宋体" w:cs="宋体"/>
                <w:color w:val="FF0000"/>
                <w:kern w:val="0"/>
                <w:szCs w:val="21"/>
                <w:lang w:val="en-US" w:eastAsia="zh-CN"/>
              </w:rPr>
            </w:pPr>
          </w:p>
          <w:p>
            <w:pPr>
              <w:spacing w:line="360" w:lineRule="auto"/>
              <w:rPr>
                <w:rFonts w:hint="eastAsia" w:ascii="宋体" w:hAnsi="宋体" w:eastAsia="宋体" w:cs="宋体"/>
                <w:color w:val="FF0000"/>
                <w:kern w:val="0"/>
                <w:szCs w:val="21"/>
                <w:lang w:val="en-US" w:eastAsia="zh-CN"/>
              </w:rPr>
            </w:pPr>
          </w:p>
        </w:tc>
      </w:tr>
    </w:tbl>
    <w:p>
      <w:pPr>
        <w:pStyle w:val="29"/>
        <w:jc w:val="center"/>
        <w:outlineLvl w:val="0"/>
        <w:rPr>
          <w:rFonts w:ascii="黑体" w:hAnsi="黑体" w:eastAsia="黑体"/>
          <w:snapToGrid w:val="0"/>
          <w:color w:val="FF0000"/>
          <w:sz w:val="30"/>
          <w:szCs w:val="30"/>
        </w:rPr>
      </w:pPr>
      <w:r>
        <w:rPr>
          <w:rFonts w:ascii="黑体" w:hAnsi="黑体" w:eastAsia="黑体"/>
          <w:snapToGrid w:val="0"/>
          <w:color w:val="FF0000"/>
          <w:sz w:val="36"/>
          <w:szCs w:val="36"/>
        </w:rPr>
        <w:br w:type="page"/>
      </w:r>
      <w:r>
        <w:rPr>
          <w:rFonts w:hint="eastAsia" w:ascii="黑体" w:hAnsi="黑体" w:eastAsia="黑体"/>
          <w:snapToGrid w:val="0"/>
          <w:sz w:val="30"/>
          <w:szCs w:val="30"/>
        </w:rPr>
        <w:t>四、主要环境影响和保护措施</w:t>
      </w:r>
    </w:p>
    <w:tbl>
      <w:tblPr>
        <w:tblStyle w:val="33"/>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6"/>
        <w:gridCol w:w="87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264" w:type="dxa"/>
            <w:tcMar>
              <w:left w:w="28" w:type="dxa"/>
              <w:right w:w="28" w:type="dxa"/>
            </w:tcMar>
            <w:vAlign w:val="center"/>
          </w:tcPr>
          <w:p>
            <w:pPr>
              <w:pStyle w:val="29"/>
              <w:adjustRightInd w:val="0"/>
              <w:snapToGrid w:val="0"/>
              <w:spacing w:before="0" w:beforeAutospacing="0" w:after="0" w:afterAutospacing="0"/>
              <w:jc w:val="center"/>
              <w:rPr>
                <w:rFonts w:cs="宋体"/>
                <w:kern w:val="2"/>
                <w:sz w:val="21"/>
                <w:szCs w:val="21"/>
              </w:rPr>
            </w:pPr>
            <w:r>
              <w:rPr>
                <w:rFonts w:hint="eastAsia" w:cs="宋体"/>
                <w:kern w:val="2"/>
                <w:sz w:val="21"/>
                <w:szCs w:val="21"/>
              </w:rPr>
              <w:t>施工</w:t>
            </w:r>
          </w:p>
          <w:p>
            <w:pPr>
              <w:pStyle w:val="29"/>
              <w:adjustRightInd w:val="0"/>
              <w:snapToGrid w:val="0"/>
              <w:spacing w:before="0" w:beforeAutospacing="0" w:after="0" w:afterAutospacing="0"/>
              <w:jc w:val="center"/>
              <w:rPr>
                <w:rFonts w:cs="宋体"/>
                <w:kern w:val="2"/>
                <w:sz w:val="21"/>
                <w:szCs w:val="21"/>
              </w:rPr>
            </w:pPr>
            <w:r>
              <w:rPr>
                <w:rFonts w:hint="eastAsia" w:cs="宋体"/>
                <w:kern w:val="2"/>
                <w:sz w:val="21"/>
                <w:szCs w:val="21"/>
              </w:rPr>
              <w:t>期环</w:t>
            </w:r>
          </w:p>
          <w:p>
            <w:pPr>
              <w:pStyle w:val="29"/>
              <w:adjustRightInd w:val="0"/>
              <w:snapToGrid w:val="0"/>
              <w:spacing w:before="0" w:beforeAutospacing="0" w:after="0" w:afterAutospacing="0"/>
              <w:jc w:val="center"/>
              <w:rPr>
                <w:rFonts w:cs="宋体"/>
                <w:kern w:val="2"/>
                <w:sz w:val="21"/>
                <w:szCs w:val="21"/>
              </w:rPr>
            </w:pPr>
            <w:r>
              <w:rPr>
                <w:rFonts w:hint="eastAsia" w:cs="宋体"/>
                <w:kern w:val="2"/>
                <w:sz w:val="21"/>
                <w:szCs w:val="21"/>
              </w:rPr>
              <w:t>境保</w:t>
            </w:r>
          </w:p>
          <w:p>
            <w:pPr>
              <w:pStyle w:val="29"/>
              <w:adjustRightInd w:val="0"/>
              <w:snapToGrid w:val="0"/>
              <w:spacing w:before="0" w:beforeAutospacing="0" w:after="0" w:afterAutospacing="0"/>
              <w:jc w:val="center"/>
              <w:rPr>
                <w:rFonts w:cs="宋体"/>
                <w:kern w:val="2"/>
                <w:sz w:val="21"/>
                <w:szCs w:val="21"/>
              </w:rPr>
            </w:pPr>
            <w:r>
              <w:rPr>
                <w:rFonts w:hint="eastAsia" w:cs="宋体"/>
                <w:kern w:val="2"/>
                <w:sz w:val="21"/>
                <w:szCs w:val="21"/>
              </w:rPr>
              <w:t>护措</w:t>
            </w:r>
          </w:p>
          <w:p>
            <w:pPr>
              <w:pStyle w:val="29"/>
              <w:adjustRightInd w:val="0"/>
              <w:snapToGrid w:val="0"/>
              <w:spacing w:before="0" w:beforeAutospacing="0" w:after="0" w:afterAutospacing="0"/>
              <w:jc w:val="center"/>
              <w:rPr>
                <w:rFonts w:cs="宋体"/>
                <w:bCs/>
                <w:kern w:val="2"/>
                <w:sz w:val="21"/>
                <w:szCs w:val="21"/>
              </w:rPr>
            </w:pPr>
            <w:r>
              <w:rPr>
                <w:rFonts w:hint="eastAsia" w:cs="宋体"/>
                <w:kern w:val="2"/>
                <w:sz w:val="21"/>
                <w:szCs w:val="21"/>
              </w:rPr>
              <w:t>施</w:t>
            </w:r>
          </w:p>
        </w:tc>
        <w:tc>
          <w:tcPr>
            <w:tcW w:w="8717" w:type="dxa"/>
            <w:vAlign w:val="center"/>
          </w:tcPr>
          <w:p>
            <w:pPr>
              <w:spacing w:line="360" w:lineRule="auto"/>
              <w:ind w:firstLine="480" w:firstLineChars="200"/>
              <w:rPr>
                <w:kern w:val="0"/>
                <w:sz w:val="24"/>
              </w:rPr>
            </w:pPr>
            <w:r>
              <w:rPr>
                <w:kern w:val="0"/>
                <w:sz w:val="24"/>
              </w:rPr>
              <w:t>本项目不涉及土建施工，施工期主要为设备的安装及包装垃圾等。</w:t>
            </w:r>
          </w:p>
          <w:p>
            <w:pPr>
              <w:spacing w:line="360" w:lineRule="auto"/>
              <w:ind w:firstLine="480" w:firstLineChars="200"/>
              <w:rPr>
                <w:kern w:val="0"/>
                <w:sz w:val="24"/>
              </w:rPr>
            </w:pPr>
            <w:r>
              <w:rPr>
                <w:rFonts w:eastAsia="Times New Roman"/>
                <w:sz w:val="24"/>
              </w:rPr>
              <w:t>(1)</w:t>
            </w:r>
            <w:r>
              <w:rPr>
                <w:kern w:val="0"/>
                <w:sz w:val="24"/>
              </w:rPr>
              <w:t>设备仪器安装调试声</w:t>
            </w:r>
            <w:r>
              <w:rPr>
                <w:rFonts w:hint="eastAsia"/>
                <w:kern w:val="0"/>
                <w:sz w:val="24"/>
              </w:rPr>
              <w:t>环境措施</w:t>
            </w:r>
          </w:p>
          <w:p>
            <w:pPr>
              <w:spacing w:line="360" w:lineRule="auto"/>
              <w:ind w:firstLine="480" w:firstLineChars="200"/>
              <w:rPr>
                <w:kern w:val="0"/>
                <w:sz w:val="24"/>
              </w:rPr>
            </w:pPr>
            <w:r>
              <w:rPr>
                <w:kern w:val="0"/>
                <w:sz w:val="24"/>
              </w:rPr>
              <w:t>本项目安装调试的设备仪器产生的噪声为间断性噪声和瞬时噪声。</w:t>
            </w:r>
            <w:r>
              <w:rPr>
                <w:rFonts w:hint="eastAsia"/>
                <w:kern w:val="0"/>
                <w:sz w:val="24"/>
              </w:rPr>
              <w:t>建设采取以下保护措施：</w:t>
            </w:r>
          </w:p>
          <w:p>
            <w:pPr>
              <w:spacing w:line="360" w:lineRule="auto"/>
              <w:ind w:firstLine="480" w:firstLineChars="200"/>
              <w:rPr>
                <w:rFonts w:ascii="宋体" w:hAnsi="宋体" w:cs="宋体"/>
                <w:kern w:val="0"/>
                <w:sz w:val="24"/>
              </w:rPr>
            </w:pPr>
            <w:r>
              <w:rPr>
                <w:rFonts w:hint="eastAsia" w:ascii="宋体" w:hAnsi="宋体" w:cs="宋体"/>
                <w:kern w:val="0"/>
                <w:sz w:val="24"/>
              </w:rPr>
              <w:t>①合理安排设备安装和调试时间，严格按照施工噪声管理的有关规定；</w:t>
            </w:r>
          </w:p>
          <w:p>
            <w:pPr>
              <w:spacing w:line="360" w:lineRule="auto"/>
              <w:ind w:firstLine="480" w:firstLineChars="200"/>
              <w:rPr>
                <w:rFonts w:ascii="宋体" w:hAnsi="宋体" w:cs="宋体"/>
                <w:kern w:val="0"/>
                <w:sz w:val="24"/>
              </w:rPr>
            </w:pPr>
            <w:r>
              <w:rPr>
                <w:rFonts w:hint="eastAsia" w:ascii="宋体" w:hAnsi="宋体" w:cs="宋体"/>
                <w:kern w:val="0"/>
                <w:sz w:val="24"/>
              </w:rPr>
              <w:t>②尽量采用低噪声的安装设备和安装方法；</w:t>
            </w:r>
          </w:p>
          <w:p>
            <w:pPr>
              <w:spacing w:line="360" w:lineRule="auto"/>
              <w:ind w:firstLine="480" w:firstLineChars="200"/>
              <w:rPr>
                <w:rFonts w:ascii="宋体" w:hAnsi="宋体" w:cs="宋体"/>
                <w:kern w:val="0"/>
                <w:sz w:val="24"/>
              </w:rPr>
            </w:pPr>
            <w:r>
              <w:rPr>
                <w:rFonts w:hint="eastAsia" w:ascii="宋体" w:hAnsi="宋体" w:cs="宋体"/>
                <w:kern w:val="0"/>
                <w:sz w:val="24"/>
              </w:rPr>
              <w:t>③加强设备运输车辆噪声，运输尽量在白天，并控制车辆鸣笛。</w:t>
            </w:r>
          </w:p>
          <w:p>
            <w:pPr>
              <w:spacing w:line="360" w:lineRule="auto"/>
              <w:ind w:firstLine="480" w:firstLineChars="200"/>
              <w:rPr>
                <w:kern w:val="0"/>
                <w:sz w:val="24"/>
              </w:rPr>
            </w:pPr>
            <w:r>
              <w:rPr>
                <w:rFonts w:eastAsia="Times New Roman"/>
                <w:sz w:val="24"/>
              </w:rPr>
              <w:t>(2)</w:t>
            </w:r>
            <w:r>
              <w:rPr>
                <w:kern w:val="0"/>
                <w:sz w:val="24"/>
              </w:rPr>
              <w:t>包装</w:t>
            </w:r>
            <w:r>
              <w:rPr>
                <w:rFonts w:hint="eastAsia"/>
                <w:kern w:val="0"/>
                <w:sz w:val="24"/>
              </w:rPr>
              <w:t>废物的处理措施</w:t>
            </w:r>
          </w:p>
          <w:p>
            <w:pPr>
              <w:adjustRightInd w:val="0"/>
              <w:snapToGrid w:val="0"/>
              <w:spacing w:line="360" w:lineRule="auto"/>
              <w:ind w:firstLine="480" w:firstLineChars="200"/>
              <w:rPr>
                <w:bCs/>
                <w:sz w:val="24"/>
              </w:rPr>
            </w:pPr>
            <w:r>
              <w:rPr>
                <w:kern w:val="0"/>
                <w:sz w:val="24"/>
              </w:rPr>
              <w:t>本项目施工期产生的包装</w:t>
            </w:r>
            <w:r>
              <w:rPr>
                <w:rFonts w:hint="eastAsia"/>
                <w:kern w:val="0"/>
                <w:sz w:val="24"/>
              </w:rPr>
              <w:t>废物</w:t>
            </w:r>
            <w:r>
              <w:rPr>
                <w:kern w:val="0"/>
                <w:sz w:val="24"/>
              </w:rPr>
              <w:t>，主要为设备仪器的包装箱和包装袋。采取分类收集、分类处置，可再利用的卖给废品收购部门资源化，不能再利用的垃圾桶收集后交由园区环卫部门处理。</w:t>
            </w:r>
          </w:p>
          <w:p>
            <w:pPr>
              <w:adjustRightInd w:val="0"/>
              <w:snapToGrid w:val="0"/>
              <w:spacing w:line="360" w:lineRule="auto"/>
              <w:ind w:firstLine="480" w:firstLineChars="200"/>
              <w:rPr>
                <w:bCs/>
                <w:sz w:val="24"/>
              </w:rPr>
            </w:pPr>
          </w:p>
          <w:p>
            <w:pPr>
              <w:widowControl/>
              <w:spacing w:line="360" w:lineRule="auto"/>
              <w:ind w:firstLine="480"/>
              <w:rPr>
                <w:kern w:val="0"/>
                <w:sz w:val="24"/>
              </w:rPr>
            </w:pPr>
          </w:p>
          <w:p>
            <w:pPr>
              <w:widowControl/>
              <w:spacing w:line="360" w:lineRule="auto"/>
              <w:ind w:firstLine="480"/>
              <w:rPr>
                <w:kern w:val="0"/>
                <w:sz w:val="24"/>
              </w:rPr>
            </w:pPr>
          </w:p>
          <w:p>
            <w:pPr>
              <w:widowControl/>
              <w:spacing w:line="360" w:lineRule="auto"/>
              <w:ind w:firstLine="480"/>
              <w:rPr>
                <w:kern w:val="0"/>
                <w:sz w:val="24"/>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cs="宋体"/>
                <w:bCs/>
                <w:spacing w:val="-10"/>
                <w:szCs w:val="21"/>
                <w:lang w:val="en-US" w:eastAsia="zh-CN"/>
              </w:rPr>
            </w:pPr>
          </w:p>
          <w:p>
            <w:pPr>
              <w:widowControl/>
              <w:spacing w:line="360" w:lineRule="auto"/>
              <w:ind w:firstLine="480"/>
              <w:rPr>
                <w:rFonts w:hint="eastAsia" w:ascii="宋体" w:hAnsi="宋体" w:eastAsia="宋体" w:cs="宋体"/>
                <w:bCs/>
                <w:spacing w:val="-10"/>
                <w:szCs w:val="21"/>
                <w:lang w:val="en-US" w:eastAsia="zh-CN"/>
              </w:rPr>
            </w:pPr>
          </w:p>
        </w:tc>
      </w:tr>
    </w:tbl>
    <w:p>
      <w:pPr>
        <w:adjustRightInd w:val="0"/>
        <w:snapToGrid w:val="0"/>
        <w:jc w:val="center"/>
        <w:rPr>
          <w:rFonts w:ascii="宋体" w:hAnsi="宋体" w:cs="宋体"/>
          <w:bCs/>
          <w:color w:val="FF0000"/>
          <w:szCs w:val="21"/>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spacing w:line="360" w:lineRule="auto"/>
        <w:ind w:firstLine="482" w:firstLineChars="200"/>
        <w:rPr>
          <w:b/>
          <w:sz w:val="24"/>
        </w:rPr>
      </w:pPr>
      <w:r>
        <w:rPr>
          <w:b/>
          <w:sz w:val="24"/>
        </w:rPr>
        <w:t>1、运营期大气环境影响和保护措施</w:t>
      </w:r>
    </w:p>
    <w:p>
      <w:pPr>
        <w:tabs>
          <w:tab w:val="center" w:pos="4407"/>
        </w:tabs>
        <w:spacing w:line="360" w:lineRule="auto"/>
        <w:ind w:firstLine="482" w:firstLineChars="200"/>
      </w:pPr>
      <w:r>
        <w:rPr>
          <w:b/>
          <w:sz w:val="24"/>
        </w:rPr>
        <w:t>⑴废气污染源情况</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表4-1  废气污染源产生、正常排放汇总表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85"/>
        <w:gridCol w:w="386"/>
        <w:gridCol w:w="638"/>
        <w:gridCol w:w="683"/>
        <w:gridCol w:w="764"/>
        <w:gridCol w:w="654"/>
        <w:gridCol w:w="709"/>
        <w:gridCol w:w="567"/>
        <w:gridCol w:w="538"/>
        <w:gridCol w:w="313"/>
        <w:gridCol w:w="684"/>
        <w:gridCol w:w="683"/>
        <w:gridCol w:w="764"/>
        <w:gridCol w:w="933"/>
        <w:gridCol w:w="713"/>
        <w:gridCol w:w="386"/>
        <w:gridCol w:w="427"/>
        <w:gridCol w:w="386"/>
        <w:gridCol w:w="386"/>
        <w:gridCol w:w="1125"/>
        <w:gridCol w:w="568"/>
        <w:gridCol w:w="53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restart"/>
            <w:vAlign w:val="center"/>
          </w:tcPr>
          <w:p>
            <w:pPr>
              <w:adjustRightInd w:val="0"/>
              <w:snapToGrid w:val="0"/>
              <w:spacing w:line="240" w:lineRule="exact"/>
              <w:jc w:val="center"/>
              <w:rPr>
                <w:b/>
                <w:bCs/>
                <w:szCs w:val="21"/>
              </w:rPr>
            </w:pPr>
            <w:r>
              <w:rPr>
                <w:b/>
                <w:bCs/>
                <w:szCs w:val="21"/>
              </w:rPr>
              <w:t>产排污环节</w:t>
            </w:r>
          </w:p>
        </w:tc>
        <w:tc>
          <w:tcPr>
            <w:tcW w:w="386" w:type="dxa"/>
            <w:vMerge w:val="restart"/>
            <w:vAlign w:val="center"/>
          </w:tcPr>
          <w:p>
            <w:pPr>
              <w:adjustRightInd w:val="0"/>
              <w:snapToGrid w:val="0"/>
              <w:spacing w:line="240" w:lineRule="exact"/>
              <w:jc w:val="center"/>
              <w:rPr>
                <w:b/>
                <w:bCs/>
                <w:szCs w:val="21"/>
              </w:rPr>
            </w:pPr>
            <w:r>
              <w:rPr>
                <w:b/>
                <w:bCs/>
                <w:szCs w:val="21"/>
              </w:rPr>
              <w:t>排放形式</w:t>
            </w:r>
          </w:p>
        </w:tc>
        <w:tc>
          <w:tcPr>
            <w:tcW w:w="638" w:type="dxa"/>
            <w:vMerge w:val="restart"/>
            <w:vAlign w:val="center"/>
          </w:tcPr>
          <w:p>
            <w:pPr>
              <w:adjustRightInd w:val="0"/>
              <w:snapToGrid w:val="0"/>
              <w:spacing w:line="240" w:lineRule="exact"/>
              <w:jc w:val="center"/>
              <w:rPr>
                <w:b/>
                <w:bCs/>
                <w:szCs w:val="21"/>
              </w:rPr>
            </w:pPr>
            <w:r>
              <w:rPr>
                <w:b/>
                <w:bCs/>
                <w:szCs w:val="21"/>
              </w:rPr>
              <w:t>污染物种类</w:t>
            </w:r>
          </w:p>
        </w:tc>
        <w:tc>
          <w:tcPr>
            <w:tcW w:w="2101" w:type="dxa"/>
            <w:gridSpan w:val="3"/>
            <w:vAlign w:val="center"/>
          </w:tcPr>
          <w:p>
            <w:pPr>
              <w:adjustRightInd w:val="0"/>
              <w:snapToGrid w:val="0"/>
              <w:spacing w:line="240" w:lineRule="exact"/>
              <w:jc w:val="center"/>
              <w:rPr>
                <w:b/>
                <w:bCs/>
                <w:szCs w:val="21"/>
              </w:rPr>
            </w:pPr>
            <w:r>
              <w:rPr>
                <w:b/>
                <w:bCs/>
                <w:szCs w:val="21"/>
              </w:rPr>
              <w:t>污染物产生量和浓度</w:t>
            </w:r>
          </w:p>
        </w:tc>
        <w:tc>
          <w:tcPr>
            <w:tcW w:w="2811" w:type="dxa"/>
            <w:gridSpan w:val="5"/>
            <w:vAlign w:val="center"/>
          </w:tcPr>
          <w:p>
            <w:pPr>
              <w:adjustRightInd w:val="0"/>
              <w:snapToGrid w:val="0"/>
              <w:spacing w:line="240" w:lineRule="exact"/>
              <w:jc w:val="center"/>
              <w:rPr>
                <w:b/>
                <w:bCs/>
                <w:szCs w:val="21"/>
              </w:rPr>
            </w:pPr>
            <w:r>
              <w:rPr>
                <w:b/>
                <w:bCs/>
                <w:szCs w:val="21"/>
              </w:rPr>
              <w:t>污染治理设施</w:t>
            </w:r>
          </w:p>
        </w:tc>
        <w:tc>
          <w:tcPr>
            <w:tcW w:w="2380" w:type="dxa"/>
            <w:gridSpan w:val="3"/>
            <w:vAlign w:val="center"/>
          </w:tcPr>
          <w:p>
            <w:pPr>
              <w:adjustRightInd w:val="0"/>
              <w:snapToGrid w:val="0"/>
              <w:spacing w:line="240" w:lineRule="exact"/>
              <w:jc w:val="center"/>
              <w:rPr>
                <w:b/>
                <w:bCs/>
                <w:szCs w:val="21"/>
              </w:rPr>
            </w:pPr>
            <w:r>
              <w:rPr>
                <w:b/>
                <w:bCs/>
                <w:szCs w:val="21"/>
              </w:rPr>
              <w:t>污染物排放量和浓度</w:t>
            </w:r>
          </w:p>
        </w:tc>
        <w:tc>
          <w:tcPr>
            <w:tcW w:w="3423" w:type="dxa"/>
            <w:gridSpan w:val="6"/>
            <w:vAlign w:val="center"/>
          </w:tcPr>
          <w:p>
            <w:pPr>
              <w:adjustRightInd w:val="0"/>
              <w:snapToGrid w:val="0"/>
              <w:spacing w:line="240" w:lineRule="exact"/>
              <w:jc w:val="center"/>
              <w:rPr>
                <w:b/>
                <w:bCs/>
                <w:szCs w:val="21"/>
              </w:rPr>
            </w:pPr>
            <w:r>
              <w:rPr>
                <w:b/>
                <w:bCs/>
                <w:szCs w:val="21"/>
              </w:rPr>
              <w:t>排放口基本情况</w:t>
            </w:r>
          </w:p>
        </w:tc>
        <w:tc>
          <w:tcPr>
            <w:tcW w:w="1104" w:type="dxa"/>
            <w:gridSpan w:val="2"/>
            <w:vAlign w:val="center"/>
          </w:tcPr>
          <w:p>
            <w:pPr>
              <w:adjustRightInd w:val="0"/>
              <w:snapToGrid w:val="0"/>
              <w:spacing w:line="240" w:lineRule="exact"/>
              <w:jc w:val="center"/>
              <w:rPr>
                <w:b/>
                <w:bCs/>
                <w:szCs w:val="21"/>
              </w:rPr>
            </w:pPr>
            <w:r>
              <w:rPr>
                <w:b/>
                <w:bCs/>
                <w:szCs w:val="21"/>
              </w:rPr>
              <w:t>排放标准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adjustRightInd w:val="0"/>
              <w:snapToGrid w:val="0"/>
              <w:spacing w:line="240" w:lineRule="exact"/>
              <w:jc w:val="center"/>
              <w:rPr>
                <w:b/>
                <w:bCs/>
                <w:szCs w:val="21"/>
              </w:rPr>
            </w:pPr>
          </w:p>
        </w:tc>
        <w:tc>
          <w:tcPr>
            <w:tcW w:w="386" w:type="dxa"/>
            <w:vMerge w:val="continue"/>
            <w:vAlign w:val="center"/>
          </w:tcPr>
          <w:p>
            <w:pPr>
              <w:adjustRightInd w:val="0"/>
              <w:snapToGrid w:val="0"/>
              <w:spacing w:line="240" w:lineRule="exact"/>
              <w:jc w:val="center"/>
              <w:rPr>
                <w:b/>
                <w:bCs/>
                <w:szCs w:val="21"/>
              </w:rPr>
            </w:pPr>
          </w:p>
        </w:tc>
        <w:tc>
          <w:tcPr>
            <w:tcW w:w="638" w:type="dxa"/>
            <w:vMerge w:val="continue"/>
            <w:vAlign w:val="center"/>
          </w:tcPr>
          <w:p>
            <w:pPr>
              <w:adjustRightInd w:val="0"/>
              <w:snapToGrid w:val="0"/>
              <w:spacing w:line="240" w:lineRule="exact"/>
              <w:jc w:val="center"/>
              <w:rPr>
                <w:b/>
                <w:bCs/>
                <w:szCs w:val="21"/>
              </w:rPr>
            </w:pPr>
          </w:p>
        </w:tc>
        <w:tc>
          <w:tcPr>
            <w:tcW w:w="683" w:type="dxa"/>
            <w:vMerge w:val="restart"/>
            <w:vAlign w:val="center"/>
          </w:tcPr>
          <w:p>
            <w:pPr>
              <w:adjustRightInd w:val="0"/>
              <w:snapToGrid w:val="0"/>
              <w:spacing w:line="240" w:lineRule="exact"/>
              <w:jc w:val="center"/>
              <w:rPr>
                <w:b/>
                <w:bCs/>
                <w:szCs w:val="21"/>
              </w:rPr>
            </w:pPr>
            <w:r>
              <w:rPr>
                <w:b/>
                <w:bCs/>
                <w:szCs w:val="21"/>
              </w:rPr>
              <w:t>产生浓度</w:t>
            </w:r>
          </w:p>
          <w:p>
            <w:pPr>
              <w:adjustRightInd w:val="0"/>
              <w:snapToGrid w:val="0"/>
              <w:spacing w:line="240" w:lineRule="exact"/>
              <w:jc w:val="center"/>
              <w:rPr>
                <w:b/>
                <w:bCs/>
                <w:szCs w:val="21"/>
              </w:rPr>
            </w:pPr>
            <w:r>
              <w:rPr>
                <w:b/>
                <w:bCs/>
                <w:szCs w:val="21"/>
              </w:rPr>
              <w:t>mg/m</w:t>
            </w:r>
            <w:r>
              <w:rPr>
                <w:b/>
                <w:bCs/>
                <w:szCs w:val="21"/>
                <w:vertAlign w:val="superscript"/>
              </w:rPr>
              <w:t>3</w:t>
            </w:r>
          </w:p>
        </w:tc>
        <w:tc>
          <w:tcPr>
            <w:tcW w:w="1418" w:type="dxa"/>
            <w:gridSpan w:val="2"/>
            <w:vAlign w:val="center"/>
          </w:tcPr>
          <w:p>
            <w:pPr>
              <w:adjustRightInd w:val="0"/>
              <w:snapToGrid w:val="0"/>
              <w:spacing w:line="240" w:lineRule="exact"/>
              <w:jc w:val="center"/>
              <w:rPr>
                <w:b/>
                <w:bCs/>
                <w:szCs w:val="21"/>
              </w:rPr>
            </w:pPr>
            <w:r>
              <w:rPr>
                <w:b/>
                <w:bCs/>
                <w:szCs w:val="21"/>
              </w:rPr>
              <w:t>产生量</w:t>
            </w:r>
          </w:p>
        </w:tc>
        <w:tc>
          <w:tcPr>
            <w:tcW w:w="709" w:type="dxa"/>
            <w:vAlign w:val="center"/>
          </w:tcPr>
          <w:p>
            <w:pPr>
              <w:adjustRightInd w:val="0"/>
              <w:snapToGrid w:val="0"/>
              <w:spacing w:line="240" w:lineRule="exact"/>
              <w:jc w:val="center"/>
              <w:rPr>
                <w:b/>
                <w:bCs/>
                <w:szCs w:val="21"/>
              </w:rPr>
            </w:pPr>
            <w:r>
              <w:rPr>
                <w:b/>
                <w:bCs/>
                <w:szCs w:val="21"/>
              </w:rPr>
              <w:t>排气量</w:t>
            </w:r>
          </w:p>
        </w:tc>
        <w:tc>
          <w:tcPr>
            <w:tcW w:w="567" w:type="dxa"/>
            <w:vAlign w:val="center"/>
          </w:tcPr>
          <w:p>
            <w:pPr>
              <w:adjustRightInd w:val="0"/>
              <w:snapToGrid w:val="0"/>
              <w:spacing w:line="240" w:lineRule="exact"/>
              <w:jc w:val="center"/>
              <w:rPr>
                <w:b/>
                <w:bCs/>
                <w:szCs w:val="21"/>
              </w:rPr>
            </w:pPr>
            <w:r>
              <w:rPr>
                <w:b/>
                <w:bCs/>
                <w:szCs w:val="21"/>
              </w:rPr>
              <w:t>收集效率</w:t>
            </w:r>
          </w:p>
        </w:tc>
        <w:tc>
          <w:tcPr>
            <w:tcW w:w="538" w:type="dxa"/>
            <w:vAlign w:val="center"/>
          </w:tcPr>
          <w:p>
            <w:pPr>
              <w:adjustRightInd w:val="0"/>
              <w:snapToGrid w:val="0"/>
              <w:spacing w:line="240" w:lineRule="exact"/>
              <w:jc w:val="center"/>
              <w:rPr>
                <w:b/>
                <w:bCs/>
                <w:szCs w:val="21"/>
              </w:rPr>
            </w:pPr>
            <w:r>
              <w:rPr>
                <w:b/>
                <w:bCs/>
                <w:szCs w:val="21"/>
              </w:rPr>
              <w:t>去除效率</w:t>
            </w:r>
          </w:p>
        </w:tc>
        <w:tc>
          <w:tcPr>
            <w:tcW w:w="313" w:type="dxa"/>
            <w:vMerge w:val="restart"/>
            <w:vAlign w:val="center"/>
          </w:tcPr>
          <w:p>
            <w:pPr>
              <w:adjustRightInd w:val="0"/>
              <w:snapToGrid w:val="0"/>
              <w:spacing w:line="240" w:lineRule="exact"/>
              <w:jc w:val="center"/>
              <w:rPr>
                <w:b/>
                <w:bCs/>
                <w:szCs w:val="21"/>
              </w:rPr>
            </w:pPr>
            <w:r>
              <w:rPr>
                <w:b/>
                <w:bCs/>
                <w:szCs w:val="21"/>
              </w:rPr>
              <w:t>是否可行技术</w:t>
            </w:r>
          </w:p>
        </w:tc>
        <w:tc>
          <w:tcPr>
            <w:tcW w:w="684" w:type="dxa"/>
            <w:vMerge w:val="restart"/>
            <w:vAlign w:val="center"/>
          </w:tcPr>
          <w:p>
            <w:pPr>
              <w:adjustRightInd w:val="0"/>
              <w:snapToGrid w:val="0"/>
              <w:spacing w:line="240" w:lineRule="exact"/>
              <w:jc w:val="center"/>
              <w:rPr>
                <w:b/>
                <w:bCs/>
                <w:szCs w:val="21"/>
              </w:rPr>
            </w:pPr>
            <w:r>
              <w:rPr>
                <w:b/>
                <w:bCs/>
                <w:szCs w:val="21"/>
              </w:rPr>
              <w:t>处理工艺</w:t>
            </w:r>
          </w:p>
        </w:tc>
        <w:tc>
          <w:tcPr>
            <w:tcW w:w="683" w:type="dxa"/>
            <w:vMerge w:val="restart"/>
            <w:vAlign w:val="center"/>
          </w:tcPr>
          <w:p>
            <w:pPr>
              <w:adjustRightInd w:val="0"/>
              <w:snapToGrid w:val="0"/>
              <w:spacing w:line="240" w:lineRule="exact"/>
              <w:jc w:val="center"/>
              <w:rPr>
                <w:b/>
                <w:bCs/>
                <w:szCs w:val="21"/>
              </w:rPr>
            </w:pPr>
            <w:r>
              <w:rPr>
                <w:b/>
                <w:bCs/>
                <w:szCs w:val="21"/>
              </w:rPr>
              <w:t>排放浓度</w:t>
            </w:r>
          </w:p>
          <w:p>
            <w:pPr>
              <w:adjustRightInd w:val="0"/>
              <w:snapToGrid w:val="0"/>
              <w:spacing w:line="240" w:lineRule="exact"/>
              <w:jc w:val="center"/>
              <w:rPr>
                <w:b/>
                <w:bCs/>
                <w:szCs w:val="21"/>
              </w:rPr>
            </w:pPr>
            <w:r>
              <w:rPr>
                <w:b/>
                <w:bCs/>
                <w:szCs w:val="21"/>
              </w:rPr>
              <w:t>mg/m</w:t>
            </w:r>
            <w:r>
              <w:rPr>
                <w:b/>
                <w:bCs/>
                <w:szCs w:val="21"/>
                <w:vertAlign w:val="superscript"/>
              </w:rPr>
              <w:t>3</w:t>
            </w:r>
          </w:p>
        </w:tc>
        <w:tc>
          <w:tcPr>
            <w:tcW w:w="1697" w:type="dxa"/>
            <w:gridSpan w:val="2"/>
            <w:vAlign w:val="center"/>
          </w:tcPr>
          <w:p>
            <w:pPr>
              <w:adjustRightInd w:val="0"/>
              <w:snapToGrid w:val="0"/>
              <w:spacing w:line="240" w:lineRule="exact"/>
              <w:jc w:val="center"/>
              <w:rPr>
                <w:b/>
                <w:bCs/>
                <w:szCs w:val="21"/>
              </w:rPr>
            </w:pPr>
            <w:r>
              <w:rPr>
                <w:b/>
                <w:bCs/>
                <w:szCs w:val="21"/>
              </w:rPr>
              <w:t>排放量</w:t>
            </w:r>
          </w:p>
        </w:tc>
        <w:tc>
          <w:tcPr>
            <w:tcW w:w="713" w:type="dxa"/>
            <w:vAlign w:val="center"/>
          </w:tcPr>
          <w:p>
            <w:pPr>
              <w:adjustRightInd w:val="0"/>
              <w:snapToGrid w:val="0"/>
              <w:spacing w:line="240" w:lineRule="exact"/>
              <w:jc w:val="center"/>
              <w:rPr>
                <w:b/>
                <w:bCs/>
                <w:spacing w:val="-10"/>
                <w:szCs w:val="21"/>
              </w:rPr>
            </w:pPr>
            <w:r>
              <w:rPr>
                <w:b/>
                <w:bCs/>
                <w:spacing w:val="-10"/>
                <w:szCs w:val="21"/>
              </w:rPr>
              <w:t>编号及名称</w:t>
            </w:r>
          </w:p>
        </w:tc>
        <w:tc>
          <w:tcPr>
            <w:tcW w:w="386" w:type="dxa"/>
            <w:vAlign w:val="center"/>
          </w:tcPr>
          <w:p>
            <w:pPr>
              <w:adjustRightInd w:val="0"/>
              <w:snapToGrid w:val="0"/>
              <w:spacing w:line="240" w:lineRule="exact"/>
              <w:jc w:val="center"/>
              <w:rPr>
                <w:b/>
                <w:bCs/>
                <w:szCs w:val="21"/>
              </w:rPr>
            </w:pPr>
            <w:r>
              <w:rPr>
                <w:b/>
                <w:bCs/>
                <w:szCs w:val="21"/>
              </w:rPr>
              <w:t>高度</w:t>
            </w:r>
          </w:p>
        </w:tc>
        <w:tc>
          <w:tcPr>
            <w:tcW w:w="427" w:type="dxa"/>
            <w:vAlign w:val="center"/>
          </w:tcPr>
          <w:p>
            <w:pPr>
              <w:adjustRightInd w:val="0"/>
              <w:snapToGrid w:val="0"/>
              <w:spacing w:line="240" w:lineRule="exact"/>
              <w:jc w:val="center"/>
              <w:rPr>
                <w:b/>
                <w:bCs/>
                <w:szCs w:val="21"/>
              </w:rPr>
            </w:pPr>
            <w:r>
              <w:rPr>
                <w:b/>
                <w:bCs/>
                <w:szCs w:val="21"/>
              </w:rPr>
              <w:t>内径</w:t>
            </w:r>
          </w:p>
        </w:tc>
        <w:tc>
          <w:tcPr>
            <w:tcW w:w="386" w:type="dxa"/>
            <w:vAlign w:val="center"/>
          </w:tcPr>
          <w:p>
            <w:pPr>
              <w:adjustRightInd w:val="0"/>
              <w:snapToGrid w:val="0"/>
              <w:spacing w:line="240" w:lineRule="exact"/>
              <w:jc w:val="center"/>
              <w:rPr>
                <w:b/>
                <w:bCs/>
                <w:szCs w:val="21"/>
              </w:rPr>
            </w:pPr>
            <w:r>
              <w:rPr>
                <w:b/>
                <w:bCs/>
                <w:szCs w:val="21"/>
              </w:rPr>
              <w:t>温度</w:t>
            </w:r>
          </w:p>
        </w:tc>
        <w:tc>
          <w:tcPr>
            <w:tcW w:w="386" w:type="dxa"/>
            <w:vAlign w:val="center"/>
          </w:tcPr>
          <w:p>
            <w:pPr>
              <w:adjustRightInd w:val="0"/>
              <w:snapToGrid w:val="0"/>
              <w:spacing w:line="240" w:lineRule="exact"/>
              <w:jc w:val="center"/>
              <w:rPr>
                <w:b/>
                <w:bCs/>
                <w:szCs w:val="21"/>
              </w:rPr>
            </w:pPr>
            <w:r>
              <w:rPr>
                <w:b/>
                <w:bCs/>
                <w:szCs w:val="21"/>
              </w:rPr>
              <w:t>类型</w:t>
            </w:r>
          </w:p>
        </w:tc>
        <w:tc>
          <w:tcPr>
            <w:tcW w:w="1125" w:type="dxa"/>
            <w:vAlign w:val="center"/>
          </w:tcPr>
          <w:p>
            <w:pPr>
              <w:adjustRightInd w:val="0"/>
              <w:snapToGrid w:val="0"/>
              <w:spacing w:line="240" w:lineRule="exact"/>
              <w:jc w:val="center"/>
              <w:rPr>
                <w:b/>
                <w:bCs/>
                <w:szCs w:val="21"/>
              </w:rPr>
            </w:pPr>
            <w:r>
              <w:rPr>
                <w:b/>
                <w:bCs/>
                <w:szCs w:val="21"/>
              </w:rPr>
              <w:t>地理</w:t>
            </w:r>
          </w:p>
          <w:p>
            <w:pPr>
              <w:adjustRightInd w:val="0"/>
              <w:snapToGrid w:val="0"/>
              <w:spacing w:line="240" w:lineRule="exact"/>
              <w:jc w:val="center"/>
              <w:rPr>
                <w:b/>
                <w:bCs/>
                <w:szCs w:val="21"/>
              </w:rPr>
            </w:pPr>
            <w:r>
              <w:rPr>
                <w:b/>
                <w:bCs/>
                <w:szCs w:val="21"/>
              </w:rPr>
              <w:t>坐标</w:t>
            </w:r>
          </w:p>
        </w:tc>
        <w:tc>
          <w:tcPr>
            <w:tcW w:w="568" w:type="dxa"/>
            <w:vMerge w:val="restart"/>
            <w:vAlign w:val="center"/>
          </w:tcPr>
          <w:p>
            <w:pPr>
              <w:adjustRightInd w:val="0"/>
              <w:snapToGrid w:val="0"/>
              <w:spacing w:line="240" w:lineRule="exact"/>
              <w:jc w:val="center"/>
              <w:rPr>
                <w:b/>
                <w:bCs/>
                <w:szCs w:val="21"/>
              </w:rPr>
            </w:pPr>
            <w:r>
              <w:rPr>
                <w:b/>
                <w:bCs/>
                <w:szCs w:val="21"/>
              </w:rPr>
              <w:t>浓度</w:t>
            </w:r>
          </w:p>
          <w:p>
            <w:pPr>
              <w:adjustRightInd w:val="0"/>
              <w:snapToGrid w:val="0"/>
              <w:spacing w:line="240" w:lineRule="exact"/>
              <w:jc w:val="center"/>
              <w:rPr>
                <w:b/>
                <w:bCs/>
                <w:szCs w:val="21"/>
              </w:rPr>
            </w:pPr>
            <w:r>
              <w:rPr>
                <w:b/>
                <w:bCs/>
                <w:szCs w:val="21"/>
              </w:rPr>
              <w:t>mg/m</w:t>
            </w:r>
            <w:r>
              <w:rPr>
                <w:b/>
                <w:bCs/>
                <w:szCs w:val="21"/>
                <w:vertAlign w:val="superscript"/>
              </w:rPr>
              <w:t>3</w:t>
            </w:r>
          </w:p>
        </w:tc>
        <w:tc>
          <w:tcPr>
            <w:tcW w:w="536" w:type="dxa"/>
            <w:vMerge w:val="restart"/>
            <w:vAlign w:val="center"/>
          </w:tcPr>
          <w:p>
            <w:pPr>
              <w:adjustRightInd w:val="0"/>
              <w:snapToGrid w:val="0"/>
              <w:spacing w:line="240" w:lineRule="exact"/>
              <w:jc w:val="center"/>
              <w:rPr>
                <w:b/>
                <w:bCs/>
                <w:szCs w:val="21"/>
              </w:rPr>
            </w:pPr>
            <w:r>
              <w:rPr>
                <w:b/>
                <w:bCs/>
                <w:szCs w:val="21"/>
              </w:rPr>
              <w:t>速率</w:t>
            </w:r>
          </w:p>
          <w:p>
            <w:pPr>
              <w:adjustRightInd w:val="0"/>
              <w:snapToGrid w:val="0"/>
              <w:spacing w:line="240" w:lineRule="exact"/>
              <w:jc w:val="center"/>
              <w:rPr>
                <w:b/>
                <w:bCs/>
                <w:szCs w:val="21"/>
              </w:rPr>
            </w:pPr>
            <w:r>
              <w:rPr>
                <w:b/>
                <w:bCs/>
                <w:szCs w:val="21"/>
              </w:rPr>
              <w:t>kg/h</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adjustRightInd w:val="0"/>
              <w:snapToGrid w:val="0"/>
              <w:spacing w:line="240" w:lineRule="exact"/>
              <w:jc w:val="center"/>
              <w:rPr>
                <w:bCs/>
                <w:szCs w:val="21"/>
              </w:rPr>
            </w:pPr>
          </w:p>
        </w:tc>
        <w:tc>
          <w:tcPr>
            <w:tcW w:w="386" w:type="dxa"/>
            <w:vMerge w:val="continue"/>
            <w:vAlign w:val="center"/>
          </w:tcPr>
          <w:p>
            <w:pPr>
              <w:adjustRightInd w:val="0"/>
              <w:snapToGrid w:val="0"/>
              <w:spacing w:line="240" w:lineRule="exact"/>
              <w:jc w:val="center"/>
              <w:rPr>
                <w:bCs/>
                <w:szCs w:val="21"/>
              </w:rPr>
            </w:pPr>
          </w:p>
        </w:tc>
        <w:tc>
          <w:tcPr>
            <w:tcW w:w="638" w:type="dxa"/>
            <w:vMerge w:val="continue"/>
            <w:vAlign w:val="center"/>
          </w:tcPr>
          <w:p>
            <w:pPr>
              <w:adjustRightInd w:val="0"/>
              <w:snapToGrid w:val="0"/>
              <w:spacing w:line="240" w:lineRule="exact"/>
              <w:jc w:val="center"/>
              <w:rPr>
                <w:bCs/>
                <w:szCs w:val="21"/>
              </w:rPr>
            </w:pPr>
          </w:p>
        </w:tc>
        <w:tc>
          <w:tcPr>
            <w:tcW w:w="683" w:type="dxa"/>
            <w:vMerge w:val="continue"/>
            <w:vAlign w:val="center"/>
          </w:tcPr>
          <w:p>
            <w:pPr>
              <w:adjustRightInd w:val="0"/>
              <w:snapToGrid w:val="0"/>
              <w:spacing w:line="240" w:lineRule="exact"/>
              <w:jc w:val="center"/>
              <w:rPr>
                <w:bCs/>
                <w:szCs w:val="21"/>
              </w:rPr>
            </w:pPr>
          </w:p>
        </w:tc>
        <w:tc>
          <w:tcPr>
            <w:tcW w:w="764" w:type="dxa"/>
            <w:vAlign w:val="center"/>
          </w:tcPr>
          <w:p>
            <w:pPr>
              <w:adjustRightInd w:val="0"/>
              <w:snapToGrid w:val="0"/>
              <w:spacing w:line="240" w:lineRule="exact"/>
              <w:jc w:val="center"/>
              <w:rPr>
                <w:b/>
                <w:bCs/>
                <w:szCs w:val="21"/>
              </w:rPr>
            </w:pPr>
            <w:r>
              <w:rPr>
                <w:b/>
                <w:bCs/>
                <w:szCs w:val="21"/>
              </w:rPr>
              <w:t>kg/h</w:t>
            </w:r>
          </w:p>
        </w:tc>
        <w:tc>
          <w:tcPr>
            <w:tcW w:w="654" w:type="dxa"/>
            <w:vAlign w:val="center"/>
          </w:tcPr>
          <w:p>
            <w:pPr>
              <w:adjustRightInd w:val="0"/>
              <w:snapToGrid w:val="0"/>
              <w:spacing w:line="240" w:lineRule="exact"/>
              <w:jc w:val="center"/>
              <w:rPr>
                <w:b/>
                <w:bCs/>
                <w:szCs w:val="21"/>
              </w:rPr>
            </w:pPr>
            <w:r>
              <w:rPr>
                <w:b/>
                <w:bCs/>
                <w:szCs w:val="21"/>
              </w:rPr>
              <w:t>t/a</w:t>
            </w:r>
          </w:p>
        </w:tc>
        <w:tc>
          <w:tcPr>
            <w:tcW w:w="709" w:type="dxa"/>
            <w:vAlign w:val="center"/>
          </w:tcPr>
          <w:p>
            <w:pPr>
              <w:adjustRightInd w:val="0"/>
              <w:snapToGrid w:val="0"/>
              <w:spacing w:line="240" w:lineRule="exact"/>
              <w:jc w:val="center"/>
              <w:rPr>
                <w:b/>
                <w:bCs/>
                <w:szCs w:val="21"/>
              </w:rPr>
            </w:pPr>
            <w:r>
              <w:rPr>
                <w:b/>
                <w:bCs/>
                <w:szCs w:val="21"/>
              </w:rPr>
              <w:t>m</w:t>
            </w:r>
            <w:r>
              <w:rPr>
                <w:b/>
                <w:bCs/>
                <w:szCs w:val="21"/>
                <w:vertAlign w:val="superscript"/>
              </w:rPr>
              <w:t>3</w:t>
            </w:r>
            <w:r>
              <w:rPr>
                <w:b/>
                <w:bCs/>
                <w:szCs w:val="21"/>
              </w:rPr>
              <w:t>/h</w:t>
            </w:r>
          </w:p>
        </w:tc>
        <w:tc>
          <w:tcPr>
            <w:tcW w:w="567" w:type="dxa"/>
            <w:vAlign w:val="center"/>
          </w:tcPr>
          <w:p>
            <w:pPr>
              <w:adjustRightInd w:val="0"/>
              <w:snapToGrid w:val="0"/>
              <w:spacing w:line="240" w:lineRule="exact"/>
              <w:jc w:val="center"/>
              <w:rPr>
                <w:b/>
                <w:bCs/>
                <w:szCs w:val="21"/>
              </w:rPr>
            </w:pPr>
            <w:r>
              <w:rPr>
                <w:b/>
                <w:bCs/>
                <w:szCs w:val="21"/>
              </w:rPr>
              <w:t>%</w:t>
            </w:r>
          </w:p>
        </w:tc>
        <w:tc>
          <w:tcPr>
            <w:tcW w:w="538" w:type="dxa"/>
            <w:vAlign w:val="center"/>
          </w:tcPr>
          <w:p>
            <w:pPr>
              <w:adjustRightInd w:val="0"/>
              <w:snapToGrid w:val="0"/>
              <w:spacing w:line="240" w:lineRule="exact"/>
              <w:jc w:val="center"/>
              <w:rPr>
                <w:b/>
                <w:bCs/>
                <w:szCs w:val="21"/>
              </w:rPr>
            </w:pPr>
            <w:r>
              <w:rPr>
                <w:b/>
                <w:bCs/>
                <w:szCs w:val="21"/>
              </w:rPr>
              <w:t>%</w:t>
            </w:r>
          </w:p>
        </w:tc>
        <w:tc>
          <w:tcPr>
            <w:tcW w:w="313" w:type="dxa"/>
            <w:vMerge w:val="continue"/>
            <w:vAlign w:val="center"/>
          </w:tcPr>
          <w:p>
            <w:pPr>
              <w:adjustRightInd w:val="0"/>
              <w:snapToGrid w:val="0"/>
              <w:spacing w:line="240" w:lineRule="exact"/>
              <w:jc w:val="center"/>
              <w:rPr>
                <w:bCs/>
                <w:szCs w:val="21"/>
              </w:rPr>
            </w:pPr>
          </w:p>
        </w:tc>
        <w:tc>
          <w:tcPr>
            <w:tcW w:w="684" w:type="dxa"/>
            <w:vMerge w:val="continue"/>
            <w:vAlign w:val="center"/>
          </w:tcPr>
          <w:p>
            <w:pPr>
              <w:adjustRightInd w:val="0"/>
              <w:snapToGrid w:val="0"/>
              <w:spacing w:line="240" w:lineRule="exact"/>
              <w:jc w:val="center"/>
              <w:rPr>
                <w:bCs/>
                <w:szCs w:val="21"/>
              </w:rPr>
            </w:pPr>
          </w:p>
        </w:tc>
        <w:tc>
          <w:tcPr>
            <w:tcW w:w="683" w:type="dxa"/>
            <w:vMerge w:val="continue"/>
            <w:vAlign w:val="center"/>
          </w:tcPr>
          <w:p>
            <w:pPr>
              <w:adjustRightInd w:val="0"/>
              <w:snapToGrid w:val="0"/>
              <w:spacing w:line="240" w:lineRule="exact"/>
              <w:jc w:val="center"/>
              <w:rPr>
                <w:bCs/>
                <w:szCs w:val="21"/>
              </w:rPr>
            </w:pPr>
          </w:p>
        </w:tc>
        <w:tc>
          <w:tcPr>
            <w:tcW w:w="764" w:type="dxa"/>
            <w:vAlign w:val="center"/>
          </w:tcPr>
          <w:p>
            <w:pPr>
              <w:adjustRightInd w:val="0"/>
              <w:snapToGrid w:val="0"/>
              <w:spacing w:line="240" w:lineRule="exact"/>
              <w:jc w:val="center"/>
              <w:rPr>
                <w:b/>
                <w:bCs/>
                <w:szCs w:val="21"/>
              </w:rPr>
            </w:pPr>
            <w:r>
              <w:rPr>
                <w:b/>
                <w:bCs/>
                <w:szCs w:val="21"/>
              </w:rPr>
              <w:t>kg/h</w:t>
            </w:r>
          </w:p>
        </w:tc>
        <w:tc>
          <w:tcPr>
            <w:tcW w:w="933" w:type="dxa"/>
            <w:vAlign w:val="center"/>
          </w:tcPr>
          <w:p>
            <w:pPr>
              <w:adjustRightInd w:val="0"/>
              <w:snapToGrid w:val="0"/>
              <w:spacing w:line="240" w:lineRule="exact"/>
              <w:jc w:val="center"/>
              <w:rPr>
                <w:b/>
                <w:bCs/>
                <w:szCs w:val="21"/>
              </w:rPr>
            </w:pPr>
            <w:r>
              <w:rPr>
                <w:b/>
                <w:bCs/>
                <w:szCs w:val="21"/>
              </w:rPr>
              <w:t>t/a</w:t>
            </w:r>
          </w:p>
        </w:tc>
        <w:tc>
          <w:tcPr>
            <w:tcW w:w="713" w:type="dxa"/>
            <w:vAlign w:val="center"/>
          </w:tcPr>
          <w:p>
            <w:pPr>
              <w:adjustRightInd w:val="0"/>
              <w:snapToGrid w:val="0"/>
              <w:spacing w:line="240" w:lineRule="exact"/>
              <w:jc w:val="center"/>
              <w:rPr>
                <w:b/>
                <w:bCs/>
                <w:szCs w:val="21"/>
              </w:rPr>
            </w:pPr>
            <w:r>
              <w:rPr>
                <w:b/>
                <w:bCs/>
                <w:szCs w:val="21"/>
              </w:rPr>
              <w:t>/</w:t>
            </w:r>
          </w:p>
        </w:tc>
        <w:tc>
          <w:tcPr>
            <w:tcW w:w="386" w:type="dxa"/>
            <w:vAlign w:val="center"/>
          </w:tcPr>
          <w:p>
            <w:pPr>
              <w:adjustRightInd w:val="0"/>
              <w:snapToGrid w:val="0"/>
              <w:spacing w:line="240" w:lineRule="exact"/>
              <w:jc w:val="center"/>
              <w:rPr>
                <w:b/>
                <w:bCs/>
                <w:szCs w:val="21"/>
              </w:rPr>
            </w:pPr>
            <w:r>
              <w:rPr>
                <w:b/>
                <w:bCs/>
                <w:szCs w:val="21"/>
              </w:rPr>
              <w:t>m</w:t>
            </w:r>
          </w:p>
        </w:tc>
        <w:tc>
          <w:tcPr>
            <w:tcW w:w="427" w:type="dxa"/>
            <w:vAlign w:val="center"/>
          </w:tcPr>
          <w:p>
            <w:pPr>
              <w:adjustRightInd w:val="0"/>
              <w:snapToGrid w:val="0"/>
              <w:spacing w:line="240" w:lineRule="exact"/>
              <w:jc w:val="center"/>
              <w:rPr>
                <w:b/>
                <w:bCs/>
                <w:szCs w:val="21"/>
              </w:rPr>
            </w:pPr>
            <w:r>
              <w:rPr>
                <w:b/>
                <w:bCs/>
                <w:szCs w:val="21"/>
              </w:rPr>
              <w:t>m</w:t>
            </w:r>
          </w:p>
        </w:tc>
        <w:tc>
          <w:tcPr>
            <w:tcW w:w="386" w:type="dxa"/>
            <w:vAlign w:val="center"/>
          </w:tcPr>
          <w:p>
            <w:pPr>
              <w:adjustRightInd w:val="0"/>
              <w:snapToGrid w:val="0"/>
              <w:spacing w:line="240" w:lineRule="exact"/>
              <w:jc w:val="center"/>
              <w:rPr>
                <w:b/>
                <w:bCs/>
                <w:szCs w:val="21"/>
              </w:rPr>
            </w:pPr>
            <w:r>
              <w:rPr>
                <w:b/>
                <w:bCs/>
                <w:szCs w:val="21"/>
              </w:rPr>
              <w:t>℃</w:t>
            </w:r>
          </w:p>
        </w:tc>
        <w:tc>
          <w:tcPr>
            <w:tcW w:w="386" w:type="dxa"/>
            <w:vAlign w:val="center"/>
          </w:tcPr>
          <w:p>
            <w:pPr>
              <w:adjustRightInd w:val="0"/>
              <w:snapToGrid w:val="0"/>
              <w:spacing w:line="240" w:lineRule="exact"/>
              <w:jc w:val="center"/>
              <w:rPr>
                <w:b/>
                <w:bCs/>
                <w:szCs w:val="21"/>
              </w:rPr>
            </w:pPr>
            <w:r>
              <w:rPr>
                <w:b/>
                <w:bCs/>
                <w:szCs w:val="21"/>
              </w:rPr>
              <w:t>/</w:t>
            </w:r>
          </w:p>
        </w:tc>
        <w:tc>
          <w:tcPr>
            <w:tcW w:w="1125" w:type="dxa"/>
            <w:vAlign w:val="center"/>
          </w:tcPr>
          <w:p>
            <w:pPr>
              <w:adjustRightInd w:val="0"/>
              <w:snapToGrid w:val="0"/>
              <w:spacing w:line="240" w:lineRule="exact"/>
              <w:jc w:val="center"/>
              <w:rPr>
                <w:b/>
                <w:bCs/>
                <w:szCs w:val="21"/>
              </w:rPr>
            </w:pPr>
            <w:r>
              <w:rPr>
                <w:b/>
                <w:bCs/>
                <w:szCs w:val="21"/>
              </w:rPr>
              <w:t>/</w:t>
            </w:r>
          </w:p>
        </w:tc>
        <w:tc>
          <w:tcPr>
            <w:tcW w:w="568" w:type="dxa"/>
            <w:vMerge w:val="continue"/>
            <w:vAlign w:val="center"/>
          </w:tcPr>
          <w:p>
            <w:pPr>
              <w:adjustRightInd w:val="0"/>
              <w:snapToGrid w:val="0"/>
              <w:spacing w:line="240" w:lineRule="exact"/>
              <w:jc w:val="center"/>
              <w:rPr>
                <w:bCs/>
                <w:szCs w:val="21"/>
              </w:rPr>
            </w:pPr>
          </w:p>
        </w:tc>
        <w:tc>
          <w:tcPr>
            <w:tcW w:w="536" w:type="dxa"/>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Align w:val="center"/>
          </w:tcPr>
          <w:p>
            <w:pPr>
              <w:widowControl/>
              <w:jc w:val="center"/>
              <w:textAlignment w:val="center"/>
              <w:rPr>
                <w:bCs/>
                <w:szCs w:val="21"/>
              </w:rPr>
            </w:pPr>
            <w:r>
              <w:rPr>
                <w:rFonts w:hint="eastAsia" w:ascii="宋体" w:hAnsi="宋体" w:cs="宋体"/>
                <w:color w:val="000000"/>
                <w:kern w:val="0"/>
                <w:szCs w:val="21"/>
                <w:lang w:bidi="ar"/>
              </w:rPr>
              <w:t>机加工粉尘</w:t>
            </w:r>
          </w:p>
        </w:tc>
        <w:tc>
          <w:tcPr>
            <w:tcW w:w="386" w:type="dxa"/>
            <w:vAlign w:val="center"/>
          </w:tcPr>
          <w:p>
            <w:pPr>
              <w:snapToGrid w:val="0"/>
              <w:spacing w:line="240" w:lineRule="atLeast"/>
              <w:jc w:val="center"/>
              <w:rPr>
                <w:szCs w:val="21"/>
              </w:rPr>
            </w:pPr>
            <w:r>
              <w:rPr>
                <w:rFonts w:hint="eastAsia"/>
                <w:szCs w:val="21"/>
              </w:rPr>
              <w:t>有组织</w:t>
            </w:r>
          </w:p>
        </w:tc>
        <w:tc>
          <w:tcPr>
            <w:tcW w:w="638" w:type="dxa"/>
            <w:tcBorders>
              <w:bottom w:val="single" w:color="auto" w:sz="4" w:space="0"/>
            </w:tcBorders>
            <w:vAlign w:val="center"/>
          </w:tcPr>
          <w:p>
            <w:pPr>
              <w:adjustRightInd w:val="0"/>
              <w:snapToGrid w:val="0"/>
              <w:jc w:val="center"/>
              <w:rPr>
                <w:kern w:val="0"/>
                <w:szCs w:val="21"/>
              </w:rPr>
            </w:pPr>
            <w:r>
              <w:rPr>
                <w:rFonts w:hint="eastAsia"/>
                <w:kern w:val="0"/>
                <w:szCs w:val="21"/>
              </w:rPr>
              <w:t>粉尘</w:t>
            </w:r>
          </w:p>
        </w:tc>
        <w:tc>
          <w:tcPr>
            <w:tcW w:w="683"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30</w:t>
            </w:r>
          </w:p>
        </w:tc>
        <w:tc>
          <w:tcPr>
            <w:tcW w:w="764" w:type="dxa"/>
            <w:vAlign w:val="center"/>
          </w:tcPr>
          <w:p>
            <w:pPr>
              <w:adjustRightInd w:val="0"/>
              <w:snapToGrid w:val="0"/>
              <w:jc w:val="center"/>
              <w:rPr>
                <w:kern w:val="0"/>
                <w:szCs w:val="21"/>
              </w:rPr>
            </w:pPr>
            <w:r>
              <w:rPr>
                <w:rFonts w:hint="eastAsia"/>
                <w:kern w:val="0"/>
                <w:szCs w:val="21"/>
              </w:rPr>
              <w:t>0.03</w:t>
            </w:r>
          </w:p>
        </w:tc>
        <w:tc>
          <w:tcPr>
            <w:tcW w:w="654" w:type="dxa"/>
            <w:vAlign w:val="center"/>
          </w:tcPr>
          <w:p>
            <w:pPr>
              <w:adjustRightInd w:val="0"/>
              <w:snapToGrid w:val="0"/>
              <w:jc w:val="center"/>
              <w:rPr>
                <w:kern w:val="0"/>
                <w:szCs w:val="21"/>
              </w:rPr>
            </w:pPr>
            <w:r>
              <w:rPr>
                <w:rFonts w:hint="eastAsia"/>
                <w:kern w:val="0"/>
                <w:szCs w:val="21"/>
              </w:rPr>
              <w:t>0.072</w:t>
            </w:r>
          </w:p>
        </w:tc>
        <w:tc>
          <w:tcPr>
            <w:tcW w:w="709"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1000</w:t>
            </w:r>
          </w:p>
        </w:tc>
        <w:tc>
          <w:tcPr>
            <w:tcW w:w="567" w:type="dxa"/>
            <w:vAlign w:val="center"/>
          </w:tcPr>
          <w:p>
            <w:pPr>
              <w:jc w:val="center"/>
              <w:rPr>
                <w:szCs w:val="21"/>
              </w:rPr>
            </w:pPr>
            <w:r>
              <w:rPr>
                <w:rFonts w:hint="eastAsia"/>
                <w:szCs w:val="21"/>
              </w:rPr>
              <w:t>80</w:t>
            </w:r>
          </w:p>
        </w:tc>
        <w:tc>
          <w:tcPr>
            <w:tcW w:w="538" w:type="dxa"/>
            <w:vAlign w:val="center"/>
          </w:tcPr>
          <w:p>
            <w:pPr>
              <w:jc w:val="center"/>
              <w:rPr>
                <w:szCs w:val="21"/>
              </w:rPr>
            </w:pPr>
            <w:r>
              <w:rPr>
                <w:rFonts w:hint="eastAsia"/>
                <w:szCs w:val="21"/>
              </w:rPr>
              <w:t>98.4</w:t>
            </w:r>
          </w:p>
        </w:tc>
        <w:tc>
          <w:tcPr>
            <w:tcW w:w="313" w:type="dxa"/>
            <w:vAlign w:val="center"/>
          </w:tcPr>
          <w:p>
            <w:pPr>
              <w:jc w:val="center"/>
              <w:rPr>
                <w:szCs w:val="21"/>
              </w:rPr>
            </w:pPr>
            <w:r>
              <w:rPr>
                <w:rFonts w:hint="eastAsia"/>
                <w:szCs w:val="21"/>
              </w:rPr>
              <w:t>是</w:t>
            </w:r>
          </w:p>
        </w:tc>
        <w:tc>
          <w:tcPr>
            <w:tcW w:w="684" w:type="dxa"/>
            <w:vAlign w:val="center"/>
          </w:tcPr>
          <w:p>
            <w:pPr>
              <w:adjustRightInd w:val="0"/>
              <w:snapToGrid w:val="0"/>
              <w:jc w:val="center"/>
              <w:rPr>
                <w:kern w:val="0"/>
                <w:szCs w:val="21"/>
              </w:rPr>
            </w:pPr>
            <w:r>
              <w:rPr>
                <w:rFonts w:hint="eastAsia"/>
                <w:kern w:val="0"/>
                <w:szCs w:val="21"/>
              </w:rPr>
              <w:t>中央集尘</w:t>
            </w:r>
            <w:r>
              <w:rPr>
                <w:kern w:val="0"/>
                <w:szCs w:val="21"/>
              </w:rPr>
              <w:t>+</w:t>
            </w:r>
            <w:r>
              <w:rPr>
                <w:rFonts w:hint="eastAsia"/>
                <w:kern w:val="0"/>
                <w:szCs w:val="21"/>
              </w:rPr>
              <w:t>1</w:t>
            </w:r>
            <w:r>
              <w:rPr>
                <w:kern w:val="0"/>
                <w:szCs w:val="21"/>
              </w:rPr>
              <w:t>5m高排气筒</w:t>
            </w:r>
          </w:p>
        </w:tc>
        <w:tc>
          <w:tcPr>
            <w:tcW w:w="683"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0.48</w:t>
            </w:r>
          </w:p>
        </w:tc>
        <w:tc>
          <w:tcPr>
            <w:tcW w:w="764" w:type="dxa"/>
            <w:vAlign w:val="center"/>
          </w:tcPr>
          <w:p>
            <w:pPr>
              <w:adjustRightInd w:val="0"/>
              <w:snapToGrid w:val="0"/>
              <w:jc w:val="center"/>
              <w:rPr>
                <w:kern w:val="0"/>
                <w:szCs w:val="21"/>
              </w:rPr>
            </w:pPr>
            <w:r>
              <w:rPr>
                <w:rFonts w:hint="eastAsia"/>
                <w:kern w:val="0"/>
                <w:szCs w:val="21"/>
              </w:rPr>
              <w:t>0.00048</w:t>
            </w:r>
          </w:p>
        </w:tc>
        <w:tc>
          <w:tcPr>
            <w:tcW w:w="933" w:type="dxa"/>
            <w:vAlign w:val="center"/>
          </w:tcPr>
          <w:p>
            <w:pPr>
              <w:adjustRightInd w:val="0"/>
              <w:snapToGrid w:val="0"/>
              <w:jc w:val="center"/>
              <w:rPr>
                <w:kern w:val="0"/>
                <w:szCs w:val="21"/>
              </w:rPr>
            </w:pPr>
            <w:r>
              <w:rPr>
                <w:rFonts w:hint="eastAsia"/>
                <w:kern w:val="0"/>
                <w:szCs w:val="21"/>
              </w:rPr>
              <w:t>0.001152</w:t>
            </w:r>
          </w:p>
        </w:tc>
        <w:tc>
          <w:tcPr>
            <w:tcW w:w="713" w:type="dxa"/>
            <w:vAlign w:val="center"/>
          </w:tcPr>
          <w:p>
            <w:pPr>
              <w:jc w:val="center"/>
              <w:rPr>
                <w:szCs w:val="21"/>
              </w:rPr>
            </w:pPr>
            <w:r>
              <w:rPr>
                <w:rFonts w:hint="eastAsia"/>
                <w:szCs w:val="21"/>
              </w:rPr>
              <w:t>DA001</w:t>
            </w:r>
            <w:r>
              <w:rPr>
                <w:szCs w:val="21"/>
              </w:rPr>
              <w:t>排放口</w:t>
            </w:r>
          </w:p>
        </w:tc>
        <w:tc>
          <w:tcPr>
            <w:tcW w:w="386" w:type="dxa"/>
            <w:vAlign w:val="center"/>
          </w:tcPr>
          <w:p>
            <w:pPr>
              <w:jc w:val="center"/>
              <w:rPr>
                <w:szCs w:val="21"/>
              </w:rPr>
            </w:pPr>
            <w:r>
              <w:rPr>
                <w:rFonts w:hint="eastAsia"/>
                <w:szCs w:val="21"/>
              </w:rPr>
              <w:t>15</w:t>
            </w:r>
          </w:p>
        </w:tc>
        <w:tc>
          <w:tcPr>
            <w:tcW w:w="427" w:type="dxa"/>
            <w:vAlign w:val="center"/>
          </w:tcPr>
          <w:p>
            <w:pPr>
              <w:jc w:val="center"/>
              <w:rPr>
                <w:szCs w:val="21"/>
              </w:rPr>
            </w:pPr>
            <w:r>
              <w:rPr>
                <w:szCs w:val="21"/>
              </w:rPr>
              <w:t>0.</w:t>
            </w:r>
            <w:r>
              <w:rPr>
                <w:rFonts w:hint="eastAsia"/>
                <w:szCs w:val="21"/>
              </w:rPr>
              <w:t>4</w:t>
            </w:r>
          </w:p>
        </w:tc>
        <w:tc>
          <w:tcPr>
            <w:tcW w:w="386" w:type="dxa"/>
            <w:vAlign w:val="center"/>
          </w:tcPr>
          <w:p>
            <w:pPr>
              <w:jc w:val="center"/>
              <w:rPr>
                <w:szCs w:val="21"/>
              </w:rPr>
            </w:pPr>
            <w:r>
              <w:rPr>
                <w:rFonts w:hint="eastAsia"/>
                <w:szCs w:val="21"/>
              </w:rPr>
              <w:t>25</w:t>
            </w:r>
          </w:p>
        </w:tc>
        <w:tc>
          <w:tcPr>
            <w:tcW w:w="386" w:type="dxa"/>
            <w:vAlign w:val="center"/>
          </w:tcPr>
          <w:p>
            <w:pPr>
              <w:jc w:val="center"/>
              <w:rPr>
                <w:szCs w:val="21"/>
              </w:rPr>
            </w:pPr>
            <w:r>
              <w:rPr>
                <w:szCs w:val="21"/>
              </w:rPr>
              <w:t>一般排放口</w:t>
            </w:r>
          </w:p>
        </w:tc>
        <w:tc>
          <w:tcPr>
            <w:tcW w:w="1125" w:type="dxa"/>
            <w:vAlign w:val="center"/>
          </w:tcPr>
          <w:p>
            <w:pPr>
              <w:jc w:val="center"/>
              <w:rPr>
                <w:szCs w:val="21"/>
              </w:rPr>
            </w:pPr>
            <w:r>
              <w:rPr>
                <w:szCs w:val="21"/>
              </w:rPr>
              <w:t>E：</w:t>
            </w:r>
            <w:r>
              <w:rPr>
                <w:rFonts w:hint="eastAsia"/>
                <w:szCs w:val="21"/>
              </w:rPr>
              <w:t>116.831818</w:t>
            </w:r>
            <w:r>
              <w:rPr>
                <w:szCs w:val="21"/>
              </w:rPr>
              <w:t>N：</w:t>
            </w:r>
            <w:r>
              <w:rPr>
                <w:rFonts w:hint="eastAsia"/>
                <w:szCs w:val="21"/>
              </w:rPr>
              <w:t>28.467494</w:t>
            </w:r>
          </w:p>
        </w:tc>
        <w:tc>
          <w:tcPr>
            <w:tcW w:w="568" w:type="dxa"/>
            <w:vAlign w:val="center"/>
          </w:tcPr>
          <w:p>
            <w:pPr>
              <w:snapToGrid w:val="0"/>
              <w:spacing w:line="340" w:lineRule="exact"/>
              <w:jc w:val="center"/>
              <w:rPr>
                <w:szCs w:val="21"/>
              </w:rPr>
            </w:pPr>
            <w:r>
              <w:rPr>
                <w:rFonts w:hint="eastAsia"/>
                <w:szCs w:val="21"/>
              </w:rPr>
              <w:t>120</w:t>
            </w:r>
          </w:p>
        </w:tc>
        <w:tc>
          <w:tcPr>
            <w:tcW w:w="536" w:type="dxa"/>
            <w:vAlign w:val="center"/>
          </w:tcPr>
          <w:p>
            <w:pPr>
              <w:jc w:val="center"/>
              <w:rPr>
                <w:szCs w:val="21"/>
              </w:rPr>
            </w:pPr>
            <w:r>
              <w:rPr>
                <w:rFonts w:hint="eastAsia"/>
                <w:szCs w:val="21"/>
              </w:rPr>
              <w:t>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restart"/>
            <w:vAlign w:val="center"/>
          </w:tcPr>
          <w:p>
            <w:pPr>
              <w:jc w:val="center"/>
              <w:rPr>
                <w:szCs w:val="21"/>
              </w:rPr>
            </w:pPr>
            <w:r>
              <w:rPr>
                <w:rFonts w:hint="eastAsia"/>
                <w:szCs w:val="21"/>
              </w:rPr>
              <w:t>喷漆房1废气</w:t>
            </w:r>
          </w:p>
        </w:tc>
        <w:tc>
          <w:tcPr>
            <w:tcW w:w="386" w:type="dxa"/>
            <w:vMerge w:val="restart"/>
            <w:vAlign w:val="center"/>
          </w:tcPr>
          <w:p>
            <w:pPr>
              <w:jc w:val="center"/>
              <w:rPr>
                <w:szCs w:val="21"/>
              </w:rPr>
            </w:pPr>
            <w:r>
              <w:rPr>
                <w:rFonts w:hint="eastAsia"/>
                <w:szCs w:val="21"/>
              </w:rPr>
              <w:t>有组织</w:t>
            </w:r>
          </w:p>
        </w:tc>
        <w:tc>
          <w:tcPr>
            <w:tcW w:w="638" w:type="dxa"/>
            <w:vAlign w:val="center"/>
          </w:tcPr>
          <w:p>
            <w:pPr>
              <w:adjustRightInd w:val="0"/>
              <w:snapToGrid w:val="0"/>
              <w:jc w:val="center"/>
              <w:rPr>
                <w:kern w:val="0"/>
                <w:szCs w:val="21"/>
              </w:rPr>
            </w:pPr>
            <w:r>
              <w:rPr>
                <w:rFonts w:hint="eastAsia"/>
                <w:kern w:val="0"/>
                <w:szCs w:val="21"/>
              </w:rPr>
              <w:t>TVOC</w:t>
            </w:r>
          </w:p>
        </w:tc>
        <w:tc>
          <w:tcPr>
            <w:tcW w:w="683" w:type="dxa"/>
            <w:vAlign w:val="center"/>
          </w:tcPr>
          <w:p>
            <w:pPr>
              <w:adjustRightInd w:val="0"/>
              <w:snapToGrid w:val="0"/>
              <w:jc w:val="center"/>
              <w:rPr>
                <w:kern w:val="0"/>
                <w:szCs w:val="21"/>
              </w:rPr>
            </w:pPr>
            <w:r>
              <w:rPr>
                <w:rFonts w:hint="eastAsia"/>
                <w:kern w:val="0"/>
                <w:szCs w:val="21"/>
              </w:rPr>
              <w:t>35.8</w:t>
            </w:r>
          </w:p>
        </w:tc>
        <w:tc>
          <w:tcPr>
            <w:tcW w:w="764" w:type="dxa"/>
            <w:vAlign w:val="center"/>
          </w:tcPr>
          <w:p>
            <w:pPr>
              <w:adjustRightInd w:val="0"/>
              <w:snapToGrid w:val="0"/>
              <w:jc w:val="center"/>
              <w:rPr>
                <w:kern w:val="0"/>
                <w:szCs w:val="21"/>
              </w:rPr>
            </w:pPr>
            <w:r>
              <w:rPr>
                <w:rFonts w:hint="eastAsia"/>
                <w:kern w:val="0"/>
                <w:szCs w:val="21"/>
              </w:rPr>
              <w:t>0.43</w:t>
            </w:r>
          </w:p>
        </w:tc>
        <w:tc>
          <w:tcPr>
            <w:tcW w:w="654" w:type="dxa"/>
            <w:vAlign w:val="center"/>
          </w:tcPr>
          <w:p>
            <w:pPr>
              <w:adjustRightInd w:val="0"/>
              <w:snapToGrid w:val="0"/>
              <w:jc w:val="center"/>
              <w:rPr>
                <w:kern w:val="0"/>
                <w:szCs w:val="21"/>
              </w:rPr>
            </w:pPr>
            <w:r>
              <w:rPr>
                <w:rFonts w:hint="eastAsia"/>
                <w:kern w:val="0"/>
                <w:szCs w:val="21"/>
              </w:rPr>
              <w:t>1.04</w:t>
            </w:r>
          </w:p>
        </w:tc>
        <w:tc>
          <w:tcPr>
            <w:tcW w:w="709" w:type="dxa"/>
            <w:vMerge w:val="restart"/>
            <w:vAlign w:val="center"/>
          </w:tcPr>
          <w:p>
            <w:pPr>
              <w:adjustRightInd w:val="0"/>
              <w:snapToGrid w:val="0"/>
              <w:jc w:val="center"/>
              <w:rPr>
                <w:kern w:val="0"/>
                <w:szCs w:val="21"/>
              </w:rPr>
            </w:pPr>
            <w:r>
              <w:rPr>
                <w:rFonts w:hint="eastAsia"/>
                <w:kern w:val="0"/>
                <w:szCs w:val="21"/>
              </w:rPr>
              <w:t>12100</w:t>
            </w:r>
          </w:p>
          <w:p>
            <w:pPr>
              <w:jc w:val="center"/>
              <w:rPr>
                <w:szCs w:val="21"/>
              </w:rPr>
            </w:pPr>
          </w:p>
        </w:tc>
        <w:tc>
          <w:tcPr>
            <w:tcW w:w="567" w:type="dxa"/>
            <w:vMerge w:val="restart"/>
            <w:vAlign w:val="center"/>
          </w:tcPr>
          <w:p>
            <w:pPr>
              <w:jc w:val="center"/>
              <w:rPr>
                <w:szCs w:val="21"/>
              </w:rPr>
            </w:pPr>
            <w:r>
              <w:rPr>
                <w:rFonts w:hint="eastAsia"/>
                <w:szCs w:val="21"/>
              </w:rPr>
              <w:t>90</w:t>
            </w:r>
          </w:p>
        </w:tc>
        <w:tc>
          <w:tcPr>
            <w:tcW w:w="538" w:type="dxa"/>
            <w:vAlign w:val="center"/>
          </w:tcPr>
          <w:p>
            <w:pPr>
              <w:jc w:val="center"/>
              <w:rPr>
                <w:rFonts w:hint="default" w:eastAsia="宋体"/>
                <w:szCs w:val="21"/>
                <w:lang w:val="en-US" w:eastAsia="zh-CN"/>
              </w:rPr>
            </w:pPr>
            <w:r>
              <w:rPr>
                <w:rFonts w:hint="eastAsia"/>
                <w:szCs w:val="21"/>
                <w:lang w:val="en-US" w:eastAsia="zh-CN"/>
              </w:rPr>
              <w:t>50</w:t>
            </w:r>
          </w:p>
        </w:tc>
        <w:tc>
          <w:tcPr>
            <w:tcW w:w="313" w:type="dxa"/>
            <w:vAlign w:val="center"/>
          </w:tcPr>
          <w:p>
            <w:pPr>
              <w:jc w:val="center"/>
              <w:rPr>
                <w:szCs w:val="21"/>
              </w:rPr>
            </w:pPr>
            <w:r>
              <w:rPr>
                <w:rFonts w:hint="eastAsia"/>
                <w:szCs w:val="21"/>
              </w:rPr>
              <w:t>是</w:t>
            </w:r>
          </w:p>
        </w:tc>
        <w:tc>
          <w:tcPr>
            <w:tcW w:w="684" w:type="dxa"/>
            <w:vMerge w:val="restart"/>
            <w:vAlign w:val="center"/>
          </w:tcPr>
          <w:p>
            <w:pPr>
              <w:adjustRightInd w:val="0"/>
              <w:snapToGrid w:val="0"/>
              <w:jc w:val="center"/>
              <w:rPr>
                <w:szCs w:val="21"/>
              </w:rPr>
            </w:pPr>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tc>
        <w:tc>
          <w:tcPr>
            <w:tcW w:w="68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764"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93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c>
          <w:tcPr>
            <w:tcW w:w="713" w:type="dxa"/>
            <w:vMerge w:val="restart"/>
            <w:vAlign w:val="center"/>
          </w:tcPr>
          <w:p>
            <w:pPr>
              <w:jc w:val="center"/>
              <w:rPr>
                <w:szCs w:val="21"/>
              </w:rPr>
            </w:pPr>
            <w:r>
              <w:rPr>
                <w:rFonts w:hint="eastAsia"/>
                <w:szCs w:val="21"/>
              </w:rPr>
              <w:t>DA002</w:t>
            </w:r>
            <w:r>
              <w:rPr>
                <w:szCs w:val="21"/>
              </w:rPr>
              <w:t>排放口</w:t>
            </w:r>
          </w:p>
        </w:tc>
        <w:tc>
          <w:tcPr>
            <w:tcW w:w="386" w:type="dxa"/>
            <w:vMerge w:val="restart"/>
            <w:vAlign w:val="center"/>
          </w:tcPr>
          <w:p>
            <w:pPr>
              <w:jc w:val="center"/>
              <w:rPr>
                <w:szCs w:val="21"/>
              </w:rPr>
            </w:pPr>
            <w:r>
              <w:rPr>
                <w:szCs w:val="21"/>
              </w:rPr>
              <w:t>15</w:t>
            </w:r>
          </w:p>
        </w:tc>
        <w:tc>
          <w:tcPr>
            <w:tcW w:w="427" w:type="dxa"/>
            <w:vMerge w:val="restart"/>
            <w:vAlign w:val="center"/>
          </w:tcPr>
          <w:p>
            <w:pPr>
              <w:jc w:val="center"/>
              <w:rPr>
                <w:szCs w:val="21"/>
              </w:rPr>
            </w:pPr>
            <w:r>
              <w:rPr>
                <w:szCs w:val="21"/>
              </w:rPr>
              <w:t>0.</w:t>
            </w:r>
            <w:r>
              <w:rPr>
                <w:rFonts w:hint="eastAsia"/>
                <w:szCs w:val="21"/>
              </w:rPr>
              <w:t>7</w:t>
            </w:r>
          </w:p>
        </w:tc>
        <w:tc>
          <w:tcPr>
            <w:tcW w:w="386" w:type="dxa"/>
            <w:vMerge w:val="restart"/>
            <w:vAlign w:val="center"/>
          </w:tcPr>
          <w:p>
            <w:pPr>
              <w:jc w:val="center"/>
              <w:rPr>
                <w:szCs w:val="21"/>
              </w:rPr>
            </w:pPr>
            <w:r>
              <w:rPr>
                <w:rFonts w:hint="eastAsia"/>
                <w:szCs w:val="21"/>
              </w:rPr>
              <w:t>25</w:t>
            </w:r>
          </w:p>
        </w:tc>
        <w:tc>
          <w:tcPr>
            <w:tcW w:w="386" w:type="dxa"/>
            <w:vMerge w:val="restart"/>
            <w:vAlign w:val="center"/>
          </w:tcPr>
          <w:p>
            <w:pPr>
              <w:spacing w:line="340" w:lineRule="exact"/>
              <w:jc w:val="center"/>
              <w:rPr>
                <w:szCs w:val="21"/>
              </w:rPr>
            </w:pPr>
            <w:r>
              <w:rPr>
                <w:szCs w:val="21"/>
              </w:rPr>
              <w:t>一般排放口</w:t>
            </w:r>
          </w:p>
        </w:tc>
        <w:tc>
          <w:tcPr>
            <w:tcW w:w="1125" w:type="dxa"/>
            <w:vMerge w:val="restart"/>
            <w:vAlign w:val="center"/>
          </w:tcPr>
          <w:p>
            <w:pPr>
              <w:spacing w:line="340" w:lineRule="exact"/>
              <w:jc w:val="center"/>
              <w:rPr>
                <w:szCs w:val="21"/>
              </w:rPr>
            </w:pPr>
            <w:r>
              <w:rPr>
                <w:szCs w:val="21"/>
              </w:rPr>
              <w:t>E：</w:t>
            </w:r>
            <w:r>
              <w:rPr>
                <w:rFonts w:hint="eastAsia"/>
                <w:szCs w:val="21"/>
              </w:rPr>
              <w:t>116.832076</w:t>
            </w:r>
            <w:r>
              <w:rPr>
                <w:szCs w:val="21"/>
              </w:rPr>
              <w:t>N：</w:t>
            </w:r>
            <w:r>
              <w:rPr>
                <w:rFonts w:hint="eastAsia"/>
                <w:szCs w:val="21"/>
              </w:rPr>
              <w:t>28.467258</w:t>
            </w:r>
          </w:p>
        </w:tc>
        <w:tc>
          <w:tcPr>
            <w:tcW w:w="568" w:type="dxa"/>
            <w:vAlign w:val="center"/>
          </w:tcPr>
          <w:p>
            <w:pPr>
              <w:spacing w:line="340" w:lineRule="exact"/>
              <w:jc w:val="center"/>
              <w:rPr>
                <w:bCs/>
              </w:rPr>
            </w:pPr>
            <w:r>
              <w:rPr>
                <w:rFonts w:hint="eastAsia"/>
                <w:bCs/>
              </w:rPr>
              <w:t>40</w:t>
            </w:r>
          </w:p>
        </w:tc>
        <w:tc>
          <w:tcPr>
            <w:tcW w:w="536"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jc w:val="center"/>
              <w:rPr>
                <w:szCs w:val="21"/>
              </w:rPr>
            </w:pPr>
          </w:p>
        </w:tc>
        <w:tc>
          <w:tcPr>
            <w:tcW w:w="386" w:type="dxa"/>
            <w:vMerge w:val="continue"/>
            <w:vAlign w:val="center"/>
          </w:tcPr>
          <w:p>
            <w:pPr>
              <w:jc w:val="center"/>
              <w:rPr>
                <w:szCs w:val="21"/>
              </w:rPr>
            </w:pPr>
          </w:p>
        </w:tc>
        <w:tc>
          <w:tcPr>
            <w:tcW w:w="638" w:type="dxa"/>
            <w:vAlign w:val="center"/>
          </w:tcPr>
          <w:p>
            <w:pPr>
              <w:adjustRightInd w:val="0"/>
              <w:snapToGrid w:val="0"/>
              <w:jc w:val="center"/>
              <w:rPr>
                <w:kern w:val="0"/>
                <w:szCs w:val="21"/>
              </w:rPr>
            </w:pPr>
            <w:r>
              <w:rPr>
                <w:rFonts w:hint="eastAsia"/>
                <w:kern w:val="0"/>
                <w:szCs w:val="21"/>
              </w:rPr>
              <w:t>甲苯及二甲苯</w:t>
            </w:r>
          </w:p>
        </w:tc>
        <w:tc>
          <w:tcPr>
            <w:tcW w:w="683" w:type="dxa"/>
            <w:vAlign w:val="center"/>
          </w:tcPr>
          <w:p>
            <w:pPr>
              <w:adjustRightInd w:val="0"/>
              <w:snapToGrid w:val="0"/>
              <w:jc w:val="center"/>
              <w:rPr>
                <w:kern w:val="0"/>
                <w:szCs w:val="21"/>
              </w:rPr>
            </w:pPr>
            <w:r>
              <w:rPr>
                <w:rFonts w:hint="eastAsia"/>
                <w:kern w:val="0"/>
                <w:szCs w:val="21"/>
              </w:rPr>
              <w:t>8.6</w:t>
            </w:r>
          </w:p>
        </w:tc>
        <w:tc>
          <w:tcPr>
            <w:tcW w:w="764" w:type="dxa"/>
            <w:vAlign w:val="center"/>
          </w:tcPr>
          <w:p>
            <w:pPr>
              <w:adjustRightInd w:val="0"/>
              <w:snapToGrid w:val="0"/>
              <w:jc w:val="center"/>
              <w:rPr>
                <w:kern w:val="0"/>
                <w:szCs w:val="21"/>
              </w:rPr>
            </w:pPr>
            <w:r>
              <w:rPr>
                <w:rFonts w:hint="eastAsia"/>
                <w:kern w:val="0"/>
                <w:szCs w:val="21"/>
              </w:rPr>
              <w:t>0.105</w:t>
            </w:r>
          </w:p>
        </w:tc>
        <w:tc>
          <w:tcPr>
            <w:tcW w:w="654" w:type="dxa"/>
            <w:vAlign w:val="center"/>
          </w:tcPr>
          <w:p>
            <w:pPr>
              <w:adjustRightInd w:val="0"/>
              <w:snapToGrid w:val="0"/>
              <w:jc w:val="center"/>
              <w:rPr>
                <w:kern w:val="0"/>
                <w:szCs w:val="21"/>
              </w:rPr>
            </w:pPr>
            <w:r>
              <w:rPr>
                <w:rFonts w:hint="eastAsia"/>
                <w:kern w:val="0"/>
                <w:szCs w:val="21"/>
              </w:rPr>
              <w:t>0.25</w:t>
            </w:r>
          </w:p>
        </w:tc>
        <w:tc>
          <w:tcPr>
            <w:tcW w:w="709" w:type="dxa"/>
            <w:vMerge w:val="continue"/>
            <w:vAlign w:val="center"/>
          </w:tcPr>
          <w:p>
            <w:pPr>
              <w:jc w:val="center"/>
              <w:rPr>
                <w:szCs w:val="21"/>
              </w:rPr>
            </w:pPr>
          </w:p>
        </w:tc>
        <w:tc>
          <w:tcPr>
            <w:tcW w:w="567" w:type="dxa"/>
            <w:vMerge w:val="continue"/>
            <w:vAlign w:val="center"/>
          </w:tcPr>
          <w:p>
            <w:pPr>
              <w:jc w:val="center"/>
              <w:rPr>
                <w:szCs w:val="21"/>
              </w:rPr>
            </w:pPr>
          </w:p>
        </w:tc>
        <w:tc>
          <w:tcPr>
            <w:tcW w:w="538" w:type="dxa"/>
            <w:vAlign w:val="center"/>
          </w:tcPr>
          <w:p>
            <w:pPr>
              <w:jc w:val="center"/>
              <w:rPr>
                <w:rFonts w:hint="default" w:eastAsia="宋体"/>
                <w:szCs w:val="21"/>
                <w:lang w:val="en-US" w:eastAsia="zh-CN"/>
              </w:rPr>
            </w:pPr>
            <w:r>
              <w:rPr>
                <w:rFonts w:hint="eastAsia"/>
                <w:szCs w:val="21"/>
                <w:lang w:val="en-US" w:eastAsia="zh-CN"/>
              </w:rPr>
              <w:t>50</w:t>
            </w:r>
          </w:p>
        </w:tc>
        <w:tc>
          <w:tcPr>
            <w:tcW w:w="313" w:type="dxa"/>
            <w:vAlign w:val="center"/>
          </w:tcPr>
          <w:p>
            <w:pPr>
              <w:jc w:val="center"/>
              <w:rPr>
                <w:szCs w:val="21"/>
              </w:rPr>
            </w:pPr>
            <w:r>
              <w:rPr>
                <w:rFonts w:hint="eastAsia"/>
                <w:szCs w:val="21"/>
              </w:rPr>
              <w:t>是</w:t>
            </w:r>
          </w:p>
        </w:tc>
        <w:tc>
          <w:tcPr>
            <w:tcW w:w="684" w:type="dxa"/>
            <w:vMerge w:val="continue"/>
            <w:vAlign w:val="center"/>
          </w:tcPr>
          <w:p>
            <w:pPr>
              <w:jc w:val="center"/>
              <w:rPr>
                <w:szCs w:val="21"/>
              </w:rPr>
            </w:pPr>
          </w:p>
        </w:tc>
        <w:tc>
          <w:tcPr>
            <w:tcW w:w="68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764"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93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c>
          <w:tcPr>
            <w:tcW w:w="713" w:type="dxa"/>
            <w:vMerge w:val="continue"/>
            <w:vAlign w:val="center"/>
          </w:tcPr>
          <w:p>
            <w:pPr>
              <w:jc w:val="center"/>
              <w:rPr>
                <w:szCs w:val="21"/>
              </w:rPr>
            </w:pPr>
          </w:p>
        </w:tc>
        <w:tc>
          <w:tcPr>
            <w:tcW w:w="386" w:type="dxa"/>
            <w:vMerge w:val="continue"/>
            <w:vAlign w:val="center"/>
          </w:tcPr>
          <w:p>
            <w:pPr>
              <w:jc w:val="center"/>
              <w:rPr>
                <w:szCs w:val="21"/>
              </w:rPr>
            </w:pPr>
          </w:p>
        </w:tc>
        <w:tc>
          <w:tcPr>
            <w:tcW w:w="427" w:type="dxa"/>
            <w:vMerge w:val="continue"/>
            <w:vAlign w:val="center"/>
          </w:tcPr>
          <w:p>
            <w:pPr>
              <w:jc w:val="center"/>
              <w:rPr>
                <w:szCs w:val="21"/>
              </w:rPr>
            </w:pPr>
          </w:p>
        </w:tc>
        <w:tc>
          <w:tcPr>
            <w:tcW w:w="386" w:type="dxa"/>
            <w:vMerge w:val="continue"/>
            <w:vAlign w:val="center"/>
          </w:tcPr>
          <w:p>
            <w:pPr>
              <w:jc w:val="center"/>
              <w:rPr>
                <w:szCs w:val="21"/>
              </w:rPr>
            </w:pPr>
          </w:p>
        </w:tc>
        <w:tc>
          <w:tcPr>
            <w:tcW w:w="386" w:type="dxa"/>
            <w:vMerge w:val="continue"/>
            <w:vAlign w:val="center"/>
          </w:tcPr>
          <w:p>
            <w:pPr>
              <w:spacing w:line="340" w:lineRule="exact"/>
              <w:jc w:val="center"/>
              <w:rPr>
                <w:szCs w:val="21"/>
              </w:rPr>
            </w:pPr>
          </w:p>
        </w:tc>
        <w:tc>
          <w:tcPr>
            <w:tcW w:w="1125" w:type="dxa"/>
            <w:vMerge w:val="continue"/>
            <w:vAlign w:val="center"/>
          </w:tcPr>
          <w:p>
            <w:pPr>
              <w:spacing w:line="340" w:lineRule="exact"/>
              <w:jc w:val="center"/>
              <w:rPr>
                <w:szCs w:val="21"/>
              </w:rPr>
            </w:pPr>
          </w:p>
        </w:tc>
        <w:tc>
          <w:tcPr>
            <w:tcW w:w="568" w:type="dxa"/>
            <w:vAlign w:val="center"/>
          </w:tcPr>
          <w:p>
            <w:pPr>
              <w:spacing w:line="340" w:lineRule="exact"/>
              <w:jc w:val="center"/>
              <w:rPr>
                <w:bCs/>
              </w:rPr>
            </w:pPr>
            <w:r>
              <w:rPr>
                <w:rFonts w:hint="eastAsia"/>
                <w:bCs/>
              </w:rPr>
              <w:t>20</w:t>
            </w:r>
          </w:p>
        </w:tc>
        <w:tc>
          <w:tcPr>
            <w:tcW w:w="536"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jc w:val="center"/>
              <w:rPr>
                <w:szCs w:val="21"/>
              </w:rPr>
            </w:pPr>
          </w:p>
        </w:tc>
        <w:tc>
          <w:tcPr>
            <w:tcW w:w="386" w:type="dxa"/>
            <w:vMerge w:val="continue"/>
            <w:vAlign w:val="center"/>
          </w:tcPr>
          <w:p>
            <w:pPr>
              <w:jc w:val="center"/>
              <w:rPr>
                <w:szCs w:val="21"/>
              </w:rPr>
            </w:pPr>
          </w:p>
        </w:tc>
        <w:tc>
          <w:tcPr>
            <w:tcW w:w="638" w:type="dxa"/>
            <w:vAlign w:val="center"/>
          </w:tcPr>
          <w:p>
            <w:pPr>
              <w:adjustRightInd w:val="0"/>
              <w:snapToGrid w:val="0"/>
              <w:jc w:val="center"/>
              <w:rPr>
                <w:kern w:val="0"/>
                <w:szCs w:val="21"/>
              </w:rPr>
            </w:pPr>
            <w:r>
              <w:rPr>
                <w:rFonts w:hint="eastAsia"/>
                <w:kern w:val="0"/>
                <w:szCs w:val="21"/>
              </w:rPr>
              <w:t>漆雾</w:t>
            </w:r>
          </w:p>
        </w:tc>
        <w:tc>
          <w:tcPr>
            <w:tcW w:w="683" w:type="dxa"/>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764" w:type="dxa"/>
            <w:vAlign w:val="center"/>
          </w:tcPr>
          <w:p>
            <w:pPr>
              <w:adjustRightInd w:val="0"/>
              <w:snapToGrid w:val="0"/>
              <w:jc w:val="center"/>
              <w:rPr>
                <w:kern w:val="0"/>
                <w:szCs w:val="21"/>
              </w:rPr>
            </w:pPr>
            <w:r>
              <w:rPr>
                <w:rFonts w:hint="eastAsia"/>
                <w:kern w:val="0"/>
                <w:szCs w:val="21"/>
              </w:rPr>
              <w:t>0.066</w:t>
            </w:r>
          </w:p>
        </w:tc>
        <w:tc>
          <w:tcPr>
            <w:tcW w:w="654" w:type="dxa"/>
            <w:vAlign w:val="center"/>
          </w:tcPr>
          <w:p>
            <w:pPr>
              <w:adjustRightInd w:val="0"/>
              <w:snapToGrid w:val="0"/>
              <w:jc w:val="center"/>
              <w:rPr>
                <w:kern w:val="0"/>
                <w:szCs w:val="21"/>
              </w:rPr>
            </w:pPr>
            <w:r>
              <w:rPr>
                <w:rFonts w:hint="eastAsia"/>
                <w:kern w:val="0"/>
                <w:szCs w:val="21"/>
              </w:rPr>
              <w:t>0.159</w:t>
            </w:r>
          </w:p>
        </w:tc>
        <w:tc>
          <w:tcPr>
            <w:tcW w:w="709" w:type="dxa"/>
            <w:vMerge w:val="continue"/>
            <w:vAlign w:val="center"/>
          </w:tcPr>
          <w:p>
            <w:pPr>
              <w:jc w:val="center"/>
              <w:rPr>
                <w:szCs w:val="21"/>
              </w:rPr>
            </w:pPr>
          </w:p>
        </w:tc>
        <w:tc>
          <w:tcPr>
            <w:tcW w:w="567" w:type="dxa"/>
            <w:vMerge w:val="continue"/>
            <w:vAlign w:val="center"/>
          </w:tcPr>
          <w:p>
            <w:pPr>
              <w:jc w:val="center"/>
              <w:rPr>
                <w:szCs w:val="21"/>
              </w:rPr>
            </w:pPr>
          </w:p>
        </w:tc>
        <w:tc>
          <w:tcPr>
            <w:tcW w:w="538" w:type="dxa"/>
            <w:vAlign w:val="center"/>
          </w:tcPr>
          <w:p>
            <w:pPr>
              <w:jc w:val="center"/>
              <w:rPr>
                <w:szCs w:val="21"/>
              </w:rPr>
            </w:pPr>
            <w:r>
              <w:rPr>
                <w:rFonts w:hint="eastAsia"/>
                <w:szCs w:val="21"/>
              </w:rPr>
              <w:t>90</w:t>
            </w:r>
          </w:p>
        </w:tc>
        <w:tc>
          <w:tcPr>
            <w:tcW w:w="313" w:type="dxa"/>
            <w:vAlign w:val="center"/>
          </w:tcPr>
          <w:p>
            <w:pPr>
              <w:jc w:val="center"/>
              <w:rPr>
                <w:szCs w:val="21"/>
              </w:rPr>
            </w:pPr>
            <w:r>
              <w:rPr>
                <w:rFonts w:hint="eastAsia"/>
                <w:szCs w:val="21"/>
              </w:rPr>
              <w:t>是</w:t>
            </w:r>
          </w:p>
        </w:tc>
        <w:tc>
          <w:tcPr>
            <w:tcW w:w="684" w:type="dxa"/>
            <w:vMerge w:val="continue"/>
            <w:vAlign w:val="center"/>
          </w:tcPr>
          <w:p>
            <w:pPr>
              <w:jc w:val="center"/>
              <w:rPr>
                <w:szCs w:val="21"/>
              </w:rPr>
            </w:pPr>
          </w:p>
        </w:tc>
        <w:tc>
          <w:tcPr>
            <w:tcW w:w="683"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764"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933"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c>
          <w:tcPr>
            <w:tcW w:w="713" w:type="dxa"/>
            <w:vMerge w:val="continue"/>
            <w:vAlign w:val="center"/>
          </w:tcPr>
          <w:p>
            <w:pPr>
              <w:jc w:val="center"/>
              <w:rPr>
                <w:szCs w:val="21"/>
              </w:rPr>
            </w:pPr>
          </w:p>
        </w:tc>
        <w:tc>
          <w:tcPr>
            <w:tcW w:w="386" w:type="dxa"/>
            <w:vMerge w:val="continue"/>
            <w:vAlign w:val="center"/>
          </w:tcPr>
          <w:p>
            <w:pPr>
              <w:jc w:val="center"/>
              <w:rPr>
                <w:szCs w:val="21"/>
              </w:rPr>
            </w:pPr>
          </w:p>
        </w:tc>
        <w:tc>
          <w:tcPr>
            <w:tcW w:w="427" w:type="dxa"/>
            <w:vMerge w:val="continue"/>
            <w:vAlign w:val="center"/>
          </w:tcPr>
          <w:p>
            <w:pPr>
              <w:jc w:val="center"/>
              <w:rPr>
                <w:szCs w:val="21"/>
              </w:rPr>
            </w:pPr>
          </w:p>
        </w:tc>
        <w:tc>
          <w:tcPr>
            <w:tcW w:w="386" w:type="dxa"/>
            <w:vMerge w:val="continue"/>
            <w:vAlign w:val="center"/>
          </w:tcPr>
          <w:p>
            <w:pPr>
              <w:jc w:val="center"/>
              <w:rPr>
                <w:szCs w:val="21"/>
              </w:rPr>
            </w:pPr>
          </w:p>
        </w:tc>
        <w:tc>
          <w:tcPr>
            <w:tcW w:w="386" w:type="dxa"/>
            <w:vMerge w:val="continue"/>
            <w:vAlign w:val="center"/>
          </w:tcPr>
          <w:p>
            <w:pPr>
              <w:spacing w:line="340" w:lineRule="exact"/>
              <w:jc w:val="center"/>
              <w:rPr>
                <w:szCs w:val="21"/>
              </w:rPr>
            </w:pPr>
          </w:p>
        </w:tc>
        <w:tc>
          <w:tcPr>
            <w:tcW w:w="1125" w:type="dxa"/>
            <w:vMerge w:val="continue"/>
            <w:vAlign w:val="center"/>
          </w:tcPr>
          <w:p>
            <w:pPr>
              <w:spacing w:line="340" w:lineRule="exact"/>
              <w:jc w:val="center"/>
              <w:rPr>
                <w:szCs w:val="21"/>
              </w:rPr>
            </w:pPr>
          </w:p>
        </w:tc>
        <w:tc>
          <w:tcPr>
            <w:tcW w:w="568" w:type="dxa"/>
            <w:vAlign w:val="center"/>
          </w:tcPr>
          <w:p>
            <w:pPr>
              <w:snapToGrid w:val="0"/>
              <w:spacing w:line="340" w:lineRule="exact"/>
              <w:jc w:val="center"/>
              <w:rPr>
                <w:szCs w:val="21"/>
              </w:rPr>
            </w:pPr>
            <w:r>
              <w:rPr>
                <w:rFonts w:hint="eastAsia"/>
                <w:szCs w:val="21"/>
              </w:rPr>
              <w:t>120</w:t>
            </w:r>
          </w:p>
        </w:tc>
        <w:tc>
          <w:tcPr>
            <w:tcW w:w="536" w:type="dxa"/>
            <w:vAlign w:val="center"/>
          </w:tcPr>
          <w:p>
            <w:pPr>
              <w:jc w:val="center"/>
              <w:rPr>
                <w:szCs w:val="21"/>
              </w:rPr>
            </w:pPr>
            <w:r>
              <w:rPr>
                <w:rFonts w:hint="eastAsia"/>
                <w:szCs w:val="21"/>
              </w:rPr>
              <w:t>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restart"/>
            <w:vAlign w:val="center"/>
          </w:tcPr>
          <w:p>
            <w:pPr>
              <w:jc w:val="center"/>
              <w:rPr>
                <w:szCs w:val="21"/>
              </w:rPr>
            </w:pPr>
            <w:r>
              <w:rPr>
                <w:rFonts w:hint="eastAsia"/>
                <w:szCs w:val="21"/>
              </w:rPr>
              <w:t>喷漆房2废气</w:t>
            </w:r>
          </w:p>
        </w:tc>
        <w:tc>
          <w:tcPr>
            <w:tcW w:w="386" w:type="dxa"/>
            <w:vMerge w:val="restart"/>
            <w:vAlign w:val="center"/>
          </w:tcPr>
          <w:p>
            <w:pPr>
              <w:jc w:val="center"/>
              <w:rPr>
                <w:szCs w:val="21"/>
              </w:rPr>
            </w:pPr>
            <w:r>
              <w:rPr>
                <w:rFonts w:hint="eastAsia"/>
                <w:szCs w:val="21"/>
              </w:rPr>
              <w:t>有组织</w:t>
            </w:r>
          </w:p>
        </w:tc>
        <w:tc>
          <w:tcPr>
            <w:tcW w:w="638" w:type="dxa"/>
            <w:vAlign w:val="center"/>
          </w:tcPr>
          <w:p>
            <w:pPr>
              <w:adjustRightInd w:val="0"/>
              <w:snapToGrid w:val="0"/>
              <w:jc w:val="center"/>
              <w:rPr>
                <w:kern w:val="0"/>
                <w:szCs w:val="21"/>
              </w:rPr>
            </w:pPr>
            <w:r>
              <w:rPr>
                <w:rFonts w:hint="eastAsia"/>
                <w:kern w:val="0"/>
                <w:szCs w:val="21"/>
              </w:rPr>
              <w:t>TVOC</w:t>
            </w:r>
          </w:p>
        </w:tc>
        <w:tc>
          <w:tcPr>
            <w:tcW w:w="683" w:type="dxa"/>
            <w:vAlign w:val="center"/>
          </w:tcPr>
          <w:p>
            <w:pPr>
              <w:adjustRightInd w:val="0"/>
              <w:snapToGrid w:val="0"/>
              <w:jc w:val="center"/>
              <w:rPr>
                <w:kern w:val="0"/>
                <w:szCs w:val="21"/>
              </w:rPr>
            </w:pPr>
            <w:r>
              <w:rPr>
                <w:rFonts w:hint="eastAsia"/>
                <w:kern w:val="0"/>
                <w:szCs w:val="21"/>
              </w:rPr>
              <w:t>35.8</w:t>
            </w:r>
          </w:p>
        </w:tc>
        <w:tc>
          <w:tcPr>
            <w:tcW w:w="764" w:type="dxa"/>
            <w:vAlign w:val="center"/>
          </w:tcPr>
          <w:p>
            <w:pPr>
              <w:adjustRightInd w:val="0"/>
              <w:snapToGrid w:val="0"/>
              <w:jc w:val="center"/>
              <w:rPr>
                <w:kern w:val="0"/>
                <w:szCs w:val="21"/>
              </w:rPr>
            </w:pPr>
            <w:r>
              <w:rPr>
                <w:rFonts w:hint="eastAsia"/>
                <w:kern w:val="0"/>
                <w:szCs w:val="21"/>
              </w:rPr>
              <w:t>0.43</w:t>
            </w:r>
          </w:p>
        </w:tc>
        <w:tc>
          <w:tcPr>
            <w:tcW w:w="654" w:type="dxa"/>
            <w:vAlign w:val="center"/>
          </w:tcPr>
          <w:p>
            <w:pPr>
              <w:adjustRightInd w:val="0"/>
              <w:snapToGrid w:val="0"/>
              <w:jc w:val="center"/>
              <w:rPr>
                <w:kern w:val="0"/>
                <w:szCs w:val="21"/>
              </w:rPr>
            </w:pPr>
            <w:r>
              <w:rPr>
                <w:rFonts w:hint="eastAsia"/>
                <w:kern w:val="0"/>
                <w:szCs w:val="21"/>
              </w:rPr>
              <w:t>1.04</w:t>
            </w:r>
          </w:p>
        </w:tc>
        <w:tc>
          <w:tcPr>
            <w:tcW w:w="709" w:type="dxa"/>
            <w:vMerge w:val="restart"/>
            <w:vAlign w:val="center"/>
          </w:tcPr>
          <w:p>
            <w:pPr>
              <w:adjustRightInd w:val="0"/>
              <w:snapToGrid w:val="0"/>
              <w:jc w:val="center"/>
              <w:rPr>
                <w:kern w:val="0"/>
                <w:szCs w:val="21"/>
              </w:rPr>
            </w:pPr>
            <w:r>
              <w:rPr>
                <w:rFonts w:hint="eastAsia"/>
                <w:kern w:val="0"/>
                <w:szCs w:val="21"/>
              </w:rPr>
              <w:t>12100</w:t>
            </w:r>
          </w:p>
          <w:p>
            <w:pPr>
              <w:jc w:val="center"/>
              <w:rPr>
                <w:szCs w:val="21"/>
              </w:rPr>
            </w:pPr>
          </w:p>
        </w:tc>
        <w:tc>
          <w:tcPr>
            <w:tcW w:w="567" w:type="dxa"/>
            <w:vMerge w:val="restart"/>
            <w:vAlign w:val="center"/>
          </w:tcPr>
          <w:p>
            <w:pPr>
              <w:jc w:val="center"/>
              <w:rPr>
                <w:szCs w:val="21"/>
              </w:rPr>
            </w:pPr>
            <w:r>
              <w:rPr>
                <w:rFonts w:hint="eastAsia"/>
                <w:szCs w:val="21"/>
              </w:rPr>
              <w:t>90</w:t>
            </w:r>
          </w:p>
        </w:tc>
        <w:tc>
          <w:tcPr>
            <w:tcW w:w="538"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50</w:t>
            </w:r>
          </w:p>
        </w:tc>
        <w:tc>
          <w:tcPr>
            <w:tcW w:w="313" w:type="dxa"/>
            <w:vAlign w:val="center"/>
          </w:tcPr>
          <w:p>
            <w:pPr>
              <w:jc w:val="center"/>
              <w:rPr>
                <w:szCs w:val="21"/>
              </w:rPr>
            </w:pPr>
            <w:r>
              <w:rPr>
                <w:rFonts w:hint="eastAsia"/>
                <w:szCs w:val="21"/>
              </w:rPr>
              <w:t>是</w:t>
            </w:r>
          </w:p>
        </w:tc>
        <w:tc>
          <w:tcPr>
            <w:tcW w:w="684" w:type="dxa"/>
            <w:vMerge w:val="restart"/>
            <w:vAlign w:val="center"/>
          </w:tcPr>
          <w:p>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p>
            <w:pPr>
              <w:jc w:val="center"/>
              <w:rPr>
                <w:szCs w:val="21"/>
              </w:rPr>
            </w:pPr>
          </w:p>
        </w:tc>
        <w:tc>
          <w:tcPr>
            <w:tcW w:w="68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764"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93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c>
          <w:tcPr>
            <w:tcW w:w="713" w:type="dxa"/>
            <w:vMerge w:val="restart"/>
            <w:vAlign w:val="center"/>
          </w:tcPr>
          <w:p>
            <w:pPr>
              <w:jc w:val="center"/>
              <w:rPr>
                <w:szCs w:val="21"/>
              </w:rPr>
            </w:pPr>
            <w:r>
              <w:rPr>
                <w:rFonts w:hint="eastAsia"/>
                <w:szCs w:val="21"/>
              </w:rPr>
              <w:t>DA003</w:t>
            </w:r>
            <w:r>
              <w:rPr>
                <w:szCs w:val="21"/>
              </w:rPr>
              <w:t>排放口</w:t>
            </w:r>
          </w:p>
        </w:tc>
        <w:tc>
          <w:tcPr>
            <w:tcW w:w="386" w:type="dxa"/>
            <w:vMerge w:val="restart"/>
            <w:vAlign w:val="center"/>
          </w:tcPr>
          <w:p>
            <w:pPr>
              <w:jc w:val="center"/>
              <w:rPr>
                <w:szCs w:val="21"/>
              </w:rPr>
            </w:pPr>
            <w:r>
              <w:rPr>
                <w:szCs w:val="21"/>
              </w:rPr>
              <w:t>15</w:t>
            </w:r>
          </w:p>
        </w:tc>
        <w:tc>
          <w:tcPr>
            <w:tcW w:w="427" w:type="dxa"/>
            <w:vMerge w:val="restart"/>
            <w:vAlign w:val="center"/>
          </w:tcPr>
          <w:p>
            <w:pPr>
              <w:jc w:val="center"/>
              <w:rPr>
                <w:szCs w:val="21"/>
              </w:rPr>
            </w:pPr>
            <w:r>
              <w:rPr>
                <w:szCs w:val="21"/>
              </w:rPr>
              <w:t>0.</w:t>
            </w:r>
            <w:r>
              <w:rPr>
                <w:rFonts w:hint="eastAsia"/>
                <w:szCs w:val="21"/>
              </w:rPr>
              <w:t>7</w:t>
            </w:r>
          </w:p>
        </w:tc>
        <w:tc>
          <w:tcPr>
            <w:tcW w:w="386" w:type="dxa"/>
            <w:vMerge w:val="restart"/>
            <w:vAlign w:val="center"/>
          </w:tcPr>
          <w:p>
            <w:pPr>
              <w:jc w:val="center"/>
              <w:rPr>
                <w:szCs w:val="21"/>
              </w:rPr>
            </w:pPr>
            <w:r>
              <w:rPr>
                <w:rFonts w:hint="eastAsia"/>
                <w:szCs w:val="21"/>
              </w:rPr>
              <w:t>25</w:t>
            </w:r>
          </w:p>
        </w:tc>
        <w:tc>
          <w:tcPr>
            <w:tcW w:w="386" w:type="dxa"/>
            <w:vMerge w:val="restart"/>
            <w:vAlign w:val="center"/>
          </w:tcPr>
          <w:p>
            <w:pPr>
              <w:spacing w:line="340" w:lineRule="exact"/>
              <w:jc w:val="center"/>
              <w:rPr>
                <w:szCs w:val="21"/>
              </w:rPr>
            </w:pPr>
            <w:r>
              <w:rPr>
                <w:szCs w:val="21"/>
              </w:rPr>
              <w:t>一般排放口</w:t>
            </w:r>
          </w:p>
        </w:tc>
        <w:tc>
          <w:tcPr>
            <w:tcW w:w="1125" w:type="dxa"/>
            <w:vMerge w:val="restart"/>
            <w:vAlign w:val="center"/>
          </w:tcPr>
          <w:p>
            <w:pPr>
              <w:spacing w:line="340" w:lineRule="exact"/>
              <w:jc w:val="center"/>
              <w:rPr>
                <w:szCs w:val="21"/>
              </w:rPr>
            </w:pPr>
            <w:r>
              <w:rPr>
                <w:szCs w:val="21"/>
              </w:rPr>
              <w:t>E：</w:t>
            </w:r>
            <w:r>
              <w:rPr>
                <w:rFonts w:hint="eastAsia"/>
                <w:szCs w:val="21"/>
              </w:rPr>
              <w:t>116.832279</w:t>
            </w:r>
          </w:p>
          <w:p>
            <w:pPr>
              <w:spacing w:line="340" w:lineRule="exact"/>
              <w:jc w:val="center"/>
              <w:rPr>
                <w:szCs w:val="21"/>
              </w:rPr>
            </w:pPr>
            <w:r>
              <w:rPr>
                <w:szCs w:val="21"/>
              </w:rPr>
              <w:t>N：</w:t>
            </w:r>
            <w:r>
              <w:rPr>
                <w:rFonts w:hint="eastAsia"/>
                <w:szCs w:val="21"/>
              </w:rPr>
              <w:t>28.467145</w:t>
            </w:r>
          </w:p>
        </w:tc>
        <w:tc>
          <w:tcPr>
            <w:tcW w:w="568" w:type="dxa"/>
            <w:vAlign w:val="center"/>
          </w:tcPr>
          <w:p>
            <w:pPr>
              <w:spacing w:line="340" w:lineRule="exact"/>
              <w:jc w:val="center"/>
              <w:rPr>
                <w:bCs/>
              </w:rPr>
            </w:pPr>
            <w:r>
              <w:rPr>
                <w:rFonts w:hint="eastAsia"/>
                <w:bCs/>
              </w:rPr>
              <w:t>40</w:t>
            </w:r>
          </w:p>
        </w:tc>
        <w:tc>
          <w:tcPr>
            <w:tcW w:w="536"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jc w:val="center"/>
              <w:rPr>
                <w:szCs w:val="21"/>
              </w:rPr>
            </w:pPr>
          </w:p>
        </w:tc>
        <w:tc>
          <w:tcPr>
            <w:tcW w:w="386" w:type="dxa"/>
            <w:vMerge w:val="continue"/>
            <w:vAlign w:val="center"/>
          </w:tcPr>
          <w:p>
            <w:pPr>
              <w:jc w:val="center"/>
              <w:rPr>
                <w:szCs w:val="21"/>
              </w:rPr>
            </w:pPr>
          </w:p>
        </w:tc>
        <w:tc>
          <w:tcPr>
            <w:tcW w:w="638" w:type="dxa"/>
            <w:vAlign w:val="center"/>
          </w:tcPr>
          <w:p>
            <w:pPr>
              <w:adjustRightInd w:val="0"/>
              <w:snapToGrid w:val="0"/>
              <w:jc w:val="center"/>
              <w:rPr>
                <w:kern w:val="0"/>
                <w:szCs w:val="21"/>
              </w:rPr>
            </w:pPr>
            <w:r>
              <w:rPr>
                <w:rFonts w:hint="eastAsia"/>
                <w:kern w:val="0"/>
                <w:szCs w:val="21"/>
              </w:rPr>
              <w:t>甲苯及二甲苯</w:t>
            </w:r>
          </w:p>
        </w:tc>
        <w:tc>
          <w:tcPr>
            <w:tcW w:w="683" w:type="dxa"/>
            <w:vAlign w:val="center"/>
          </w:tcPr>
          <w:p>
            <w:pPr>
              <w:adjustRightInd w:val="0"/>
              <w:snapToGrid w:val="0"/>
              <w:jc w:val="center"/>
              <w:rPr>
                <w:kern w:val="0"/>
                <w:szCs w:val="21"/>
              </w:rPr>
            </w:pPr>
            <w:r>
              <w:rPr>
                <w:rFonts w:hint="eastAsia"/>
                <w:kern w:val="0"/>
                <w:szCs w:val="21"/>
              </w:rPr>
              <w:t>8.6</w:t>
            </w:r>
          </w:p>
        </w:tc>
        <w:tc>
          <w:tcPr>
            <w:tcW w:w="764" w:type="dxa"/>
            <w:vAlign w:val="center"/>
          </w:tcPr>
          <w:p>
            <w:pPr>
              <w:adjustRightInd w:val="0"/>
              <w:snapToGrid w:val="0"/>
              <w:jc w:val="center"/>
              <w:rPr>
                <w:kern w:val="0"/>
                <w:szCs w:val="21"/>
              </w:rPr>
            </w:pPr>
            <w:r>
              <w:rPr>
                <w:rFonts w:hint="eastAsia"/>
                <w:kern w:val="0"/>
                <w:szCs w:val="21"/>
              </w:rPr>
              <w:t>0.105</w:t>
            </w:r>
          </w:p>
        </w:tc>
        <w:tc>
          <w:tcPr>
            <w:tcW w:w="654" w:type="dxa"/>
            <w:vAlign w:val="center"/>
          </w:tcPr>
          <w:p>
            <w:pPr>
              <w:adjustRightInd w:val="0"/>
              <w:snapToGrid w:val="0"/>
              <w:jc w:val="center"/>
              <w:rPr>
                <w:kern w:val="0"/>
                <w:szCs w:val="21"/>
              </w:rPr>
            </w:pPr>
            <w:r>
              <w:rPr>
                <w:rFonts w:hint="eastAsia"/>
                <w:kern w:val="0"/>
                <w:szCs w:val="21"/>
              </w:rPr>
              <w:t>0.25</w:t>
            </w:r>
          </w:p>
        </w:tc>
        <w:tc>
          <w:tcPr>
            <w:tcW w:w="709" w:type="dxa"/>
            <w:vMerge w:val="continue"/>
            <w:vAlign w:val="center"/>
          </w:tcPr>
          <w:p>
            <w:pPr>
              <w:jc w:val="center"/>
              <w:rPr>
                <w:szCs w:val="21"/>
              </w:rPr>
            </w:pPr>
          </w:p>
        </w:tc>
        <w:tc>
          <w:tcPr>
            <w:tcW w:w="567" w:type="dxa"/>
            <w:vMerge w:val="continue"/>
            <w:vAlign w:val="center"/>
          </w:tcPr>
          <w:p>
            <w:pPr>
              <w:jc w:val="center"/>
              <w:rPr>
                <w:szCs w:val="21"/>
              </w:rPr>
            </w:pPr>
          </w:p>
        </w:tc>
        <w:tc>
          <w:tcPr>
            <w:tcW w:w="538"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50</w:t>
            </w:r>
          </w:p>
        </w:tc>
        <w:tc>
          <w:tcPr>
            <w:tcW w:w="313" w:type="dxa"/>
            <w:vAlign w:val="center"/>
          </w:tcPr>
          <w:p>
            <w:pPr>
              <w:jc w:val="center"/>
              <w:rPr>
                <w:szCs w:val="21"/>
              </w:rPr>
            </w:pPr>
            <w:r>
              <w:rPr>
                <w:rFonts w:hint="eastAsia"/>
                <w:szCs w:val="21"/>
              </w:rPr>
              <w:t>是</w:t>
            </w:r>
          </w:p>
        </w:tc>
        <w:tc>
          <w:tcPr>
            <w:tcW w:w="684" w:type="dxa"/>
            <w:vMerge w:val="continue"/>
            <w:vAlign w:val="center"/>
          </w:tcPr>
          <w:p>
            <w:pPr>
              <w:jc w:val="center"/>
              <w:rPr>
                <w:szCs w:val="21"/>
              </w:rPr>
            </w:pPr>
          </w:p>
        </w:tc>
        <w:tc>
          <w:tcPr>
            <w:tcW w:w="68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764"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93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c>
          <w:tcPr>
            <w:tcW w:w="713" w:type="dxa"/>
            <w:vMerge w:val="continue"/>
            <w:vAlign w:val="center"/>
          </w:tcPr>
          <w:p>
            <w:pPr>
              <w:jc w:val="center"/>
              <w:rPr>
                <w:szCs w:val="21"/>
              </w:rPr>
            </w:pPr>
          </w:p>
        </w:tc>
        <w:tc>
          <w:tcPr>
            <w:tcW w:w="386" w:type="dxa"/>
            <w:vMerge w:val="continue"/>
            <w:vAlign w:val="center"/>
          </w:tcPr>
          <w:p>
            <w:pPr>
              <w:jc w:val="center"/>
              <w:rPr>
                <w:szCs w:val="21"/>
              </w:rPr>
            </w:pPr>
          </w:p>
        </w:tc>
        <w:tc>
          <w:tcPr>
            <w:tcW w:w="427" w:type="dxa"/>
            <w:vMerge w:val="continue"/>
            <w:vAlign w:val="center"/>
          </w:tcPr>
          <w:p>
            <w:pPr>
              <w:jc w:val="center"/>
              <w:rPr>
                <w:szCs w:val="21"/>
              </w:rPr>
            </w:pPr>
          </w:p>
        </w:tc>
        <w:tc>
          <w:tcPr>
            <w:tcW w:w="386" w:type="dxa"/>
            <w:vMerge w:val="continue"/>
            <w:vAlign w:val="center"/>
          </w:tcPr>
          <w:p>
            <w:pPr>
              <w:jc w:val="center"/>
              <w:rPr>
                <w:szCs w:val="21"/>
              </w:rPr>
            </w:pPr>
          </w:p>
        </w:tc>
        <w:tc>
          <w:tcPr>
            <w:tcW w:w="386" w:type="dxa"/>
            <w:vMerge w:val="continue"/>
            <w:vAlign w:val="center"/>
          </w:tcPr>
          <w:p>
            <w:pPr>
              <w:spacing w:line="340" w:lineRule="exact"/>
              <w:jc w:val="center"/>
              <w:rPr>
                <w:szCs w:val="21"/>
              </w:rPr>
            </w:pPr>
          </w:p>
        </w:tc>
        <w:tc>
          <w:tcPr>
            <w:tcW w:w="1125" w:type="dxa"/>
            <w:vMerge w:val="continue"/>
            <w:vAlign w:val="center"/>
          </w:tcPr>
          <w:p>
            <w:pPr>
              <w:spacing w:line="340" w:lineRule="exact"/>
              <w:jc w:val="center"/>
              <w:rPr>
                <w:szCs w:val="21"/>
              </w:rPr>
            </w:pPr>
          </w:p>
        </w:tc>
        <w:tc>
          <w:tcPr>
            <w:tcW w:w="568" w:type="dxa"/>
            <w:vAlign w:val="center"/>
          </w:tcPr>
          <w:p>
            <w:pPr>
              <w:spacing w:line="340" w:lineRule="exact"/>
              <w:jc w:val="center"/>
              <w:rPr>
                <w:bCs/>
              </w:rPr>
            </w:pPr>
            <w:r>
              <w:rPr>
                <w:rFonts w:hint="eastAsia"/>
                <w:bCs/>
              </w:rPr>
              <w:t>20</w:t>
            </w:r>
          </w:p>
        </w:tc>
        <w:tc>
          <w:tcPr>
            <w:tcW w:w="536"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jc w:val="center"/>
              <w:rPr>
                <w:szCs w:val="21"/>
              </w:rPr>
            </w:pPr>
          </w:p>
        </w:tc>
        <w:tc>
          <w:tcPr>
            <w:tcW w:w="386" w:type="dxa"/>
            <w:vMerge w:val="continue"/>
            <w:vAlign w:val="center"/>
          </w:tcPr>
          <w:p>
            <w:pPr>
              <w:jc w:val="center"/>
              <w:rPr>
                <w:szCs w:val="21"/>
              </w:rPr>
            </w:pPr>
          </w:p>
        </w:tc>
        <w:tc>
          <w:tcPr>
            <w:tcW w:w="638" w:type="dxa"/>
            <w:vAlign w:val="center"/>
          </w:tcPr>
          <w:p>
            <w:pPr>
              <w:adjustRightInd w:val="0"/>
              <w:snapToGrid w:val="0"/>
              <w:jc w:val="center"/>
              <w:rPr>
                <w:kern w:val="0"/>
                <w:szCs w:val="21"/>
              </w:rPr>
            </w:pPr>
            <w:r>
              <w:rPr>
                <w:rFonts w:hint="eastAsia"/>
                <w:kern w:val="0"/>
                <w:szCs w:val="21"/>
              </w:rPr>
              <w:t>漆雾</w:t>
            </w:r>
          </w:p>
        </w:tc>
        <w:tc>
          <w:tcPr>
            <w:tcW w:w="683" w:type="dxa"/>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764" w:type="dxa"/>
            <w:vAlign w:val="center"/>
          </w:tcPr>
          <w:p>
            <w:pPr>
              <w:adjustRightInd w:val="0"/>
              <w:snapToGrid w:val="0"/>
              <w:jc w:val="center"/>
              <w:rPr>
                <w:kern w:val="0"/>
                <w:szCs w:val="21"/>
              </w:rPr>
            </w:pPr>
            <w:r>
              <w:rPr>
                <w:rFonts w:hint="eastAsia"/>
                <w:kern w:val="0"/>
                <w:szCs w:val="21"/>
              </w:rPr>
              <w:t>0.066</w:t>
            </w:r>
          </w:p>
        </w:tc>
        <w:tc>
          <w:tcPr>
            <w:tcW w:w="654" w:type="dxa"/>
            <w:vAlign w:val="center"/>
          </w:tcPr>
          <w:p>
            <w:pPr>
              <w:adjustRightInd w:val="0"/>
              <w:snapToGrid w:val="0"/>
              <w:jc w:val="center"/>
              <w:rPr>
                <w:kern w:val="0"/>
                <w:szCs w:val="21"/>
              </w:rPr>
            </w:pPr>
            <w:r>
              <w:rPr>
                <w:rFonts w:hint="eastAsia"/>
                <w:kern w:val="0"/>
                <w:szCs w:val="21"/>
              </w:rPr>
              <w:t>0.159</w:t>
            </w:r>
          </w:p>
        </w:tc>
        <w:tc>
          <w:tcPr>
            <w:tcW w:w="709" w:type="dxa"/>
            <w:vMerge w:val="continue"/>
            <w:vAlign w:val="center"/>
          </w:tcPr>
          <w:p>
            <w:pPr>
              <w:jc w:val="center"/>
              <w:rPr>
                <w:szCs w:val="21"/>
              </w:rPr>
            </w:pPr>
          </w:p>
        </w:tc>
        <w:tc>
          <w:tcPr>
            <w:tcW w:w="567" w:type="dxa"/>
            <w:vMerge w:val="continue"/>
            <w:vAlign w:val="center"/>
          </w:tcPr>
          <w:p>
            <w:pPr>
              <w:jc w:val="center"/>
              <w:rPr>
                <w:szCs w:val="21"/>
              </w:rPr>
            </w:pPr>
          </w:p>
        </w:tc>
        <w:tc>
          <w:tcPr>
            <w:tcW w:w="538" w:type="dxa"/>
            <w:vAlign w:val="center"/>
          </w:tcPr>
          <w:p>
            <w:pPr>
              <w:jc w:val="center"/>
              <w:rPr>
                <w:rFonts w:ascii="Times New Roman" w:hAnsi="Times New Roman" w:eastAsia="宋体" w:cs="Times New Roman"/>
                <w:kern w:val="2"/>
                <w:sz w:val="21"/>
                <w:szCs w:val="21"/>
                <w:lang w:val="en-US" w:eastAsia="zh-CN" w:bidi="ar-SA"/>
              </w:rPr>
            </w:pPr>
            <w:r>
              <w:rPr>
                <w:rFonts w:hint="eastAsia"/>
                <w:szCs w:val="21"/>
              </w:rPr>
              <w:t>90</w:t>
            </w:r>
          </w:p>
        </w:tc>
        <w:tc>
          <w:tcPr>
            <w:tcW w:w="313" w:type="dxa"/>
            <w:vAlign w:val="center"/>
          </w:tcPr>
          <w:p>
            <w:pPr>
              <w:jc w:val="center"/>
              <w:rPr>
                <w:szCs w:val="21"/>
              </w:rPr>
            </w:pPr>
            <w:r>
              <w:rPr>
                <w:rFonts w:hint="eastAsia"/>
                <w:szCs w:val="21"/>
              </w:rPr>
              <w:t>是</w:t>
            </w:r>
          </w:p>
        </w:tc>
        <w:tc>
          <w:tcPr>
            <w:tcW w:w="684" w:type="dxa"/>
            <w:vMerge w:val="continue"/>
            <w:vAlign w:val="center"/>
          </w:tcPr>
          <w:p>
            <w:pPr>
              <w:jc w:val="center"/>
              <w:rPr>
                <w:szCs w:val="21"/>
              </w:rPr>
            </w:pPr>
          </w:p>
        </w:tc>
        <w:tc>
          <w:tcPr>
            <w:tcW w:w="683"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764"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933"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c>
          <w:tcPr>
            <w:tcW w:w="713" w:type="dxa"/>
            <w:vMerge w:val="continue"/>
            <w:vAlign w:val="center"/>
          </w:tcPr>
          <w:p>
            <w:pPr>
              <w:jc w:val="center"/>
              <w:rPr>
                <w:szCs w:val="21"/>
              </w:rPr>
            </w:pPr>
          </w:p>
        </w:tc>
        <w:tc>
          <w:tcPr>
            <w:tcW w:w="386" w:type="dxa"/>
            <w:vMerge w:val="continue"/>
            <w:vAlign w:val="center"/>
          </w:tcPr>
          <w:p>
            <w:pPr>
              <w:jc w:val="center"/>
              <w:rPr>
                <w:szCs w:val="21"/>
              </w:rPr>
            </w:pPr>
          </w:p>
        </w:tc>
        <w:tc>
          <w:tcPr>
            <w:tcW w:w="427" w:type="dxa"/>
            <w:vMerge w:val="continue"/>
            <w:vAlign w:val="center"/>
          </w:tcPr>
          <w:p>
            <w:pPr>
              <w:jc w:val="center"/>
              <w:rPr>
                <w:szCs w:val="21"/>
              </w:rPr>
            </w:pPr>
          </w:p>
        </w:tc>
        <w:tc>
          <w:tcPr>
            <w:tcW w:w="386" w:type="dxa"/>
            <w:vMerge w:val="continue"/>
            <w:vAlign w:val="center"/>
          </w:tcPr>
          <w:p>
            <w:pPr>
              <w:jc w:val="center"/>
              <w:rPr>
                <w:szCs w:val="21"/>
              </w:rPr>
            </w:pPr>
          </w:p>
        </w:tc>
        <w:tc>
          <w:tcPr>
            <w:tcW w:w="386" w:type="dxa"/>
            <w:vMerge w:val="continue"/>
            <w:vAlign w:val="center"/>
          </w:tcPr>
          <w:p>
            <w:pPr>
              <w:spacing w:line="340" w:lineRule="exact"/>
              <w:jc w:val="center"/>
              <w:rPr>
                <w:szCs w:val="21"/>
              </w:rPr>
            </w:pPr>
          </w:p>
        </w:tc>
        <w:tc>
          <w:tcPr>
            <w:tcW w:w="1125" w:type="dxa"/>
            <w:vMerge w:val="continue"/>
            <w:vAlign w:val="center"/>
          </w:tcPr>
          <w:p>
            <w:pPr>
              <w:spacing w:line="340" w:lineRule="exact"/>
              <w:jc w:val="center"/>
              <w:rPr>
                <w:szCs w:val="21"/>
              </w:rPr>
            </w:pPr>
          </w:p>
        </w:tc>
        <w:tc>
          <w:tcPr>
            <w:tcW w:w="568" w:type="dxa"/>
            <w:vAlign w:val="center"/>
          </w:tcPr>
          <w:p>
            <w:pPr>
              <w:snapToGrid w:val="0"/>
              <w:spacing w:line="340" w:lineRule="exact"/>
              <w:jc w:val="center"/>
              <w:rPr>
                <w:szCs w:val="21"/>
              </w:rPr>
            </w:pPr>
            <w:r>
              <w:rPr>
                <w:rFonts w:hint="eastAsia"/>
                <w:szCs w:val="21"/>
              </w:rPr>
              <w:t>120</w:t>
            </w:r>
          </w:p>
        </w:tc>
        <w:tc>
          <w:tcPr>
            <w:tcW w:w="536" w:type="dxa"/>
            <w:vAlign w:val="center"/>
          </w:tcPr>
          <w:p>
            <w:pPr>
              <w:jc w:val="center"/>
              <w:rPr>
                <w:szCs w:val="21"/>
              </w:rPr>
            </w:pPr>
            <w:r>
              <w:rPr>
                <w:rFonts w:hint="eastAsia"/>
                <w:szCs w:val="21"/>
              </w:rPr>
              <w:t>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restart"/>
            <w:vAlign w:val="center"/>
          </w:tcPr>
          <w:p>
            <w:pPr>
              <w:jc w:val="center"/>
              <w:rPr>
                <w:szCs w:val="21"/>
              </w:rPr>
            </w:pPr>
            <w:r>
              <w:rPr>
                <w:rFonts w:hint="eastAsia"/>
                <w:szCs w:val="21"/>
              </w:rPr>
              <w:t>喷漆房3废气</w:t>
            </w:r>
          </w:p>
        </w:tc>
        <w:tc>
          <w:tcPr>
            <w:tcW w:w="386" w:type="dxa"/>
            <w:vMerge w:val="restart"/>
            <w:vAlign w:val="center"/>
          </w:tcPr>
          <w:p>
            <w:pPr>
              <w:jc w:val="center"/>
              <w:rPr>
                <w:szCs w:val="21"/>
              </w:rPr>
            </w:pPr>
            <w:r>
              <w:rPr>
                <w:rFonts w:hint="eastAsia"/>
                <w:szCs w:val="21"/>
              </w:rPr>
              <w:t>有组织</w:t>
            </w:r>
          </w:p>
        </w:tc>
        <w:tc>
          <w:tcPr>
            <w:tcW w:w="638" w:type="dxa"/>
            <w:vAlign w:val="center"/>
          </w:tcPr>
          <w:p>
            <w:pPr>
              <w:adjustRightInd w:val="0"/>
              <w:snapToGrid w:val="0"/>
              <w:jc w:val="center"/>
              <w:rPr>
                <w:kern w:val="0"/>
                <w:szCs w:val="21"/>
              </w:rPr>
            </w:pPr>
            <w:r>
              <w:rPr>
                <w:rFonts w:hint="eastAsia"/>
                <w:kern w:val="0"/>
                <w:szCs w:val="21"/>
              </w:rPr>
              <w:t>TVOC</w:t>
            </w:r>
          </w:p>
        </w:tc>
        <w:tc>
          <w:tcPr>
            <w:tcW w:w="683" w:type="dxa"/>
            <w:vAlign w:val="center"/>
          </w:tcPr>
          <w:p>
            <w:pPr>
              <w:adjustRightInd w:val="0"/>
              <w:snapToGrid w:val="0"/>
              <w:jc w:val="center"/>
              <w:rPr>
                <w:kern w:val="0"/>
                <w:szCs w:val="21"/>
              </w:rPr>
            </w:pPr>
            <w:r>
              <w:rPr>
                <w:rFonts w:hint="eastAsia"/>
                <w:kern w:val="0"/>
                <w:szCs w:val="21"/>
              </w:rPr>
              <w:t>35.8</w:t>
            </w:r>
          </w:p>
        </w:tc>
        <w:tc>
          <w:tcPr>
            <w:tcW w:w="764" w:type="dxa"/>
            <w:vAlign w:val="center"/>
          </w:tcPr>
          <w:p>
            <w:pPr>
              <w:adjustRightInd w:val="0"/>
              <w:snapToGrid w:val="0"/>
              <w:jc w:val="center"/>
              <w:rPr>
                <w:kern w:val="0"/>
                <w:szCs w:val="21"/>
              </w:rPr>
            </w:pPr>
            <w:r>
              <w:rPr>
                <w:rFonts w:hint="eastAsia"/>
                <w:kern w:val="0"/>
                <w:szCs w:val="21"/>
              </w:rPr>
              <w:t>0.43</w:t>
            </w:r>
          </w:p>
        </w:tc>
        <w:tc>
          <w:tcPr>
            <w:tcW w:w="654" w:type="dxa"/>
            <w:vAlign w:val="center"/>
          </w:tcPr>
          <w:p>
            <w:pPr>
              <w:adjustRightInd w:val="0"/>
              <w:snapToGrid w:val="0"/>
              <w:jc w:val="center"/>
              <w:rPr>
                <w:kern w:val="0"/>
                <w:szCs w:val="21"/>
              </w:rPr>
            </w:pPr>
            <w:r>
              <w:rPr>
                <w:rFonts w:hint="eastAsia"/>
                <w:kern w:val="0"/>
                <w:szCs w:val="21"/>
              </w:rPr>
              <w:t>1.04</w:t>
            </w:r>
          </w:p>
        </w:tc>
        <w:tc>
          <w:tcPr>
            <w:tcW w:w="709" w:type="dxa"/>
            <w:vMerge w:val="restart"/>
            <w:vAlign w:val="center"/>
          </w:tcPr>
          <w:p>
            <w:pPr>
              <w:adjustRightInd w:val="0"/>
              <w:snapToGrid w:val="0"/>
              <w:jc w:val="center"/>
              <w:rPr>
                <w:kern w:val="0"/>
                <w:szCs w:val="21"/>
              </w:rPr>
            </w:pPr>
            <w:r>
              <w:rPr>
                <w:rFonts w:hint="eastAsia"/>
                <w:kern w:val="0"/>
                <w:szCs w:val="21"/>
              </w:rPr>
              <w:t>12100</w:t>
            </w:r>
          </w:p>
          <w:p>
            <w:pPr>
              <w:jc w:val="center"/>
              <w:rPr>
                <w:szCs w:val="21"/>
              </w:rPr>
            </w:pPr>
          </w:p>
        </w:tc>
        <w:tc>
          <w:tcPr>
            <w:tcW w:w="567" w:type="dxa"/>
            <w:vMerge w:val="restart"/>
            <w:vAlign w:val="center"/>
          </w:tcPr>
          <w:p>
            <w:pPr>
              <w:jc w:val="center"/>
              <w:rPr>
                <w:szCs w:val="21"/>
              </w:rPr>
            </w:pPr>
            <w:r>
              <w:rPr>
                <w:rFonts w:hint="eastAsia"/>
                <w:szCs w:val="21"/>
              </w:rPr>
              <w:t>90</w:t>
            </w:r>
          </w:p>
        </w:tc>
        <w:tc>
          <w:tcPr>
            <w:tcW w:w="538"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50</w:t>
            </w:r>
          </w:p>
        </w:tc>
        <w:tc>
          <w:tcPr>
            <w:tcW w:w="313" w:type="dxa"/>
            <w:vAlign w:val="center"/>
          </w:tcPr>
          <w:p>
            <w:pPr>
              <w:jc w:val="center"/>
              <w:rPr>
                <w:szCs w:val="21"/>
              </w:rPr>
            </w:pPr>
            <w:r>
              <w:rPr>
                <w:rFonts w:hint="eastAsia"/>
                <w:szCs w:val="21"/>
              </w:rPr>
              <w:t>是</w:t>
            </w:r>
          </w:p>
        </w:tc>
        <w:tc>
          <w:tcPr>
            <w:tcW w:w="684" w:type="dxa"/>
            <w:vMerge w:val="restart"/>
            <w:vAlign w:val="center"/>
          </w:tcPr>
          <w:p>
            <w:pPr>
              <w:adjustRightInd w:val="0"/>
              <w:snapToGrid w:val="0"/>
              <w:jc w:val="center"/>
              <w:rPr>
                <w:kern w:val="0"/>
                <w:szCs w:val="21"/>
              </w:rPr>
            </w:pPr>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p>
            <w:pPr>
              <w:jc w:val="center"/>
              <w:rPr>
                <w:szCs w:val="21"/>
              </w:rPr>
            </w:pPr>
          </w:p>
        </w:tc>
        <w:tc>
          <w:tcPr>
            <w:tcW w:w="68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764"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93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c>
          <w:tcPr>
            <w:tcW w:w="713" w:type="dxa"/>
            <w:vMerge w:val="restart"/>
            <w:vAlign w:val="center"/>
          </w:tcPr>
          <w:p>
            <w:pPr>
              <w:jc w:val="center"/>
              <w:rPr>
                <w:szCs w:val="21"/>
              </w:rPr>
            </w:pPr>
            <w:r>
              <w:rPr>
                <w:rFonts w:hint="eastAsia"/>
                <w:szCs w:val="21"/>
              </w:rPr>
              <w:t>DA004</w:t>
            </w:r>
            <w:r>
              <w:rPr>
                <w:szCs w:val="21"/>
              </w:rPr>
              <w:t>排放口</w:t>
            </w:r>
          </w:p>
        </w:tc>
        <w:tc>
          <w:tcPr>
            <w:tcW w:w="386" w:type="dxa"/>
            <w:vMerge w:val="restart"/>
            <w:vAlign w:val="center"/>
          </w:tcPr>
          <w:p>
            <w:pPr>
              <w:jc w:val="center"/>
              <w:rPr>
                <w:szCs w:val="21"/>
              </w:rPr>
            </w:pPr>
            <w:r>
              <w:rPr>
                <w:szCs w:val="21"/>
              </w:rPr>
              <w:t>15</w:t>
            </w:r>
          </w:p>
        </w:tc>
        <w:tc>
          <w:tcPr>
            <w:tcW w:w="427" w:type="dxa"/>
            <w:vMerge w:val="restart"/>
            <w:vAlign w:val="center"/>
          </w:tcPr>
          <w:p>
            <w:pPr>
              <w:jc w:val="center"/>
              <w:rPr>
                <w:szCs w:val="21"/>
              </w:rPr>
            </w:pPr>
            <w:r>
              <w:rPr>
                <w:szCs w:val="21"/>
              </w:rPr>
              <w:t>0.</w:t>
            </w:r>
            <w:r>
              <w:rPr>
                <w:rFonts w:hint="eastAsia"/>
                <w:szCs w:val="21"/>
              </w:rPr>
              <w:t>7</w:t>
            </w:r>
          </w:p>
        </w:tc>
        <w:tc>
          <w:tcPr>
            <w:tcW w:w="386" w:type="dxa"/>
            <w:vMerge w:val="restart"/>
            <w:vAlign w:val="center"/>
          </w:tcPr>
          <w:p>
            <w:pPr>
              <w:jc w:val="center"/>
              <w:rPr>
                <w:szCs w:val="21"/>
              </w:rPr>
            </w:pPr>
            <w:r>
              <w:rPr>
                <w:rFonts w:hint="eastAsia"/>
                <w:szCs w:val="21"/>
              </w:rPr>
              <w:t>25</w:t>
            </w:r>
          </w:p>
        </w:tc>
        <w:tc>
          <w:tcPr>
            <w:tcW w:w="386" w:type="dxa"/>
            <w:vMerge w:val="restart"/>
            <w:vAlign w:val="center"/>
          </w:tcPr>
          <w:p>
            <w:pPr>
              <w:spacing w:line="340" w:lineRule="exact"/>
              <w:jc w:val="center"/>
              <w:rPr>
                <w:szCs w:val="21"/>
              </w:rPr>
            </w:pPr>
            <w:r>
              <w:rPr>
                <w:szCs w:val="21"/>
              </w:rPr>
              <w:t>一般排放口</w:t>
            </w:r>
          </w:p>
        </w:tc>
        <w:tc>
          <w:tcPr>
            <w:tcW w:w="1125" w:type="dxa"/>
            <w:vMerge w:val="restart"/>
            <w:vAlign w:val="center"/>
          </w:tcPr>
          <w:p>
            <w:pPr>
              <w:spacing w:line="340" w:lineRule="exact"/>
              <w:jc w:val="center"/>
              <w:rPr>
                <w:szCs w:val="21"/>
              </w:rPr>
            </w:pPr>
            <w:r>
              <w:rPr>
                <w:szCs w:val="21"/>
              </w:rPr>
              <w:t>E：</w:t>
            </w:r>
            <w:r>
              <w:rPr>
                <w:rFonts w:hint="eastAsia"/>
                <w:szCs w:val="21"/>
              </w:rPr>
              <w:t>116.832258</w:t>
            </w:r>
          </w:p>
          <w:p>
            <w:pPr>
              <w:spacing w:line="340" w:lineRule="exact"/>
              <w:jc w:val="center"/>
              <w:rPr>
                <w:szCs w:val="21"/>
              </w:rPr>
            </w:pPr>
            <w:r>
              <w:rPr>
                <w:szCs w:val="21"/>
              </w:rPr>
              <w:t>N：</w:t>
            </w:r>
            <w:r>
              <w:rPr>
                <w:rFonts w:hint="eastAsia"/>
                <w:szCs w:val="21"/>
              </w:rPr>
              <w:t>28.467124</w:t>
            </w:r>
          </w:p>
        </w:tc>
        <w:tc>
          <w:tcPr>
            <w:tcW w:w="568" w:type="dxa"/>
            <w:vAlign w:val="center"/>
          </w:tcPr>
          <w:p>
            <w:pPr>
              <w:spacing w:line="340" w:lineRule="exact"/>
              <w:jc w:val="center"/>
              <w:rPr>
                <w:bCs/>
              </w:rPr>
            </w:pPr>
            <w:r>
              <w:rPr>
                <w:rFonts w:hint="eastAsia"/>
                <w:bCs/>
              </w:rPr>
              <w:t>40</w:t>
            </w:r>
          </w:p>
        </w:tc>
        <w:tc>
          <w:tcPr>
            <w:tcW w:w="536"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jc w:val="center"/>
              <w:rPr>
                <w:szCs w:val="21"/>
              </w:rPr>
            </w:pPr>
          </w:p>
        </w:tc>
        <w:tc>
          <w:tcPr>
            <w:tcW w:w="386" w:type="dxa"/>
            <w:vMerge w:val="continue"/>
            <w:vAlign w:val="center"/>
          </w:tcPr>
          <w:p>
            <w:pPr>
              <w:jc w:val="center"/>
              <w:rPr>
                <w:szCs w:val="21"/>
              </w:rPr>
            </w:pPr>
          </w:p>
        </w:tc>
        <w:tc>
          <w:tcPr>
            <w:tcW w:w="638" w:type="dxa"/>
            <w:vAlign w:val="center"/>
          </w:tcPr>
          <w:p>
            <w:pPr>
              <w:adjustRightInd w:val="0"/>
              <w:snapToGrid w:val="0"/>
              <w:jc w:val="center"/>
              <w:rPr>
                <w:kern w:val="0"/>
                <w:szCs w:val="21"/>
              </w:rPr>
            </w:pPr>
            <w:r>
              <w:rPr>
                <w:rFonts w:hint="eastAsia"/>
                <w:kern w:val="0"/>
                <w:szCs w:val="21"/>
              </w:rPr>
              <w:t>甲苯及二甲苯</w:t>
            </w:r>
          </w:p>
        </w:tc>
        <w:tc>
          <w:tcPr>
            <w:tcW w:w="683" w:type="dxa"/>
            <w:vAlign w:val="center"/>
          </w:tcPr>
          <w:p>
            <w:pPr>
              <w:adjustRightInd w:val="0"/>
              <w:snapToGrid w:val="0"/>
              <w:jc w:val="center"/>
              <w:rPr>
                <w:kern w:val="0"/>
                <w:szCs w:val="21"/>
              </w:rPr>
            </w:pPr>
            <w:r>
              <w:rPr>
                <w:rFonts w:hint="eastAsia"/>
                <w:kern w:val="0"/>
                <w:szCs w:val="21"/>
              </w:rPr>
              <w:t>8.6</w:t>
            </w:r>
          </w:p>
        </w:tc>
        <w:tc>
          <w:tcPr>
            <w:tcW w:w="764" w:type="dxa"/>
            <w:vAlign w:val="center"/>
          </w:tcPr>
          <w:p>
            <w:pPr>
              <w:adjustRightInd w:val="0"/>
              <w:snapToGrid w:val="0"/>
              <w:jc w:val="center"/>
              <w:rPr>
                <w:kern w:val="0"/>
                <w:szCs w:val="21"/>
              </w:rPr>
            </w:pPr>
            <w:r>
              <w:rPr>
                <w:rFonts w:hint="eastAsia"/>
                <w:kern w:val="0"/>
                <w:szCs w:val="21"/>
              </w:rPr>
              <w:t>0.105</w:t>
            </w:r>
          </w:p>
        </w:tc>
        <w:tc>
          <w:tcPr>
            <w:tcW w:w="654" w:type="dxa"/>
            <w:vAlign w:val="center"/>
          </w:tcPr>
          <w:p>
            <w:pPr>
              <w:adjustRightInd w:val="0"/>
              <w:snapToGrid w:val="0"/>
              <w:jc w:val="center"/>
              <w:rPr>
                <w:kern w:val="0"/>
                <w:szCs w:val="21"/>
              </w:rPr>
            </w:pPr>
            <w:r>
              <w:rPr>
                <w:rFonts w:hint="eastAsia"/>
                <w:kern w:val="0"/>
                <w:szCs w:val="21"/>
              </w:rPr>
              <w:t>0.25</w:t>
            </w:r>
          </w:p>
        </w:tc>
        <w:tc>
          <w:tcPr>
            <w:tcW w:w="709" w:type="dxa"/>
            <w:vMerge w:val="continue"/>
            <w:vAlign w:val="center"/>
          </w:tcPr>
          <w:p>
            <w:pPr>
              <w:jc w:val="center"/>
              <w:rPr>
                <w:szCs w:val="21"/>
              </w:rPr>
            </w:pPr>
          </w:p>
        </w:tc>
        <w:tc>
          <w:tcPr>
            <w:tcW w:w="567" w:type="dxa"/>
            <w:vMerge w:val="continue"/>
            <w:vAlign w:val="center"/>
          </w:tcPr>
          <w:p>
            <w:pPr>
              <w:jc w:val="center"/>
              <w:rPr>
                <w:szCs w:val="21"/>
              </w:rPr>
            </w:pPr>
          </w:p>
        </w:tc>
        <w:tc>
          <w:tcPr>
            <w:tcW w:w="538"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50</w:t>
            </w:r>
          </w:p>
        </w:tc>
        <w:tc>
          <w:tcPr>
            <w:tcW w:w="313" w:type="dxa"/>
            <w:vAlign w:val="center"/>
          </w:tcPr>
          <w:p>
            <w:pPr>
              <w:jc w:val="center"/>
              <w:rPr>
                <w:szCs w:val="21"/>
              </w:rPr>
            </w:pPr>
            <w:r>
              <w:rPr>
                <w:rFonts w:hint="eastAsia"/>
                <w:szCs w:val="21"/>
              </w:rPr>
              <w:t>是</w:t>
            </w:r>
          </w:p>
        </w:tc>
        <w:tc>
          <w:tcPr>
            <w:tcW w:w="684" w:type="dxa"/>
            <w:vMerge w:val="continue"/>
            <w:vAlign w:val="center"/>
          </w:tcPr>
          <w:p>
            <w:pPr>
              <w:jc w:val="center"/>
              <w:rPr>
                <w:szCs w:val="21"/>
              </w:rPr>
            </w:pPr>
          </w:p>
        </w:tc>
        <w:tc>
          <w:tcPr>
            <w:tcW w:w="68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764"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933" w:type="dxa"/>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c>
          <w:tcPr>
            <w:tcW w:w="713" w:type="dxa"/>
            <w:vMerge w:val="continue"/>
            <w:vAlign w:val="center"/>
          </w:tcPr>
          <w:p>
            <w:pPr>
              <w:jc w:val="center"/>
              <w:rPr>
                <w:szCs w:val="21"/>
              </w:rPr>
            </w:pPr>
          </w:p>
        </w:tc>
        <w:tc>
          <w:tcPr>
            <w:tcW w:w="386" w:type="dxa"/>
            <w:vMerge w:val="continue"/>
            <w:vAlign w:val="center"/>
          </w:tcPr>
          <w:p>
            <w:pPr>
              <w:jc w:val="center"/>
              <w:rPr>
                <w:szCs w:val="21"/>
              </w:rPr>
            </w:pPr>
          </w:p>
        </w:tc>
        <w:tc>
          <w:tcPr>
            <w:tcW w:w="427" w:type="dxa"/>
            <w:vMerge w:val="continue"/>
            <w:vAlign w:val="center"/>
          </w:tcPr>
          <w:p>
            <w:pPr>
              <w:jc w:val="center"/>
              <w:rPr>
                <w:szCs w:val="21"/>
              </w:rPr>
            </w:pPr>
          </w:p>
        </w:tc>
        <w:tc>
          <w:tcPr>
            <w:tcW w:w="386" w:type="dxa"/>
            <w:vMerge w:val="continue"/>
            <w:vAlign w:val="center"/>
          </w:tcPr>
          <w:p>
            <w:pPr>
              <w:jc w:val="center"/>
              <w:rPr>
                <w:szCs w:val="21"/>
              </w:rPr>
            </w:pPr>
          </w:p>
        </w:tc>
        <w:tc>
          <w:tcPr>
            <w:tcW w:w="386" w:type="dxa"/>
            <w:vMerge w:val="continue"/>
            <w:vAlign w:val="center"/>
          </w:tcPr>
          <w:p>
            <w:pPr>
              <w:spacing w:line="340" w:lineRule="exact"/>
              <w:jc w:val="center"/>
              <w:rPr>
                <w:szCs w:val="21"/>
              </w:rPr>
            </w:pPr>
          </w:p>
        </w:tc>
        <w:tc>
          <w:tcPr>
            <w:tcW w:w="1125" w:type="dxa"/>
            <w:vMerge w:val="continue"/>
            <w:vAlign w:val="center"/>
          </w:tcPr>
          <w:p>
            <w:pPr>
              <w:spacing w:line="340" w:lineRule="exact"/>
              <w:jc w:val="center"/>
              <w:rPr>
                <w:szCs w:val="21"/>
              </w:rPr>
            </w:pPr>
          </w:p>
        </w:tc>
        <w:tc>
          <w:tcPr>
            <w:tcW w:w="568" w:type="dxa"/>
            <w:vAlign w:val="center"/>
          </w:tcPr>
          <w:p>
            <w:pPr>
              <w:spacing w:line="340" w:lineRule="exact"/>
              <w:jc w:val="center"/>
              <w:rPr>
                <w:bCs/>
              </w:rPr>
            </w:pPr>
            <w:r>
              <w:rPr>
                <w:rFonts w:hint="eastAsia"/>
                <w:bCs/>
              </w:rPr>
              <w:t>20</w:t>
            </w:r>
          </w:p>
        </w:tc>
        <w:tc>
          <w:tcPr>
            <w:tcW w:w="536"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vMerge w:val="continue"/>
            <w:vAlign w:val="center"/>
          </w:tcPr>
          <w:p>
            <w:pPr>
              <w:jc w:val="center"/>
              <w:rPr>
                <w:szCs w:val="21"/>
              </w:rPr>
            </w:pPr>
          </w:p>
        </w:tc>
        <w:tc>
          <w:tcPr>
            <w:tcW w:w="386" w:type="dxa"/>
            <w:vMerge w:val="continue"/>
            <w:vAlign w:val="center"/>
          </w:tcPr>
          <w:p>
            <w:pPr>
              <w:jc w:val="center"/>
              <w:rPr>
                <w:szCs w:val="21"/>
              </w:rPr>
            </w:pPr>
          </w:p>
        </w:tc>
        <w:tc>
          <w:tcPr>
            <w:tcW w:w="638" w:type="dxa"/>
            <w:vAlign w:val="center"/>
          </w:tcPr>
          <w:p>
            <w:pPr>
              <w:adjustRightInd w:val="0"/>
              <w:snapToGrid w:val="0"/>
              <w:jc w:val="center"/>
              <w:rPr>
                <w:kern w:val="0"/>
                <w:szCs w:val="21"/>
              </w:rPr>
            </w:pPr>
            <w:r>
              <w:rPr>
                <w:rFonts w:hint="eastAsia"/>
                <w:kern w:val="0"/>
                <w:szCs w:val="21"/>
              </w:rPr>
              <w:t>漆雾</w:t>
            </w:r>
          </w:p>
        </w:tc>
        <w:tc>
          <w:tcPr>
            <w:tcW w:w="683" w:type="dxa"/>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764" w:type="dxa"/>
            <w:vAlign w:val="center"/>
          </w:tcPr>
          <w:p>
            <w:pPr>
              <w:adjustRightInd w:val="0"/>
              <w:snapToGrid w:val="0"/>
              <w:jc w:val="center"/>
              <w:rPr>
                <w:kern w:val="0"/>
                <w:szCs w:val="21"/>
              </w:rPr>
            </w:pPr>
            <w:r>
              <w:rPr>
                <w:rFonts w:hint="eastAsia"/>
                <w:kern w:val="0"/>
                <w:szCs w:val="21"/>
              </w:rPr>
              <w:t>0.066</w:t>
            </w:r>
          </w:p>
        </w:tc>
        <w:tc>
          <w:tcPr>
            <w:tcW w:w="654" w:type="dxa"/>
            <w:vAlign w:val="center"/>
          </w:tcPr>
          <w:p>
            <w:pPr>
              <w:adjustRightInd w:val="0"/>
              <w:snapToGrid w:val="0"/>
              <w:jc w:val="center"/>
              <w:rPr>
                <w:kern w:val="0"/>
                <w:szCs w:val="21"/>
              </w:rPr>
            </w:pPr>
            <w:r>
              <w:rPr>
                <w:rFonts w:hint="eastAsia"/>
                <w:kern w:val="0"/>
                <w:szCs w:val="21"/>
              </w:rPr>
              <w:t>0.159</w:t>
            </w:r>
          </w:p>
        </w:tc>
        <w:tc>
          <w:tcPr>
            <w:tcW w:w="709" w:type="dxa"/>
            <w:vMerge w:val="continue"/>
            <w:vAlign w:val="center"/>
          </w:tcPr>
          <w:p>
            <w:pPr>
              <w:jc w:val="center"/>
              <w:rPr>
                <w:szCs w:val="21"/>
              </w:rPr>
            </w:pPr>
          </w:p>
        </w:tc>
        <w:tc>
          <w:tcPr>
            <w:tcW w:w="567" w:type="dxa"/>
            <w:vMerge w:val="continue"/>
            <w:vAlign w:val="center"/>
          </w:tcPr>
          <w:p>
            <w:pPr>
              <w:jc w:val="center"/>
              <w:rPr>
                <w:szCs w:val="21"/>
              </w:rPr>
            </w:pPr>
          </w:p>
        </w:tc>
        <w:tc>
          <w:tcPr>
            <w:tcW w:w="538" w:type="dxa"/>
            <w:vAlign w:val="center"/>
          </w:tcPr>
          <w:p>
            <w:pPr>
              <w:jc w:val="center"/>
              <w:rPr>
                <w:rFonts w:ascii="Times New Roman" w:hAnsi="Times New Roman" w:eastAsia="宋体" w:cs="Times New Roman"/>
                <w:kern w:val="2"/>
                <w:sz w:val="21"/>
                <w:szCs w:val="21"/>
                <w:lang w:val="en-US" w:eastAsia="zh-CN" w:bidi="ar-SA"/>
              </w:rPr>
            </w:pPr>
            <w:r>
              <w:rPr>
                <w:rFonts w:hint="eastAsia"/>
                <w:szCs w:val="21"/>
              </w:rPr>
              <w:t>90</w:t>
            </w:r>
          </w:p>
        </w:tc>
        <w:tc>
          <w:tcPr>
            <w:tcW w:w="313" w:type="dxa"/>
            <w:vAlign w:val="center"/>
          </w:tcPr>
          <w:p>
            <w:pPr>
              <w:jc w:val="center"/>
              <w:rPr>
                <w:szCs w:val="21"/>
              </w:rPr>
            </w:pPr>
            <w:r>
              <w:rPr>
                <w:rFonts w:hint="eastAsia"/>
                <w:szCs w:val="21"/>
              </w:rPr>
              <w:t>是</w:t>
            </w:r>
          </w:p>
        </w:tc>
        <w:tc>
          <w:tcPr>
            <w:tcW w:w="684" w:type="dxa"/>
            <w:vMerge w:val="continue"/>
            <w:vAlign w:val="center"/>
          </w:tcPr>
          <w:p>
            <w:pPr>
              <w:jc w:val="center"/>
              <w:rPr>
                <w:szCs w:val="21"/>
              </w:rPr>
            </w:pPr>
          </w:p>
        </w:tc>
        <w:tc>
          <w:tcPr>
            <w:tcW w:w="683"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764"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933" w:type="dxa"/>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c>
          <w:tcPr>
            <w:tcW w:w="713" w:type="dxa"/>
            <w:vMerge w:val="continue"/>
            <w:vAlign w:val="center"/>
          </w:tcPr>
          <w:p>
            <w:pPr>
              <w:jc w:val="center"/>
              <w:rPr>
                <w:szCs w:val="21"/>
              </w:rPr>
            </w:pPr>
          </w:p>
        </w:tc>
        <w:tc>
          <w:tcPr>
            <w:tcW w:w="386" w:type="dxa"/>
            <w:vMerge w:val="continue"/>
            <w:vAlign w:val="center"/>
          </w:tcPr>
          <w:p>
            <w:pPr>
              <w:jc w:val="center"/>
              <w:rPr>
                <w:szCs w:val="21"/>
              </w:rPr>
            </w:pPr>
          </w:p>
        </w:tc>
        <w:tc>
          <w:tcPr>
            <w:tcW w:w="427" w:type="dxa"/>
            <w:vMerge w:val="continue"/>
            <w:vAlign w:val="center"/>
          </w:tcPr>
          <w:p>
            <w:pPr>
              <w:jc w:val="center"/>
              <w:rPr>
                <w:szCs w:val="21"/>
              </w:rPr>
            </w:pPr>
          </w:p>
        </w:tc>
        <w:tc>
          <w:tcPr>
            <w:tcW w:w="386" w:type="dxa"/>
            <w:vMerge w:val="continue"/>
            <w:vAlign w:val="center"/>
          </w:tcPr>
          <w:p>
            <w:pPr>
              <w:jc w:val="center"/>
              <w:rPr>
                <w:szCs w:val="21"/>
              </w:rPr>
            </w:pPr>
          </w:p>
        </w:tc>
        <w:tc>
          <w:tcPr>
            <w:tcW w:w="386" w:type="dxa"/>
            <w:vMerge w:val="continue"/>
            <w:vAlign w:val="center"/>
          </w:tcPr>
          <w:p>
            <w:pPr>
              <w:spacing w:line="340" w:lineRule="exact"/>
              <w:jc w:val="center"/>
              <w:rPr>
                <w:szCs w:val="21"/>
              </w:rPr>
            </w:pPr>
          </w:p>
        </w:tc>
        <w:tc>
          <w:tcPr>
            <w:tcW w:w="1125" w:type="dxa"/>
            <w:vMerge w:val="continue"/>
            <w:vAlign w:val="center"/>
          </w:tcPr>
          <w:p>
            <w:pPr>
              <w:spacing w:line="340" w:lineRule="exact"/>
              <w:jc w:val="center"/>
              <w:rPr>
                <w:szCs w:val="21"/>
              </w:rPr>
            </w:pPr>
          </w:p>
        </w:tc>
        <w:tc>
          <w:tcPr>
            <w:tcW w:w="568" w:type="dxa"/>
            <w:vAlign w:val="center"/>
          </w:tcPr>
          <w:p>
            <w:pPr>
              <w:snapToGrid w:val="0"/>
              <w:spacing w:line="340" w:lineRule="exact"/>
              <w:jc w:val="center"/>
              <w:rPr>
                <w:szCs w:val="21"/>
              </w:rPr>
            </w:pPr>
            <w:r>
              <w:rPr>
                <w:rFonts w:hint="eastAsia"/>
                <w:szCs w:val="21"/>
              </w:rPr>
              <w:t>120</w:t>
            </w:r>
          </w:p>
        </w:tc>
        <w:tc>
          <w:tcPr>
            <w:tcW w:w="536" w:type="dxa"/>
            <w:vAlign w:val="center"/>
          </w:tcPr>
          <w:p>
            <w:pPr>
              <w:jc w:val="center"/>
              <w:rPr>
                <w:szCs w:val="21"/>
              </w:rPr>
            </w:pPr>
            <w:r>
              <w:rPr>
                <w:rFonts w:hint="eastAsia"/>
                <w:szCs w:val="21"/>
              </w:rPr>
              <w:t>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385" w:type="dxa"/>
            <w:tcBorders>
              <w:bottom w:val="single" w:color="auto" w:sz="4" w:space="0"/>
            </w:tcBorders>
            <w:vAlign w:val="center"/>
          </w:tcPr>
          <w:p>
            <w:pPr>
              <w:jc w:val="center"/>
              <w:rPr>
                <w:szCs w:val="21"/>
              </w:rPr>
            </w:pPr>
            <w:r>
              <w:rPr>
                <w:rFonts w:hint="eastAsia"/>
                <w:szCs w:val="21"/>
              </w:rPr>
              <w:t>砂光粉尘</w:t>
            </w:r>
          </w:p>
        </w:tc>
        <w:tc>
          <w:tcPr>
            <w:tcW w:w="386" w:type="dxa"/>
            <w:tcBorders>
              <w:bottom w:val="single" w:color="auto" w:sz="4" w:space="0"/>
            </w:tcBorders>
            <w:vAlign w:val="center"/>
          </w:tcPr>
          <w:p>
            <w:pPr>
              <w:jc w:val="center"/>
              <w:rPr>
                <w:szCs w:val="21"/>
              </w:rPr>
            </w:pPr>
            <w:r>
              <w:rPr>
                <w:rFonts w:hint="eastAsia"/>
                <w:szCs w:val="21"/>
              </w:rPr>
              <w:t>有组织</w:t>
            </w:r>
          </w:p>
        </w:tc>
        <w:tc>
          <w:tcPr>
            <w:tcW w:w="638" w:type="dxa"/>
            <w:tcBorders>
              <w:bottom w:val="single" w:color="auto" w:sz="4" w:space="0"/>
            </w:tcBorders>
            <w:vAlign w:val="center"/>
          </w:tcPr>
          <w:p>
            <w:pPr>
              <w:adjustRightInd w:val="0"/>
              <w:snapToGrid w:val="0"/>
              <w:jc w:val="center"/>
              <w:rPr>
                <w:kern w:val="0"/>
                <w:szCs w:val="21"/>
              </w:rPr>
            </w:pPr>
            <w:r>
              <w:rPr>
                <w:rFonts w:hint="eastAsia"/>
                <w:kern w:val="0"/>
                <w:szCs w:val="21"/>
              </w:rPr>
              <w:t>粉尘</w:t>
            </w:r>
          </w:p>
        </w:tc>
        <w:tc>
          <w:tcPr>
            <w:tcW w:w="683" w:type="dxa"/>
            <w:vAlign w:val="center"/>
          </w:tcPr>
          <w:p>
            <w:pPr>
              <w:adjustRightInd w:val="0"/>
              <w:snapToGrid w:val="0"/>
              <w:jc w:val="center"/>
              <w:rPr>
                <w:kern w:val="0"/>
                <w:szCs w:val="21"/>
              </w:rPr>
            </w:pPr>
            <w:r>
              <w:rPr>
                <w:rFonts w:hint="eastAsia"/>
                <w:kern w:val="0"/>
                <w:szCs w:val="21"/>
              </w:rPr>
              <w:t>64</w:t>
            </w:r>
          </w:p>
        </w:tc>
        <w:tc>
          <w:tcPr>
            <w:tcW w:w="764" w:type="dxa"/>
            <w:vAlign w:val="center"/>
          </w:tcPr>
          <w:p>
            <w:pPr>
              <w:adjustRightInd w:val="0"/>
              <w:snapToGrid w:val="0"/>
              <w:jc w:val="center"/>
              <w:rPr>
                <w:kern w:val="0"/>
                <w:szCs w:val="21"/>
              </w:rPr>
            </w:pPr>
            <w:r>
              <w:rPr>
                <w:rFonts w:hint="eastAsia"/>
                <w:kern w:val="0"/>
                <w:szCs w:val="21"/>
              </w:rPr>
              <w:t>0.32</w:t>
            </w:r>
          </w:p>
        </w:tc>
        <w:tc>
          <w:tcPr>
            <w:tcW w:w="654" w:type="dxa"/>
            <w:vAlign w:val="center"/>
          </w:tcPr>
          <w:p>
            <w:pPr>
              <w:adjustRightInd w:val="0"/>
              <w:snapToGrid w:val="0"/>
              <w:jc w:val="center"/>
              <w:rPr>
                <w:kern w:val="0"/>
                <w:szCs w:val="21"/>
              </w:rPr>
            </w:pPr>
            <w:r>
              <w:rPr>
                <w:kern w:val="0"/>
                <w:szCs w:val="21"/>
              </w:rPr>
              <w:t>0.</w:t>
            </w:r>
            <w:r>
              <w:rPr>
                <w:rFonts w:hint="eastAsia"/>
                <w:kern w:val="0"/>
                <w:szCs w:val="21"/>
              </w:rPr>
              <w:t>768</w:t>
            </w:r>
          </w:p>
        </w:tc>
        <w:tc>
          <w:tcPr>
            <w:tcW w:w="709" w:type="dxa"/>
            <w:vAlign w:val="center"/>
          </w:tcPr>
          <w:p>
            <w:pPr>
              <w:adjustRightInd w:val="0"/>
              <w:snapToGrid w:val="0"/>
              <w:jc w:val="center"/>
              <w:rPr>
                <w:kern w:val="0"/>
                <w:szCs w:val="21"/>
              </w:rPr>
            </w:pPr>
            <w:r>
              <w:rPr>
                <w:rFonts w:hint="eastAsia"/>
                <w:kern w:val="0"/>
                <w:szCs w:val="21"/>
              </w:rPr>
              <w:t>5000</w:t>
            </w:r>
          </w:p>
        </w:tc>
        <w:tc>
          <w:tcPr>
            <w:tcW w:w="567" w:type="dxa"/>
            <w:vAlign w:val="center"/>
          </w:tcPr>
          <w:p>
            <w:pPr>
              <w:jc w:val="center"/>
              <w:rPr>
                <w:szCs w:val="21"/>
              </w:rPr>
            </w:pPr>
            <w:r>
              <w:rPr>
                <w:rFonts w:hint="eastAsia"/>
                <w:szCs w:val="21"/>
              </w:rPr>
              <w:t>80</w:t>
            </w:r>
          </w:p>
        </w:tc>
        <w:tc>
          <w:tcPr>
            <w:tcW w:w="538" w:type="dxa"/>
            <w:vAlign w:val="center"/>
          </w:tcPr>
          <w:p>
            <w:pPr>
              <w:jc w:val="center"/>
              <w:rPr>
                <w:szCs w:val="21"/>
              </w:rPr>
            </w:pPr>
            <w:r>
              <w:rPr>
                <w:rFonts w:hint="eastAsia"/>
                <w:szCs w:val="21"/>
              </w:rPr>
              <w:t>98.4</w:t>
            </w:r>
          </w:p>
        </w:tc>
        <w:tc>
          <w:tcPr>
            <w:tcW w:w="313" w:type="dxa"/>
            <w:vAlign w:val="center"/>
          </w:tcPr>
          <w:p>
            <w:pPr>
              <w:jc w:val="center"/>
              <w:rPr>
                <w:szCs w:val="21"/>
              </w:rPr>
            </w:pPr>
            <w:r>
              <w:rPr>
                <w:rFonts w:hint="eastAsia"/>
                <w:szCs w:val="21"/>
              </w:rPr>
              <w:t>是</w:t>
            </w:r>
          </w:p>
        </w:tc>
        <w:tc>
          <w:tcPr>
            <w:tcW w:w="684" w:type="dxa"/>
            <w:vAlign w:val="center"/>
          </w:tcPr>
          <w:p>
            <w:pPr>
              <w:adjustRightInd w:val="0"/>
              <w:snapToGrid w:val="0"/>
              <w:jc w:val="center"/>
              <w:rPr>
                <w:kern w:val="0"/>
                <w:szCs w:val="21"/>
              </w:rPr>
            </w:pPr>
            <w:r>
              <w:rPr>
                <w:rFonts w:hint="eastAsia"/>
                <w:kern w:val="0"/>
                <w:szCs w:val="21"/>
              </w:rPr>
              <w:t>中央集尘</w:t>
            </w:r>
            <w:r>
              <w:rPr>
                <w:kern w:val="0"/>
                <w:szCs w:val="21"/>
              </w:rPr>
              <w:t>+</w:t>
            </w:r>
            <w:r>
              <w:rPr>
                <w:rFonts w:hint="eastAsia"/>
                <w:kern w:val="0"/>
                <w:szCs w:val="21"/>
              </w:rPr>
              <w:t>1</w:t>
            </w:r>
            <w:r>
              <w:rPr>
                <w:kern w:val="0"/>
                <w:szCs w:val="21"/>
              </w:rPr>
              <w:t>5m高排气筒</w:t>
            </w:r>
          </w:p>
        </w:tc>
        <w:tc>
          <w:tcPr>
            <w:tcW w:w="683" w:type="dxa"/>
            <w:vAlign w:val="center"/>
          </w:tcPr>
          <w:p>
            <w:pPr>
              <w:adjustRightInd w:val="0"/>
              <w:snapToGrid w:val="0"/>
              <w:jc w:val="center"/>
              <w:rPr>
                <w:kern w:val="0"/>
                <w:szCs w:val="21"/>
              </w:rPr>
            </w:pPr>
            <w:r>
              <w:rPr>
                <w:rFonts w:hint="eastAsia"/>
                <w:kern w:val="0"/>
                <w:szCs w:val="21"/>
              </w:rPr>
              <w:t>1.024</w:t>
            </w:r>
          </w:p>
        </w:tc>
        <w:tc>
          <w:tcPr>
            <w:tcW w:w="764" w:type="dxa"/>
            <w:vAlign w:val="center"/>
          </w:tcPr>
          <w:p>
            <w:pPr>
              <w:adjustRightInd w:val="0"/>
              <w:snapToGrid w:val="0"/>
              <w:jc w:val="center"/>
              <w:rPr>
                <w:kern w:val="0"/>
                <w:szCs w:val="21"/>
              </w:rPr>
            </w:pPr>
            <w:r>
              <w:rPr>
                <w:rFonts w:hint="eastAsia"/>
                <w:kern w:val="0"/>
                <w:szCs w:val="21"/>
              </w:rPr>
              <w:t>0.00512</w:t>
            </w:r>
          </w:p>
        </w:tc>
        <w:tc>
          <w:tcPr>
            <w:tcW w:w="933" w:type="dxa"/>
            <w:vAlign w:val="center"/>
          </w:tcPr>
          <w:p>
            <w:pPr>
              <w:adjustRightInd w:val="0"/>
              <w:snapToGrid w:val="0"/>
              <w:jc w:val="center"/>
              <w:rPr>
                <w:kern w:val="0"/>
                <w:szCs w:val="21"/>
              </w:rPr>
            </w:pPr>
            <w:r>
              <w:rPr>
                <w:rFonts w:hint="eastAsia"/>
                <w:kern w:val="0"/>
                <w:szCs w:val="21"/>
              </w:rPr>
              <w:t>0.012288</w:t>
            </w:r>
          </w:p>
        </w:tc>
        <w:tc>
          <w:tcPr>
            <w:tcW w:w="713" w:type="dxa"/>
            <w:vAlign w:val="center"/>
          </w:tcPr>
          <w:p>
            <w:pPr>
              <w:jc w:val="center"/>
              <w:rPr>
                <w:szCs w:val="21"/>
              </w:rPr>
            </w:pPr>
            <w:r>
              <w:rPr>
                <w:rFonts w:hint="eastAsia"/>
                <w:szCs w:val="21"/>
              </w:rPr>
              <w:t>DA005</w:t>
            </w:r>
            <w:r>
              <w:rPr>
                <w:szCs w:val="21"/>
              </w:rPr>
              <w:t>排放口</w:t>
            </w:r>
          </w:p>
        </w:tc>
        <w:tc>
          <w:tcPr>
            <w:tcW w:w="386" w:type="dxa"/>
            <w:vAlign w:val="center"/>
          </w:tcPr>
          <w:p>
            <w:pPr>
              <w:jc w:val="center"/>
              <w:rPr>
                <w:szCs w:val="21"/>
              </w:rPr>
            </w:pPr>
            <w:r>
              <w:rPr>
                <w:szCs w:val="21"/>
              </w:rPr>
              <w:t>15</w:t>
            </w:r>
          </w:p>
        </w:tc>
        <w:tc>
          <w:tcPr>
            <w:tcW w:w="427" w:type="dxa"/>
            <w:vAlign w:val="center"/>
          </w:tcPr>
          <w:p>
            <w:pPr>
              <w:jc w:val="center"/>
              <w:rPr>
                <w:szCs w:val="21"/>
              </w:rPr>
            </w:pPr>
            <w:r>
              <w:rPr>
                <w:szCs w:val="21"/>
              </w:rPr>
              <w:t>0.</w:t>
            </w:r>
            <w:r>
              <w:rPr>
                <w:rFonts w:hint="eastAsia"/>
                <w:szCs w:val="21"/>
              </w:rPr>
              <w:t>4</w:t>
            </w:r>
          </w:p>
        </w:tc>
        <w:tc>
          <w:tcPr>
            <w:tcW w:w="386" w:type="dxa"/>
            <w:vAlign w:val="center"/>
          </w:tcPr>
          <w:p>
            <w:pPr>
              <w:jc w:val="center"/>
              <w:rPr>
                <w:szCs w:val="21"/>
              </w:rPr>
            </w:pPr>
            <w:r>
              <w:rPr>
                <w:rFonts w:hint="eastAsia"/>
                <w:szCs w:val="21"/>
              </w:rPr>
              <w:t>25</w:t>
            </w:r>
          </w:p>
        </w:tc>
        <w:tc>
          <w:tcPr>
            <w:tcW w:w="386" w:type="dxa"/>
            <w:vAlign w:val="center"/>
          </w:tcPr>
          <w:p>
            <w:pPr>
              <w:spacing w:line="340" w:lineRule="exact"/>
              <w:jc w:val="center"/>
              <w:rPr>
                <w:szCs w:val="21"/>
              </w:rPr>
            </w:pPr>
            <w:r>
              <w:rPr>
                <w:szCs w:val="21"/>
              </w:rPr>
              <w:t>一般排放口</w:t>
            </w:r>
          </w:p>
        </w:tc>
        <w:tc>
          <w:tcPr>
            <w:tcW w:w="1125" w:type="dxa"/>
            <w:vAlign w:val="center"/>
          </w:tcPr>
          <w:p>
            <w:pPr>
              <w:spacing w:line="340" w:lineRule="exact"/>
              <w:jc w:val="center"/>
              <w:rPr>
                <w:szCs w:val="21"/>
              </w:rPr>
            </w:pPr>
            <w:r>
              <w:rPr>
                <w:szCs w:val="21"/>
              </w:rPr>
              <w:t>E：</w:t>
            </w:r>
            <w:r>
              <w:rPr>
                <w:rFonts w:hint="eastAsia"/>
                <w:szCs w:val="21"/>
              </w:rPr>
              <w:t>116.832145</w:t>
            </w:r>
          </w:p>
          <w:p>
            <w:pPr>
              <w:spacing w:line="340" w:lineRule="exact"/>
              <w:jc w:val="center"/>
              <w:rPr>
                <w:szCs w:val="21"/>
              </w:rPr>
            </w:pPr>
            <w:r>
              <w:rPr>
                <w:szCs w:val="21"/>
              </w:rPr>
              <w:t>N：</w:t>
            </w:r>
            <w:r>
              <w:rPr>
                <w:rFonts w:hint="eastAsia"/>
                <w:szCs w:val="21"/>
              </w:rPr>
              <w:t>28.466931</w:t>
            </w:r>
          </w:p>
        </w:tc>
        <w:tc>
          <w:tcPr>
            <w:tcW w:w="568" w:type="dxa"/>
            <w:vAlign w:val="center"/>
          </w:tcPr>
          <w:p>
            <w:pPr>
              <w:snapToGrid w:val="0"/>
              <w:spacing w:line="340" w:lineRule="exact"/>
              <w:jc w:val="center"/>
              <w:rPr>
                <w:szCs w:val="21"/>
              </w:rPr>
            </w:pPr>
            <w:r>
              <w:rPr>
                <w:rFonts w:hint="eastAsia"/>
                <w:szCs w:val="21"/>
              </w:rPr>
              <w:t>120</w:t>
            </w:r>
          </w:p>
        </w:tc>
        <w:tc>
          <w:tcPr>
            <w:tcW w:w="536" w:type="dxa"/>
            <w:vAlign w:val="center"/>
          </w:tcPr>
          <w:p>
            <w:pPr>
              <w:jc w:val="center"/>
              <w:rPr>
                <w:szCs w:val="21"/>
              </w:rPr>
            </w:pPr>
            <w:r>
              <w:rPr>
                <w:rFonts w:hint="eastAsia"/>
                <w:szCs w:val="21"/>
              </w:rPr>
              <w:t>3.5</w:t>
            </w:r>
          </w:p>
        </w:tc>
      </w:tr>
    </w:tbl>
    <w:p>
      <w:pPr>
        <w:tabs>
          <w:tab w:val="left" w:pos="180"/>
        </w:tabs>
        <w:spacing w:before="120" w:beforeLines="50"/>
        <w:jc w:val="center"/>
        <w:rPr>
          <w:rFonts w:hint="eastAsia" w:ascii="黑体" w:hAnsi="黑体" w:eastAsia="黑体"/>
          <w:color w:val="000000" w:themeColor="text1"/>
          <w:sz w:val="24"/>
          <w14:textFill>
            <w14:solidFill>
              <w14:schemeClr w14:val="tx1"/>
            </w14:solidFill>
          </w14:textFill>
        </w:rPr>
      </w:pPr>
    </w:p>
    <w:p>
      <w:pPr>
        <w:tabs>
          <w:tab w:val="left" w:pos="180"/>
        </w:tabs>
        <w:spacing w:before="120" w:beforeLines="50"/>
        <w:jc w:val="center"/>
        <w:rPr>
          <w:rFonts w:hint="eastAsia" w:ascii="黑体" w:hAnsi="黑体" w:eastAsia="黑体"/>
          <w:color w:val="000000" w:themeColor="text1"/>
          <w:sz w:val="24"/>
          <w14:textFill>
            <w14:solidFill>
              <w14:schemeClr w14:val="tx1"/>
            </w14:solidFill>
          </w14:textFill>
        </w:rPr>
      </w:pP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表4-2  废气污染源非正常排放汇总表</w:t>
      </w:r>
    </w:p>
    <w:tbl>
      <w:tblPr>
        <w:tblStyle w:val="33"/>
        <w:tblW w:w="499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5"/>
        <w:gridCol w:w="540"/>
        <w:gridCol w:w="780"/>
        <w:gridCol w:w="600"/>
        <w:gridCol w:w="780"/>
        <w:gridCol w:w="616"/>
        <w:gridCol w:w="943"/>
        <w:gridCol w:w="776"/>
        <w:gridCol w:w="723"/>
        <w:gridCol w:w="840"/>
        <w:gridCol w:w="510"/>
        <w:gridCol w:w="494"/>
        <w:gridCol w:w="510"/>
        <w:gridCol w:w="885"/>
        <w:gridCol w:w="1685"/>
        <w:gridCol w:w="16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restart"/>
            <w:vAlign w:val="center"/>
          </w:tcPr>
          <w:p>
            <w:pPr>
              <w:adjustRightInd w:val="0"/>
              <w:snapToGrid w:val="0"/>
              <w:spacing w:line="240" w:lineRule="exact"/>
              <w:jc w:val="center"/>
              <w:rPr>
                <w:b/>
                <w:bCs/>
                <w:szCs w:val="21"/>
              </w:rPr>
            </w:pPr>
            <w:r>
              <w:rPr>
                <w:b/>
                <w:bCs/>
                <w:szCs w:val="21"/>
              </w:rPr>
              <w:t>产排污环节</w:t>
            </w:r>
          </w:p>
        </w:tc>
        <w:tc>
          <w:tcPr>
            <w:tcW w:w="204" w:type="pct"/>
            <w:vMerge w:val="restart"/>
            <w:vAlign w:val="center"/>
          </w:tcPr>
          <w:p>
            <w:pPr>
              <w:adjustRightInd w:val="0"/>
              <w:snapToGrid w:val="0"/>
              <w:spacing w:line="240" w:lineRule="exact"/>
              <w:jc w:val="center"/>
              <w:rPr>
                <w:b/>
                <w:bCs/>
                <w:szCs w:val="21"/>
              </w:rPr>
            </w:pPr>
            <w:r>
              <w:rPr>
                <w:b/>
                <w:bCs/>
                <w:szCs w:val="21"/>
              </w:rPr>
              <w:t>污染物排放形式</w:t>
            </w:r>
          </w:p>
        </w:tc>
        <w:tc>
          <w:tcPr>
            <w:tcW w:w="295" w:type="pct"/>
            <w:vMerge w:val="restart"/>
            <w:vAlign w:val="center"/>
          </w:tcPr>
          <w:p>
            <w:pPr>
              <w:adjustRightInd w:val="0"/>
              <w:snapToGrid w:val="0"/>
              <w:spacing w:line="240" w:lineRule="exact"/>
              <w:jc w:val="center"/>
              <w:rPr>
                <w:b/>
                <w:bCs/>
                <w:szCs w:val="21"/>
              </w:rPr>
            </w:pPr>
            <w:r>
              <w:rPr>
                <w:b/>
                <w:bCs/>
                <w:szCs w:val="21"/>
              </w:rPr>
              <w:t>污染物</w:t>
            </w:r>
          </w:p>
          <w:p>
            <w:pPr>
              <w:adjustRightInd w:val="0"/>
              <w:snapToGrid w:val="0"/>
              <w:spacing w:line="240" w:lineRule="exact"/>
              <w:jc w:val="center"/>
              <w:rPr>
                <w:b/>
                <w:bCs/>
                <w:szCs w:val="21"/>
              </w:rPr>
            </w:pPr>
            <w:r>
              <w:rPr>
                <w:b/>
                <w:bCs/>
                <w:szCs w:val="21"/>
              </w:rPr>
              <w:t>种类</w:t>
            </w:r>
          </w:p>
        </w:tc>
        <w:tc>
          <w:tcPr>
            <w:tcW w:w="755" w:type="pct"/>
            <w:gridSpan w:val="3"/>
            <w:vAlign w:val="center"/>
          </w:tcPr>
          <w:p>
            <w:pPr>
              <w:adjustRightInd w:val="0"/>
              <w:snapToGrid w:val="0"/>
              <w:spacing w:line="240" w:lineRule="exact"/>
              <w:jc w:val="center"/>
              <w:rPr>
                <w:b/>
                <w:bCs/>
                <w:szCs w:val="21"/>
              </w:rPr>
            </w:pPr>
            <w:r>
              <w:rPr>
                <w:b/>
                <w:bCs/>
                <w:szCs w:val="21"/>
              </w:rPr>
              <w:t>非正常排放频次</w:t>
            </w:r>
          </w:p>
        </w:tc>
        <w:tc>
          <w:tcPr>
            <w:tcW w:w="925" w:type="pct"/>
            <w:gridSpan w:val="3"/>
            <w:vAlign w:val="center"/>
          </w:tcPr>
          <w:p>
            <w:pPr>
              <w:adjustRightInd w:val="0"/>
              <w:snapToGrid w:val="0"/>
              <w:spacing w:line="240" w:lineRule="exact"/>
              <w:jc w:val="center"/>
              <w:rPr>
                <w:b/>
                <w:bCs/>
                <w:szCs w:val="21"/>
              </w:rPr>
            </w:pPr>
            <w:r>
              <w:rPr>
                <w:b/>
                <w:bCs/>
                <w:szCs w:val="21"/>
              </w:rPr>
              <w:t>污染物排放量和浓度</w:t>
            </w:r>
          </w:p>
        </w:tc>
        <w:tc>
          <w:tcPr>
            <w:tcW w:w="1863" w:type="pct"/>
            <w:gridSpan w:val="6"/>
            <w:vAlign w:val="center"/>
          </w:tcPr>
          <w:p>
            <w:pPr>
              <w:adjustRightInd w:val="0"/>
              <w:snapToGrid w:val="0"/>
              <w:spacing w:line="240" w:lineRule="exact"/>
              <w:jc w:val="center"/>
              <w:rPr>
                <w:b/>
                <w:bCs/>
                <w:szCs w:val="21"/>
              </w:rPr>
            </w:pPr>
            <w:r>
              <w:rPr>
                <w:b/>
                <w:bCs/>
                <w:szCs w:val="21"/>
              </w:rPr>
              <w:t>排放口基本情况</w:t>
            </w:r>
          </w:p>
        </w:tc>
        <w:tc>
          <w:tcPr>
            <w:tcW w:w="608" w:type="pct"/>
            <w:vMerge w:val="restart"/>
            <w:vAlign w:val="center"/>
          </w:tcPr>
          <w:p>
            <w:pPr>
              <w:adjustRightInd w:val="0"/>
              <w:snapToGrid w:val="0"/>
              <w:spacing w:line="240" w:lineRule="exact"/>
              <w:jc w:val="center"/>
              <w:rPr>
                <w:b/>
                <w:bCs/>
                <w:szCs w:val="21"/>
              </w:rPr>
            </w:pPr>
            <w:r>
              <w:rPr>
                <w:b/>
                <w:bCs/>
                <w:szCs w:val="21"/>
              </w:rPr>
              <w:t>控制措施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adjustRightInd w:val="0"/>
              <w:snapToGrid w:val="0"/>
              <w:spacing w:line="240" w:lineRule="exact"/>
              <w:jc w:val="center"/>
              <w:rPr>
                <w:b/>
                <w:bCs/>
                <w:szCs w:val="21"/>
              </w:rPr>
            </w:pPr>
          </w:p>
        </w:tc>
        <w:tc>
          <w:tcPr>
            <w:tcW w:w="204" w:type="pct"/>
            <w:vMerge w:val="continue"/>
            <w:vAlign w:val="center"/>
          </w:tcPr>
          <w:p>
            <w:pPr>
              <w:adjustRightInd w:val="0"/>
              <w:snapToGrid w:val="0"/>
              <w:spacing w:line="240" w:lineRule="exact"/>
              <w:jc w:val="center"/>
              <w:rPr>
                <w:b/>
                <w:bCs/>
                <w:szCs w:val="21"/>
              </w:rPr>
            </w:pPr>
          </w:p>
        </w:tc>
        <w:tc>
          <w:tcPr>
            <w:tcW w:w="295" w:type="pct"/>
            <w:vMerge w:val="continue"/>
            <w:vAlign w:val="center"/>
          </w:tcPr>
          <w:p>
            <w:pPr>
              <w:adjustRightInd w:val="0"/>
              <w:snapToGrid w:val="0"/>
              <w:spacing w:line="240" w:lineRule="exact"/>
              <w:jc w:val="center"/>
              <w:rPr>
                <w:b/>
                <w:bCs/>
                <w:szCs w:val="21"/>
              </w:rPr>
            </w:pPr>
          </w:p>
        </w:tc>
        <w:tc>
          <w:tcPr>
            <w:tcW w:w="227" w:type="pct"/>
            <w:vAlign w:val="center"/>
          </w:tcPr>
          <w:p>
            <w:pPr>
              <w:adjustRightInd w:val="0"/>
              <w:snapToGrid w:val="0"/>
              <w:spacing w:line="240" w:lineRule="exact"/>
              <w:jc w:val="center"/>
              <w:rPr>
                <w:b/>
                <w:bCs/>
                <w:szCs w:val="21"/>
              </w:rPr>
            </w:pPr>
            <w:r>
              <w:rPr>
                <w:b/>
                <w:bCs/>
                <w:szCs w:val="21"/>
              </w:rPr>
              <w:t>次数</w:t>
            </w:r>
          </w:p>
        </w:tc>
        <w:tc>
          <w:tcPr>
            <w:tcW w:w="295" w:type="pct"/>
            <w:vAlign w:val="center"/>
          </w:tcPr>
          <w:p>
            <w:pPr>
              <w:adjustRightInd w:val="0"/>
              <w:snapToGrid w:val="0"/>
              <w:spacing w:line="240" w:lineRule="exact"/>
              <w:jc w:val="center"/>
              <w:rPr>
                <w:b/>
                <w:bCs/>
                <w:szCs w:val="21"/>
              </w:rPr>
            </w:pPr>
            <w:r>
              <w:rPr>
                <w:b/>
                <w:bCs/>
                <w:szCs w:val="21"/>
              </w:rPr>
              <w:t>单次持续时间</w:t>
            </w:r>
          </w:p>
        </w:tc>
        <w:tc>
          <w:tcPr>
            <w:tcW w:w="233" w:type="pct"/>
            <w:vAlign w:val="center"/>
          </w:tcPr>
          <w:p>
            <w:pPr>
              <w:adjustRightInd w:val="0"/>
              <w:snapToGrid w:val="0"/>
              <w:spacing w:line="240" w:lineRule="exact"/>
              <w:jc w:val="center"/>
              <w:rPr>
                <w:b/>
                <w:bCs/>
                <w:szCs w:val="21"/>
              </w:rPr>
            </w:pPr>
            <w:r>
              <w:rPr>
                <w:b/>
                <w:bCs/>
                <w:szCs w:val="21"/>
              </w:rPr>
              <w:t>总排放时间</w:t>
            </w:r>
          </w:p>
        </w:tc>
        <w:tc>
          <w:tcPr>
            <w:tcW w:w="357" w:type="pct"/>
            <w:vMerge w:val="restart"/>
            <w:vAlign w:val="center"/>
          </w:tcPr>
          <w:p>
            <w:pPr>
              <w:adjustRightInd w:val="0"/>
              <w:snapToGrid w:val="0"/>
              <w:spacing w:line="240" w:lineRule="exact"/>
              <w:jc w:val="center"/>
              <w:rPr>
                <w:b/>
                <w:bCs/>
                <w:szCs w:val="21"/>
              </w:rPr>
            </w:pPr>
            <w:r>
              <w:rPr>
                <w:b/>
                <w:bCs/>
                <w:szCs w:val="21"/>
              </w:rPr>
              <w:t>排放浓度</w:t>
            </w:r>
          </w:p>
          <w:p>
            <w:pPr>
              <w:adjustRightInd w:val="0"/>
              <w:snapToGrid w:val="0"/>
              <w:spacing w:line="240" w:lineRule="exact"/>
              <w:jc w:val="center"/>
              <w:rPr>
                <w:b/>
                <w:bCs/>
                <w:szCs w:val="21"/>
              </w:rPr>
            </w:pPr>
            <w:r>
              <w:rPr>
                <w:b/>
                <w:bCs/>
                <w:szCs w:val="21"/>
              </w:rPr>
              <w:t>mg/m</w:t>
            </w:r>
            <w:r>
              <w:rPr>
                <w:b/>
                <w:bCs/>
                <w:szCs w:val="21"/>
                <w:vertAlign w:val="superscript"/>
              </w:rPr>
              <w:t>3</w:t>
            </w:r>
          </w:p>
        </w:tc>
        <w:tc>
          <w:tcPr>
            <w:tcW w:w="568" w:type="pct"/>
            <w:gridSpan w:val="2"/>
            <w:vAlign w:val="center"/>
          </w:tcPr>
          <w:p>
            <w:pPr>
              <w:adjustRightInd w:val="0"/>
              <w:snapToGrid w:val="0"/>
              <w:spacing w:line="240" w:lineRule="exact"/>
              <w:jc w:val="center"/>
              <w:rPr>
                <w:b/>
                <w:bCs/>
                <w:szCs w:val="21"/>
              </w:rPr>
            </w:pPr>
            <w:r>
              <w:rPr>
                <w:b/>
                <w:bCs/>
                <w:szCs w:val="21"/>
              </w:rPr>
              <w:t>排放量</w:t>
            </w:r>
          </w:p>
        </w:tc>
        <w:tc>
          <w:tcPr>
            <w:tcW w:w="318" w:type="pct"/>
            <w:vAlign w:val="center"/>
          </w:tcPr>
          <w:p>
            <w:pPr>
              <w:adjustRightInd w:val="0"/>
              <w:snapToGrid w:val="0"/>
              <w:spacing w:line="240" w:lineRule="exact"/>
              <w:jc w:val="center"/>
              <w:rPr>
                <w:b/>
                <w:bCs/>
                <w:spacing w:val="-10"/>
                <w:szCs w:val="21"/>
              </w:rPr>
            </w:pPr>
            <w:r>
              <w:rPr>
                <w:b/>
                <w:bCs/>
                <w:spacing w:val="-10"/>
                <w:szCs w:val="21"/>
              </w:rPr>
              <w:t>编号及名称</w:t>
            </w:r>
          </w:p>
        </w:tc>
        <w:tc>
          <w:tcPr>
            <w:tcW w:w="193" w:type="pct"/>
            <w:vAlign w:val="center"/>
          </w:tcPr>
          <w:p>
            <w:pPr>
              <w:adjustRightInd w:val="0"/>
              <w:snapToGrid w:val="0"/>
              <w:spacing w:line="240" w:lineRule="exact"/>
              <w:jc w:val="center"/>
              <w:rPr>
                <w:b/>
                <w:bCs/>
                <w:szCs w:val="21"/>
              </w:rPr>
            </w:pPr>
            <w:r>
              <w:rPr>
                <w:b/>
                <w:bCs/>
                <w:szCs w:val="21"/>
              </w:rPr>
              <w:t>高度</w:t>
            </w:r>
          </w:p>
        </w:tc>
        <w:tc>
          <w:tcPr>
            <w:tcW w:w="187" w:type="pct"/>
            <w:vAlign w:val="center"/>
          </w:tcPr>
          <w:p>
            <w:pPr>
              <w:adjustRightInd w:val="0"/>
              <w:snapToGrid w:val="0"/>
              <w:spacing w:line="240" w:lineRule="exact"/>
              <w:jc w:val="center"/>
              <w:rPr>
                <w:b/>
                <w:bCs/>
                <w:szCs w:val="21"/>
              </w:rPr>
            </w:pPr>
            <w:r>
              <w:rPr>
                <w:b/>
                <w:bCs/>
                <w:szCs w:val="21"/>
              </w:rPr>
              <w:t>内径</w:t>
            </w:r>
          </w:p>
        </w:tc>
        <w:tc>
          <w:tcPr>
            <w:tcW w:w="193" w:type="pct"/>
            <w:vAlign w:val="center"/>
          </w:tcPr>
          <w:p>
            <w:pPr>
              <w:adjustRightInd w:val="0"/>
              <w:snapToGrid w:val="0"/>
              <w:spacing w:line="240" w:lineRule="exact"/>
              <w:jc w:val="center"/>
              <w:rPr>
                <w:b/>
                <w:bCs/>
                <w:szCs w:val="21"/>
              </w:rPr>
            </w:pPr>
            <w:r>
              <w:rPr>
                <w:b/>
                <w:bCs/>
                <w:szCs w:val="21"/>
              </w:rPr>
              <w:t>温度</w:t>
            </w:r>
          </w:p>
        </w:tc>
        <w:tc>
          <w:tcPr>
            <w:tcW w:w="335" w:type="pct"/>
            <w:vAlign w:val="center"/>
          </w:tcPr>
          <w:p>
            <w:pPr>
              <w:adjustRightInd w:val="0"/>
              <w:snapToGrid w:val="0"/>
              <w:spacing w:line="240" w:lineRule="exact"/>
              <w:jc w:val="center"/>
              <w:rPr>
                <w:b/>
                <w:bCs/>
                <w:szCs w:val="21"/>
              </w:rPr>
            </w:pPr>
            <w:r>
              <w:rPr>
                <w:b/>
                <w:bCs/>
                <w:szCs w:val="21"/>
              </w:rPr>
              <w:t>类型</w:t>
            </w:r>
          </w:p>
        </w:tc>
        <w:tc>
          <w:tcPr>
            <w:tcW w:w="636" w:type="pct"/>
            <w:vAlign w:val="center"/>
          </w:tcPr>
          <w:p>
            <w:pPr>
              <w:adjustRightInd w:val="0"/>
              <w:snapToGrid w:val="0"/>
              <w:spacing w:line="240" w:lineRule="exact"/>
              <w:jc w:val="center"/>
              <w:rPr>
                <w:b/>
                <w:bCs/>
                <w:szCs w:val="21"/>
              </w:rPr>
            </w:pPr>
            <w:r>
              <w:rPr>
                <w:b/>
                <w:bCs/>
                <w:szCs w:val="21"/>
              </w:rPr>
              <w:t>地理</w:t>
            </w:r>
          </w:p>
          <w:p>
            <w:pPr>
              <w:adjustRightInd w:val="0"/>
              <w:snapToGrid w:val="0"/>
              <w:spacing w:line="240" w:lineRule="exact"/>
              <w:jc w:val="center"/>
              <w:rPr>
                <w:b/>
                <w:bCs/>
                <w:szCs w:val="21"/>
              </w:rPr>
            </w:pPr>
            <w:r>
              <w:rPr>
                <w:b/>
                <w:bCs/>
                <w:szCs w:val="21"/>
              </w:rPr>
              <w:t>坐标</w:t>
            </w:r>
          </w:p>
        </w:tc>
        <w:tc>
          <w:tcPr>
            <w:tcW w:w="608" w:type="pct"/>
            <w:vMerge w:val="continue"/>
            <w:vAlign w:val="center"/>
          </w:tcPr>
          <w:p>
            <w:pPr>
              <w:adjustRightInd w:val="0"/>
              <w:snapToGrid w:val="0"/>
              <w:spacing w:line="240" w:lineRule="exact"/>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adjustRightInd w:val="0"/>
              <w:snapToGrid w:val="0"/>
              <w:spacing w:line="240" w:lineRule="exact"/>
              <w:jc w:val="center"/>
              <w:rPr>
                <w:bCs/>
                <w:szCs w:val="21"/>
              </w:rPr>
            </w:pPr>
          </w:p>
        </w:tc>
        <w:tc>
          <w:tcPr>
            <w:tcW w:w="204"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27" w:type="pct"/>
            <w:vAlign w:val="center"/>
          </w:tcPr>
          <w:p>
            <w:pPr>
              <w:adjustRightInd w:val="0"/>
              <w:snapToGrid w:val="0"/>
              <w:spacing w:line="240" w:lineRule="exact"/>
              <w:jc w:val="center"/>
              <w:rPr>
                <w:b/>
                <w:bCs/>
                <w:szCs w:val="21"/>
              </w:rPr>
            </w:pPr>
            <w:r>
              <w:rPr>
                <w:b/>
                <w:bCs/>
                <w:szCs w:val="21"/>
              </w:rPr>
              <w:t>次/年</w:t>
            </w:r>
          </w:p>
        </w:tc>
        <w:tc>
          <w:tcPr>
            <w:tcW w:w="295" w:type="pct"/>
            <w:vAlign w:val="center"/>
          </w:tcPr>
          <w:p>
            <w:pPr>
              <w:adjustRightInd w:val="0"/>
              <w:snapToGrid w:val="0"/>
              <w:spacing w:line="240" w:lineRule="exact"/>
              <w:jc w:val="center"/>
              <w:rPr>
                <w:b/>
                <w:bCs/>
                <w:szCs w:val="21"/>
              </w:rPr>
            </w:pPr>
            <w:r>
              <w:rPr>
                <w:b/>
                <w:bCs/>
                <w:szCs w:val="21"/>
              </w:rPr>
              <w:t>小时</w:t>
            </w:r>
          </w:p>
        </w:tc>
        <w:tc>
          <w:tcPr>
            <w:tcW w:w="233" w:type="pct"/>
            <w:vAlign w:val="center"/>
          </w:tcPr>
          <w:p>
            <w:pPr>
              <w:adjustRightInd w:val="0"/>
              <w:snapToGrid w:val="0"/>
              <w:spacing w:line="240" w:lineRule="exact"/>
              <w:jc w:val="center"/>
              <w:rPr>
                <w:b/>
                <w:bCs/>
                <w:szCs w:val="21"/>
              </w:rPr>
            </w:pPr>
            <w:r>
              <w:rPr>
                <w:b/>
                <w:bCs/>
                <w:szCs w:val="21"/>
              </w:rPr>
              <w:t>小时</w:t>
            </w:r>
          </w:p>
        </w:tc>
        <w:tc>
          <w:tcPr>
            <w:tcW w:w="357" w:type="pct"/>
            <w:vMerge w:val="continue"/>
            <w:vAlign w:val="center"/>
          </w:tcPr>
          <w:p>
            <w:pPr>
              <w:adjustRightInd w:val="0"/>
              <w:snapToGrid w:val="0"/>
              <w:spacing w:line="240" w:lineRule="exact"/>
              <w:jc w:val="center"/>
              <w:rPr>
                <w:bCs/>
                <w:szCs w:val="21"/>
              </w:rPr>
            </w:pPr>
          </w:p>
        </w:tc>
        <w:tc>
          <w:tcPr>
            <w:tcW w:w="294" w:type="pct"/>
            <w:vAlign w:val="center"/>
          </w:tcPr>
          <w:p>
            <w:pPr>
              <w:adjustRightInd w:val="0"/>
              <w:snapToGrid w:val="0"/>
              <w:spacing w:line="240" w:lineRule="exact"/>
              <w:jc w:val="center"/>
              <w:rPr>
                <w:b/>
                <w:bCs/>
                <w:szCs w:val="21"/>
              </w:rPr>
            </w:pPr>
            <w:r>
              <w:rPr>
                <w:b/>
                <w:bCs/>
                <w:szCs w:val="21"/>
              </w:rPr>
              <w:t>kg/h</w:t>
            </w:r>
          </w:p>
        </w:tc>
        <w:tc>
          <w:tcPr>
            <w:tcW w:w="273" w:type="pct"/>
            <w:vAlign w:val="center"/>
          </w:tcPr>
          <w:p>
            <w:pPr>
              <w:adjustRightInd w:val="0"/>
              <w:snapToGrid w:val="0"/>
              <w:spacing w:line="240" w:lineRule="exact"/>
              <w:jc w:val="center"/>
              <w:rPr>
                <w:b/>
                <w:bCs/>
                <w:szCs w:val="21"/>
              </w:rPr>
            </w:pPr>
            <w:r>
              <w:rPr>
                <w:rFonts w:hint="eastAsia"/>
                <w:b/>
                <w:bCs/>
                <w:szCs w:val="21"/>
              </w:rPr>
              <w:t>T</w:t>
            </w:r>
          </w:p>
          <w:p>
            <w:pPr>
              <w:adjustRightInd w:val="0"/>
              <w:snapToGrid w:val="0"/>
              <w:spacing w:line="240" w:lineRule="exact"/>
              <w:jc w:val="center"/>
              <w:rPr>
                <w:b/>
                <w:bCs/>
                <w:szCs w:val="21"/>
              </w:rPr>
            </w:pPr>
            <w:r>
              <w:rPr>
                <w:b/>
                <w:bCs/>
                <w:szCs w:val="21"/>
              </w:rPr>
              <w:t>/a</w:t>
            </w:r>
          </w:p>
        </w:tc>
        <w:tc>
          <w:tcPr>
            <w:tcW w:w="318" w:type="pct"/>
            <w:vAlign w:val="center"/>
          </w:tcPr>
          <w:p>
            <w:pPr>
              <w:adjustRightInd w:val="0"/>
              <w:snapToGrid w:val="0"/>
              <w:spacing w:line="240" w:lineRule="exact"/>
              <w:jc w:val="center"/>
              <w:rPr>
                <w:b/>
                <w:bCs/>
                <w:szCs w:val="21"/>
              </w:rPr>
            </w:pPr>
            <w:r>
              <w:rPr>
                <w:b/>
                <w:bCs/>
                <w:szCs w:val="21"/>
              </w:rPr>
              <w:t>/</w:t>
            </w:r>
          </w:p>
        </w:tc>
        <w:tc>
          <w:tcPr>
            <w:tcW w:w="193" w:type="pct"/>
            <w:vAlign w:val="center"/>
          </w:tcPr>
          <w:p>
            <w:pPr>
              <w:adjustRightInd w:val="0"/>
              <w:snapToGrid w:val="0"/>
              <w:spacing w:line="240" w:lineRule="exact"/>
              <w:jc w:val="center"/>
              <w:rPr>
                <w:b/>
                <w:bCs/>
                <w:szCs w:val="21"/>
              </w:rPr>
            </w:pPr>
            <w:r>
              <w:rPr>
                <w:b/>
                <w:bCs/>
                <w:szCs w:val="21"/>
              </w:rPr>
              <w:t>m</w:t>
            </w:r>
          </w:p>
        </w:tc>
        <w:tc>
          <w:tcPr>
            <w:tcW w:w="187" w:type="pct"/>
            <w:vAlign w:val="center"/>
          </w:tcPr>
          <w:p>
            <w:pPr>
              <w:adjustRightInd w:val="0"/>
              <w:snapToGrid w:val="0"/>
              <w:spacing w:line="240" w:lineRule="exact"/>
              <w:jc w:val="center"/>
              <w:rPr>
                <w:b/>
                <w:bCs/>
                <w:szCs w:val="21"/>
              </w:rPr>
            </w:pPr>
            <w:r>
              <w:rPr>
                <w:b/>
                <w:bCs/>
                <w:szCs w:val="21"/>
              </w:rPr>
              <w:t>m</w:t>
            </w:r>
          </w:p>
        </w:tc>
        <w:tc>
          <w:tcPr>
            <w:tcW w:w="193" w:type="pct"/>
            <w:vAlign w:val="center"/>
          </w:tcPr>
          <w:p>
            <w:pPr>
              <w:adjustRightInd w:val="0"/>
              <w:snapToGrid w:val="0"/>
              <w:spacing w:line="240" w:lineRule="exact"/>
              <w:jc w:val="center"/>
              <w:rPr>
                <w:b/>
                <w:bCs/>
                <w:szCs w:val="21"/>
              </w:rPr>
            </w:pPr>
            <w:r>
              <w:rPr>
                <w:b/>
                <w:bCs/>
                <w:szCs w:val="21"/>
              </w:rPr>
              <w:t>℃</w:t>
            </w:r>
          </w:p>
        </w:tc>
        <w:tc>
          <w:tcPr>
            <w:tcW w:w="335" w:type="pct"/>
            <w:vAlign w:val="center"/>
          </w:tcPr>
          <w:p>
            <w:pPr>
              <w:adjustRightInd w:val="0"/>
              <w:snapToGrid w:val="0"/>
              <w:spacing w:line="240" w:lineRule="exact"/>
              <w:jc w:val="center"/>
              <w:rPr>
                <w:b/>
                <w:bCs/>
                <w:szCs w:val="21"/>
              </w:rPr>
            </w:pPr>
            <w:r>
              <w:rPr>
                <w:b/>
                <w:bCs/>
                <w:szCs w:val="21"/>
              </w:rPr>
              <w:t>/</w:t>
            </w:r>
          </w:p>
        </w:tc>
        <w:tc>
          <w:tcPr>
            <w:tcW w:w="636" w:type="pct"/>
            <w:vAlign w:val="center"/>
          </w:tcPr>
          <w:p>
            <w:pPr>
              <w:adjustRightInd w:val="0"/>
              <w:snapToGrid w:val="0"/>
              <w:spacing w:line="240" w:lineRule="exact"/>
              <w:jc w:val="center"/>
              <w:rPr>
                <w:b/>
                <w:bCs/>
                <w:szCs w:val="21"/>
              </w:rPr>
            </w:pPr>
            <w:r>
              <w:rPr>
                <w:b/>
                <w:bCs/>
                <w:szCs w:val="21"/>
              </w:rPr>
              <w:t>/</w:t>
            </w: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Align w:val="center"/>
          </w:tcPr>
          <w:p>
            <w:pPr>
              <w:widowControl/>
              <w:jc w:val="center"/>
              <w:textAlignment w:val="center"/>
              <w:rPr>
                <w:bCs/>
                <w:szCs w:val="21"/>
              </w:rPr>
            </w:pPr>
            <w:r>
              <w:rPr>
                <w:rFonts w:hint="eastAsia" w:ascii="宋体" w:hAnsi="宋体" w:cs="宋体"/>
                <w:color w:val="000000"/>
                <w:kern w:val="0"/>
                <w:szCs w:val="21"/>
                <w:lang w:bidi="ar"/>
              </w:rPr>
              <w:t>机加工粉尘</w:t>
            </w:r>
          </w:p>
        </w:tc>
        <w:tc>
          <w:tcPr>
            <w:tcW w:w="204" w:type="pct"/>
            <w:vAlign w:val="center"/>
          </w:tcPr>
          <w:p>
            <w:pPr>
              <w:jc w:val="center"/>
              <w:rPr>
                <w:szCs w:val="21"/>
              </w:rPr>
            </w:pPr>
            <w:r>
              <w:rPr>
                <w:rFonts w:hint="eastAsia"/>
                <w:szCs w:val="21"/>
              </w:rPr>
              <w:t>有组织</w:t>
            </w:r>
          </w:p>
        </w:tc>
        <w:tc>
          <w:tcPr>
            <w:tcW w:w="295" w:type="pct"/>
            <w:vAlign w:val="center"/>
          </w:tcPr>
          <w:p>
            <w:pPr>
              <w:adjustRightInd w:val="0"/>
              <w:snapToGrid w:val="0"/>
              <w:jc w:val="center"/>
              <w:rPr>
                <w:kern w:val="0"/>
                <w:szCs w:val="21"/>
              </w:rPr>
            </w:pPr>
            <w:r>
              <w:rPr>
                <w:rFonts w:hint="eastAsia"/>
                <w:kern w:val="0"/>
                <w:szCs w:val="21"/>
              </w:rPr>
              <w:t>粉尘</w:t>
            </w:r>
          </w:p>
        </w:tc>
        <w:tc>
          <w:tcPr>
            <w:tcW w:w="227" w:type="pct"/>
            <w:vAlign w:val="center"/>
          </w:tcPr>
          <w:p>
            <w:pPr>
              <w:adjustRightInd w:val="0"/>
              <w:snapToGrid w:val="0"/>
              <w:spacing w:line="240" w:lineRule="exact"/>
              <w:jc w:val="center"/>
              <w:rPr>
                <w:bCs/>
                <w:szCs w:val="21"/>
              </w:rPr>
            </w:pPr>
            <w:r>
              <w:rPr>
                <w:bCs/>
                <w:szCs w:val="21"/>
              </w:rPr>
              <w:t>2</w:t>
            </w:r>
          </w:p>
        </w:tc>
        <w:tc>
          <w:tcPr>
            <w:tcW w:w="295" w:type="pct"/>
            <w:vAlign w:val="center"/>
          </w:tcPr>
          <w:p>
            <w:pPr>
              <w:adjustRightInd w:val="0"/>
              <w:snapToGrid w:val="0"/>
              <w:spacing w:line="240" w:lineRule="exact"/>
              <w:jc w:val="center"/>
              <w:rPr>
                <w:bCs/>
                <w:szCs w:val="21"/>
              </w:rPr>
            </w:pPr>
            <w:r>
              <w:rPr>
                <w:bCs/>
                <w:szCs w:val="21"/>
              </w:rPr>
              <w:t>1</w:t>
            </w:r>
          </w:p>
        </w:tc>
        <w:tc>
          <w:tcPr>
            <w:tcW w:w="233" w:type="pct"/>
            <w:vAlign w:val="center"/>
          </w:tcPr>
          <w:p>
            <w:pPr>
              <w:adjustRightInd w:val="0"/>
              <w:snapToGrid w:val="0"/>
              <w:spacing w:line="240" w:lineRule="exact"/>
              <w:jc w:val="center"/>
              <w:rPr>
                <w:bCs/>
                <w:szCs w:val="21"/>
              </w:rPr>
            </w:pPr>
            <w:r>
              <w:rPr>
                <w:bCs/>
                <w:szCs w:val="21"/>
              </w:rPr>
              <w:t>2</w:t>
            </w:r>
          </w:p>
        </w:tc>
        <w:tc>
          <w:tcPr>
            <w:tcW w:w="357" w:type="pct"/>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30</w:t>
            </w:r>
          </w:p>
        </w:tc>
        <w:tc>
          <w:tcPr>
            <w:tcW w:w="294" w:type="pct"/>
            <w:vAlign w:val="center"/>
          </w:tcPr>
          <w:p>
            <w:pPr>
              <w:adjustRightInd w:val="0"/>
              <w:snapToGrid w:val="0"/>
              <w:jc w:val="center"/>
              <w:rPr>
                <w:kern w:val="0"/>
                <w:szCs w:val="21"/>
              </w:rPr>
            </w:pPr>
            <w:r>
              <w:rPr>
                <w:rFonts w:hint="eastAsia"/>
                <w:kern w:val="0"/>
                <w:szCs w:val="21"/>
              </w:rPr>
              <w:t>0.03</w:t>
            </w:r>
          </w:p>
        </w:tc>
        <w:tc>
          <w:tcPr>
            <w:tcW w:w="273" w:type="pct"/>
            <w:vAlign w:val="center"/>
          </w:tcPr>
          <w:p>
            <w:pPr>
              <w:adjustRightInd w:val="0"/>
              <w:snapToGrid w:val="0"/>
              <w:jc w:val="center"/>
              <w:rPr>
                <w:kern w:val="0"/>
                <w:szCs w:val="21"/>
              </w:rPr>
            </w:pPr>
            <w:r>
              <w:rPr>
                <w:rFonts w:hint="eastAsia"/>
                <w:kern w:val="0"/>
                <w:szCs w:val="21"/>
              </w:rPr>
              <w:t>0.072</w:t>
            </w:r>
          </w:p>
        </w:tc>
        <w:tc>
          <w:tcPr>
            <w:tcW w:w="318" w:type="pct"/>
            <w:vAlign w:val="center"/>
          </w:tcPr>
          <w:p>
            <w:pPr>
              <w:jc w:val="center"/>
              <w:rPr>
                <w:szCs w:val="21"/>
              </w:rPr>
            </w:pPr>
            <w:r>
              <w:rPr>
                <w:rFonts w:hint="eastAsia"/>
                <w:szCs w:val="21"/>
              </w:rPr>
              <w:t>DA001</w:t>
            </w:r>
            <w:r>
              <w:rPr>
                <w:szCs w:val="21"/>
              </w:rPr>
              <w:t>排放口</w:t>
            </w:r>
          </w:p>
        </w:tc>
        <w:tc>
          <w:tcPr>
            <w:tcW w:w="193" w:type="pct"/>
            <w:vAlign w:val="center"/>
          </w:tcPr>
          <w:p>
            <w:pPr>
              <w:jc w:val="center"/>
              <w:rPr>
                <w:szCs w:val="21"/>
              </w:rPr>
            </w:pPr>
            <w:r>
              <w:rPr>
                <w:szCs w:val="21"/>
              </w:rPr>
              <w:t>15</w:t>
            </w:r>
          </w:p>
        </w:tc>
        <w:tc>
          <w:tcPr>
            <w:tcW w:w="187" w:type="pct"/>
            <w:vAlign w:val="center"/>
          </w:tcPr>
          <w:p>
            <w:pPr>
              <w:jc w:val="center"/>
              <w:rPr>
                <w:szCs w:val="21"/>
              </w:rPr>
            </w:pPr>
            <w:r>
              <w:rPr>
                <w:szCs w:val="21"/>
              </w:rPr>
              <w:t>0.</w:t>
            </w:r>
            <w:r>
              <w:rPr>
                <w:rFonts w:hint="eastAsia"/>
                <w:szCs w:val="21"/>
              </w:rPr>
              <w:t>4</w:t>
            </w:r>
          </w:p>
        </w:tc>
        <w:tc>
          <w:tcPr>
            <w:tcW w:w="193" w:type="pct"/>
            <w:vAlign w:val="center"/>
          </w:tcPr>
          <w:p>
            <w:pPr>
              <w:jc w:val="center"/>
              <w:rPr>
                <w:szCs w:val="21"/>
              </w:rPr>
            </w:pPr>
            <w:r>
              <w:rPr>
                <w:rFonts w:hint="eastAsia"/>
                <w:szCs w:val="21"/>
              </w:rPr>
              <w:t>25</w:t>
            </w:r>
          </w:p>
        </w:tc>
        <w:tc>
          <w:tcPr>
            <w:tcW w:w="335" w:type="pct"/>
            <w:vAlign w:val="center"/>
          </w:tcPr>
          <w:p>
            <w:pPr>
              <w:spacing w:line="340" w:lineRule="exact"/>
              <w:jc w:val="center"/>
              <w:rPr>
                <w:szCs w:val="21"/>
              </w:rPr>
            </w:pPr>
            <w:r>
              <w:rPr>
                <w:szCs w:val="21"/>
              </w:rPr>
              <w:t>一般排放口</w:t>
            </w:r>
          </w:p>
        </w:tc>
        <w:tc>
          <w:tcPr>
            <w:tcW w:w="636" w:type="pct"/>
            <w:vAlign w:val="center"/>
          </w:tcPr>
          <w:p>
            <w:pPr>
              <w:spacing w:line="340" w:lineRule="exact"/>
              <w:jc w:val="center"/>
              <w:rPr>
                <w:szCs w:val="21"/>
              </w:rPr>
            </w:pPr>
            <w:r>
              <w:rPr>
                <w:szCs w:val="21"/>
              </w:rPr>
              <w:t>E：</w:t>
            </w:r>
            <w:r>
              <w:rPr>
                <w:rFonts w:hint="eastAsia"/>
                <w:szCs w:val="21"/>
              </w:rPr>
              <w:t>115.128713</w:t>
            </w:r>
          </w:p>
          <w:p>
            <w:pPr>
              <w:spacing w:line="340" w:lineRule="exact"/>
              <w:jc w:val="center"/>
              <w:rPr>
                <w:szCs w:val="21"/>
              </w:rPr>
            </w:pPr>
            <w:r>
              <w:rPr>
                <w:szCs w:val="21"/>
              </w:rPr>
              <w:t>N：</w:t>
            </w:r>
            <w:r>
              <w:rPr>
                <w:rFonts w:hint="eastAsia"/>
                <w:szCs w:val="21"/>
              </w:rPr>
              <w:t>29.230363</w:t>
            </w:r>
          </w:p>
        </w:tc>
        <w:tc>
          <w:tcPr>
            <w:tcW w:w="608" w:type="pct"/>
            <w:vMerge w:val="restart"/>
            <w:vAlign w:val="center"/>
          </w:tcPr>
          <w:p>
            <w:pPr>
              <w:adjustRightInd w:val="0"/>
              <w:snapToGrid w:val="0"/>
              <w:spacing w:line="240" w:lineRule="exact"/>
              <w:jc w:val="center"/>
              <w:rPr>
                <w:bCs/>
                <w:szCs w:val="21"/>
              </w:rPr>
            </w:pPr>
            <w:r>
              <w:rPr>
                <w:bCs/>
                <w:szCs w:val="21"/>
              </w:rPr>
              <w:t>企业应加强管理，一旦废气治理系统故障，立即停产检修，防止事故废气排放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restart"/>
            <w:vAlign w:val="center"/>
          </w:tcPr>
          <w:p>
            <w:pPr>
              <w:jc w:val="center"/>
              <w:rPr>
                <w:szCs w:val="21"/>
              </w:rPr>
            </w:pPr>
            <w:r>
              <w:rPr>
                <w:rFonts w:hint="eastAsia"/>
                <w:szCs w:val="21"/>
              </w:rPr>
              <w:t>喷漆房1废气</w:t>
            </w:r>
          </w:p>
          <w:p>
            <w:pPr>
              <w:jc w:val="center"/>
              <w:rPr>
                <w:szCs w:val="21"/>
              </w:rPr>
            </w:pPr>
          </w:p>
        </w:tc>
        <w:tc>
          <w:tcPr>
            <w:tcW w:w="204" w:type="pct"/>
            <w:vMerge w:val="restart"/>
            <w:vAlign w:val="center"/>
          </w:tcPr>
          <w:p>
            <w:pPr>
              <w:jc w:val="center"/>
              <w:rPr>
                <w:szCs w:val="21"/>
              </w:rPr>
            </w:pPr>
            <w:r>
              <w:rPr>
                <w:rFonts w:hint="eastAsia"/>
                <w:szCs w:val="21"/>
              </w:rPr>
              <w:t>有组织</w:t>
            </w:r>
          </w:p>
          <w:p>
            <w:pPr>
              <w:rPr>
                <w:szCs w:val="21"/>
              </w:rPr>
            </w:pPr>
            <w:r>
              <w:rPr>
                <w:rFonts w:hint="eastAsia"/>
                <w:szCs w:val="21"/>
              </w:rPr>
              <w:t>有组织</w:t>
            </w:r>
          </w:p>
          <w:p>
            <w:r>
              <w:rPr>
                <w:rFonts w:hint="eastAsia"/>
                <w:szCs w:val="21"/>
              </w:rPr>
              <w:t>有组织</w:t>
            </w:r>
          </w:p>
        </w:tc>
        <w:tc>
          <w:tcPr>
            <w:tcW w:w="295" w:type="pct"/>
            <w:vAlign w:val="center"/>
          </w:tcPr>
          <w:p>
            <w:pPr>
              <w:adjustRightInd w:val="0"/>
              <w:snapToGrid w:val="0"/>
              <w:jc w:val="center"/>
              <w:rPr>
                <w:kern w:val="0"/>
                <w:szCs w:val="21"/>
              </w:rPr>
            </w:pPr>
            <w:r>
              <w:rPr>
                <w:rFonts w:hint="eastAsia"/>
                <w:kern w:val="0"/>
                <w:szCs w:val="21"/>
              </w:rPr>
              <w:t>TVOC</w:t>
            </w:r>
          </w:p>
        </w:tc>
        <w:tc>
          <w:tcPr>
            <w:tcW w:w="227" w:type="pct"/>
            <w:vMerge w:val="restart"/>
            <w:vAlign w:val="center"/>
          </w:tcPr>
          <w:p>
            <w:pPr>
              <w:adjustRightInd w:val="0"/>
              <w:snapToGrid w:val="0"/>
              <w:spacing w:line="240" w:lineRule="exact"/>
              <w:jc w:val="center"/>
              <w:rPr>
                <w:bCs/>
                <w:szCs w:val="21"/>
              </w:rPr>
            </w:pPr>
            <w:r>
              <w:rPr>
                <w:bCs/>
                <w:szCs w:val="21"/>
              </w:rPr>
              <w:t>2</w:t>
            </w:r>
          </w:p>
        </w:tc>
        <w:tc>
          <w:tcPr>
            <w:tcW w:w="295" w:type="pct"/>
            <w:vMerge w:val="restart"/>
            <w:vAlign w:val="center"/>
          </w:tcPr>
          <w:p>
            <w:pPr>
              <w:adjustRightInd w:val="0"/>
              <w:snapToGrid w:val="0"/>
              <w:spacing w:line="240" w:lineRule="exact"/>
              <w:jc w:val="center"/>
              <w:rPr>
                <w:bCs/>
                <w:szCs w:val="21"/>
              </w:rPr>
            </w:pPr>
            <w:r>
              <w:rPr>
                <w:bCs/>
                <w:szCs w:val="21"/>
              </w:rPr>
              <w:t>1</w:t>
            </w:r>
          </w:p>
        </w:tc>
        <w:tc>
          <w:tcPr>
            <w:tcW w:w="233" w:type="pct"/>
            <w:vMerge w:val="restart"/>
            <w:vAlign w:val="center"/>
          </w:tcPr>
          <w:p>
            <w:pPr>
              <w:adjustRightInd w:val="0"/>
              <w:snapToGrid w:val="0"/>
              <w:spacing w:line="240" w:lineRule="exact"/>
              <w:jc w:val="center"/>
              <w:rPr>
                <w:bCs/>
                <w:szCs w:val="21"/>
              </w:rPr>
            </w:pPr>
            <w:r>
              <w:rPr>
                <w:bCs/>
                <w:szCs w:val="21"/>
              </w:rPr>
              <w:t>2</w:t>
            </w:r>
          </w:p>
        </w:tc>
        <w:tc>
          <w:tcPr>
            <w:tcW w:w="357" w:type="pct"/>
            <w:vAlign w:val="center"/>
          </w:tcPr>
          <w:p>
            <w:pPr>
              <w:adjustRightInd w:val="0"/>
              <w:snapToGrid w:val="0"/>
              <w:jc w:val="center"/>
              <w:rPr>
                <w:kern w:val="0"/>
                <w:szCs w:val="21"/>
              </w:rPr>
            </w:pPr>
            <w:r>
              <w:rPr>
                <w:rFonts w:hint="eastAsia"/>
                <w:kern w:val="0"/>
                <w:szCs w:val="21"/>
              </w:rPr>
              <w:t>35.8</w:t>
            </w:r>
          </w:p>
        </w:tc>
        <w:tc>
          <w:tcPr>
            <w:tcW w:w="294" w:type="pct"/>
            <w:vAlign w:val="center"/>
          </w:tcPr>
          <w:p>
            <w:pPr>
              <w:adjustRightInd w:val="0"/>
              <w:snapToGrid w:val="0"/>
              <w:jc w:val="center"/>
              <w:rPr>
                <w:kern w:val="0"/>
                <w:szCs w:val="21"/>
              </w:rPr>
            </w:pPr>
            <w:r>
              <w:rPr>
                <w:rFonts w:hint="eastAsia"/>
                <w:kern w:val="0"/>
                <w:szCs w:val="21"/>
              </w:rPr>
              <w:t>0.43</w:t>
            </w:r>
          </w:p>
        </w:tc>
        <w:tc>
          <w:tcPr>
            <w:tcW w:w="273" w:type="pct"/>
            <w:vAlign w:val="center"/>
          </w:tcPr>
          <w:p>
            <w:pPr>
              <w:adjustRightInd w:val="0"/>
              <w:snapToGrid w:val="0"/>
              <w:jc w:val="center"/>
              <w:rPr>
                <w:kern w:val="0"/>
                <w:szCs w:val="21"/>
              </w:rPr>
            </w:pPr>
            <w:r>
              <w:rPr>
                <w:rFonts w:hint="eastAsia"/>
                <w:kern w:val="0"/>
                <w:szCs w:val="21"/>
              </w:rPr>
              <w:t>1.04</w:t>
            </w:r>
          </w:p>
        </w:tc>
        <w:tc>
          <w:tcPr>
            <w:tcW w:w="318" w:type="pct"/>
            <w:vMerge w:val="restart"/>
            <w:vAlign w:val="center"/>
          </w:tcPr>
          <w:p>
            <w:pPr>
              <w:jc w:val="center"/>
              <w:rPr>
                <w:szCs w:val="21"/>
              </w:rPr>
            </w:pPr>
            <w:r>
              <w:rPr>
                <w:rFonts w:hint="eastAsia"/>
                <w:szCs w:val="21"/>
              </w:rPr>
              <w:t>DA002</w:t>
            </w:r>
            <w:r>
              <w:rPr>
                <w:szCs w:val="21"/>
              </w:rPr>
              <w:t>排放口</w:t>
            </w:r>
          </w:p>
        </w:tc>
        <w:tc>
          <w:tcPr>
            <w:tcW w:w="193" w:type="pct"/>
            <w:vMerge w:val="restart"/>
            <w:vAlign w:val="center"/>
          </w:tcPr>
          <w:p>
            <w:pPr>
              <w:jc w:val="center"/>
              <w:rPr>
                <w:szCs w:val="21"/>
              </w:rPr>
            </w:pPr>
            <w:r>
              <w:rPr>
                <w:rFonts w:hint="eastAsia"/>
                <w:szCs w:val="21"/>
              </w:rPr>
              <w:t>15</w:t>
            </w:r>
          </w:p>
          <w:p>
            <w:pPr>
              <w:jc w:val="center"/>
              <w:rPr>
                <w:szCs w:val="21"/>
              </w:rPr>
            </w:pPr>
            <w:r>
              <w:rPr>
                <w:szCs w:val="21"/>
              </w:rPr>
              <w:t>15</w:t>
            </w:r>
          </w:p>
          <w:p>
            <w:pPr>
              <w:jc w:val="center"/>
              <w:rPr>
                <w:szCs w:val="21"/>
              </w:rPr>
            </w:pPr>
          </w:p>
        </w:tc>
        <w:tc>
          <w:tcPr>
            <w:tcW w:w="187" w:type="pct"/>
            <w:vMerge w:val="restart"/>
            <w:vAlign w:val="center"/>
          </w:tcPr>
          <w:p>
            <w:pPr>
              <w:jc w:val="center"/>
              <w:rPr>
                <w:szCs w:val="21"/>
              </w:rPr>
            </w:pPr>
            <w:r>
              <w:rPr>
                <w:szCs w:val="21"/>
              </w:rPr>
              <w:t>0.</w:t>
            </w:r>
            <w:r>
              <w:rPr>
                <w:rFonts w:hint="eastAsia"/>
                <w:szCs w:val="21"/>
              </w:rPr>
              <w:t>4</w:t>
            </w:r>
          </w:p>
          <w:p>
            <w:pPr>
              <w:jc w:val="center"/>
              <w:rPr>
                <w:szCs w:val="21"/>
              </w:rPr>
            </w:pPr>
            <w:r>
              <w:rPr>
                <w:szCs w:val="21"/>
              </w:rPr>
              <w:t>0.</w:t>
            </w:r>
            <w:r>
              <w:rPr>
                <w:rFonts w:hint="eastAsia"/>
                <w:szCs w:val="21"/>
              </w:rPr>
              <w:t>7</w:t>
            </w:r>
          </w:p>
          <w:p>
            <w:pPr>
              <w:jc w:val="center"/>
              <w:rPr>
                <w:szCs w:val="21"/>
              </w:rPr>
            </w:pPr>
          </w:p>
        </w:tc>
        <w:tc>
          <w:tcPr>
            <w:tcW w:w="193" w:type="pct"/>
            <w:vMerge w:val="restart"/>
            <w:vAlign w:val="center"/>
          </w:tcPr>
          <w:p>
            <w:pPr>
              <w:jc w:val="center"/>
              <w:rPr>
                <w:szCs w:val="21"/>
              </w:rPr>
            </w:pPr>
            <w:r>
              <w:rPr>
                <w:rFonts w:hint="eastAsia"/>
                <w:szCs w:val="21"/>
              </w:rPr>
              <w:t>25</w:t>
            </w:r>
          </w:p>
          <w:p>
            <w:pPr>
              <w:jc w:val="center"/>
              <w:rPr>
                <w:szCs w:val="21"/>
              </w:rPr>
            </w:pPr>
            <w:r>
              <w:rPr>
                <w:rFonts w:hint="eastAsia"/>
                <w:szCs w:val="21"/>
              </w:rPr>
              <w:t>25</w:t>
            </w:r>
          </w:p>
          <w:p>
            <w:pPr>
              <w:jc w:val="center"/>
              <w:rPr>
                <w:szCs w:val="21"/>
              </w:rPr>
            </w:pPr>
          </w:p>
        </w:tc>
        <w:tc>
          <w:tcPr>
            <w:tcW w:w="335" w:type="pct"/>
            <w:vMerge w:val="restart"/>
            <w:vAlign w:val="center"/>
          </w:tcPr>
          <w:p>
            <w:pPr>
              <w:jc w:val="center"/>
              <w:rPr>
                <w:szCs w:val="21"/>
              </w:rPr>
            </w:pPr>
            <w:r>
              <w:rPr>
                <w:szCs w:val="21"/>
              </w:rPr>
              <w:t>一般排放口</w:t>
            </w:r>
          </w:p>
          <w:p>
            <w:pPr>
              <w:spacing w:line="340" w:lineRule="exact"/>
              <w:jc w:val="center"/>
              <w:rPr>
                <w:szCs w:val="21"/>
              </w:rPr>
            </w:pPr>
            <w:r>
              <w:rPr>
                <w:szCs w:val="21"/>
              </w:rPr>
              <w:t>一般排放口</w:t>
            </w:r>
          </w:p>
          <w:p>
            <w:pPr>
              <w:spacing w:line="340" w:lineRule="exact"/>
              <w:jc w:val="center"/>
              <w:rPr>
                <w:szCs w:val="21"/>
              </w:rPr>
            </w:pPr>
          </w:p>
        </w:tc>
        <w:tc>
          <w:tcPr>
            <w:tcW w:w="636" w:type="pct"/>
            <w:vMerge w:val="restart"/>
            <w:vAlign w:val="center"/>
          </w:tcPr>
          <w:p>
            <w:pPr>
              <w:jc w:val="center"/>
              <w:rPr>
                <w:szCs w:val="21"/>
              </w:rPr>
            </w:pPr>
            <w:r>
              <w:rPr>
                <w:szCs w:val="21"/>
              </w:rPr>
              <w:t>E：</w:t>
            </w:r>
            <w:r>
              <w:rPr>
                <w:rFonts w:hint="eastAsia"/>
                <w:szCs w:val="21"/>
              </w:rPr>
              <w:t>116.831818</w:t>
            </w:r>
            <w:r>
              <w:rPr>
                <w:szCs w:val="21"/>
              </w:rPr>
              <w:t>N：</w:t>
            </w:r>
            <w:r>
              <w:rPr>
                <w:rFonts w:hint="eastAsia"/>
                <w:szCs w:val="21"/>
              </w:rPr>
              <w:t>28.467494</w:t>
            </w:r>
          </w:p>
          <w:p>
            <w:pPr>
              <w:spacing w:line="340" w:lineRule="exact"/>
              <w:jc w:val="center"/>
              <w:rPr>
                <w:szCs w:val="21"/>
              </w:rPr>
            </w:pPr>
            <w:r>
              <w:rPr>
                <w:szCs w:val="21"/>
              </w:rPr>
              <w:t>E：</w:t>
            </w:r>
            <w:r>
              <w:rPr>
                <w:rFonts w:hint="eastAsia"/>
                <w:szCs w:val="21"/>
              </w:rPr>
              <w:t>116.832076</w:t>
            </w:r>
            <w:r>
              <w:rPr>
                <w:szCs w:val="21"/>
              </w:rPr>
              <w:t>N：</w:t>
            </w:r>
            <w:r>
              <w:rPr>
                <w:rFonts w:hint="eastAsia"/>
                <w:szCs w:val="21"/>
              </w:rPr>
              <w:t>28.467258</w:t>
            </w:r>
          </w:p>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jc w:val="center"/>
              <w:rPr>
                <w:szCs w:val="21"/>
              </w:rPr>
            </w:pPr>
          </w:p>
        </w:tc>
        <w:tc>
          <w:tcPr>
            <w:tcW w:w="204" w:type="pct"/>
            <w:vMerge w:val="continue"/>
            <w:vAlign w:val="center"/>
          </w:tcPr>
          <w:p>
            <w:pPr>
              <w:jc w:val="center"/>
              <w:rPr>
                <w:szCs w:val="21"/>
              </w:rPr>
            </w:pPr>
          </w:p>
        </w:tc>
        <w:tc>
          <w:tcPr>
            <w:tcW w:w="295" w:type="pct"/>
            <w:vAlign w:val="center"/>
          </w:tcPr>
          <w:p>
            <w:pPr>
              <w:adjustRightInd w:val="0"/>
              <w:snapToGrid w:val="0"/>
              <w:jc w:val="center"/>
              <w:rPr>
                <w:kern w:val="0"/>
                <w:szCs w:val="21"/>
              </w:rPr>
            </w:pPr>
            <w:r>
              <w:rPr>
                <w:rFonts w:hint="eastAsia"/>
                <w:kern w:val="0"/>
                <w:szCs w:val="21"/>
              </w:rPr>
              <w:t>甲苯及二甲苯</w:t>
            </w:r>
          </w:p>
        </w:tc>
        <w:tc>
          <w:tcPr>
            <w:tcW w:w="227"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33" w:type="pct"/>
            <w:vMerge w:val="continue"/>
            <w:vAlign w:val="center"/>
          </w:tcPr>
          <w:p>
            <w:pPr>
              <w:adjustRightInd w:val="0"/>
              <w:snapToGrid w:val="0"/>
              <w:spacing w:line="240" w:lineRule="exact"/>
              <w:jc w:val="center"/>
              <w:rPr>
                <w:bCs/>
                <w:szCs w:val="21"/>
              </w:rPr>
            </w:pPr>
          </w:p>
        </w:tc>
        <w:tc>
          <w:tcPr>
            <w:tcW w:w="357" w:type="pct"/>
            <w:vAlign w:val="center"/>
          </w:tcPr>
          <w:p>
            <w:pPr>
              <w:adjustRightInd w:val="0"/>
              <w:snapToGrid w:val="0"/>
              <w:jc w:val="center"/>
              <w:rPr>
                <w:kern w:val="0"/>
                <w:szCs w:val="21"/>
              </w:rPr>
            </w:pPr>
            <w:r>
              <w:rPr>
                <w:rFonts w:hint="eastAsia"/>
                <w:kern w:val="0"/>
                <w:szCs w:val="21"/>
              </w:rPr>
              <w:t>8.6</w:t>
            </w:r>
          </w:p>
        </w:tc>
        <w:tc>
          <w:tcPr>
            <w:tcW w:w="294" w:type="pct"/>
            <w:vAlign w:val="center"/>
          </w:tcPr>
          <w:p>
            <w:pPr>
              <w:adjustRightInd w:val="0"/>
              <w:snapToGrid w:val="0"/>
              <w:jc w:val="center"/>
              <w:rPr>
                <w:kern w:val="0"/>
                <w:szCs w:val="21"/>
              </w:rPr>
            </w:pPr>
            <w:r>
              <w:rPr>
                <w:rFonts w:hint="eastAsia"/>
                <w:kern w:val="0"/>
                <w:szCs w:val="21"/>
              </w:rPr>
              <w:t>0.105</w:t>
            </w:r>
          </w:p>
        </w:tc>
        <w:tc>
          <w:tcPr>
            <w:tcW w:w="273" w:type="pct"/>
            <w:vAlign w:val="center"/>
          </w:tcPr>
          <w:p>
            <w:pPr>
              <w:adjustRightInd w:val="0"/>
              <w:snapToGrid w:val="0"/>
              <w:jc w:val="center"/>
              <w:rPr>
                <w:kern w:val="0"/>
                <w:szCs w:val="21"/>
              </w:rPr>
            </w:pPr>
            <w:r>
              <w:rPr>
                <w:rFonts w:hint="eastAsia"/>
                <w:kern w:val="0"/>
                <w:szCs w:val="21"/>
              </w:rPr>
              <w:t>0.25</w:t>
            </w:r>
          </w:p>
        </w:tc>
        <w:tc>
          <w:tcPr>
            <w:tcW w:w="318" w:type="pct"/>
            <w:vMerge w:val="continue"/>
            <w:vAlign w:val="center"/>
          </w:tcPr>
          <w:p>
            <w:pPr>
              <w:jc w:val="center"/>
              <w:rPr>
                <w:szCs w:val="21"/>
              </w:rPr>
            </w:pPr>
          </w:p>
        </w:tc>
        <w:tc>
          <w:tcPr>
            <w:tcW w:w="193" w:type="pct"/>
            <w:vMerge w:val="continue"/>
            <w:vAlign w:val="center"/>
          </w:tcPr>
          <w:p>
            <w:pPr>
              <w:jc w:val="center"/>
              <w:rPr>
                <w:szCs w:val="21"/>
              </w:rPr>
            </w:pPr>
          </w:p>
        </w:tc>
        <w:tc>
          <w:tcPr>
            <w:tcW w:w="187" w:type="pct"/>
            <w:vMerge w:val="continue"/>
            <w:vAlign w:val="center"/>
          </w:tcPr>
          <w:p>
            <w:pPr>
              <w:jc w:val="center"/>
              <w:rPr>
                <w:szCs w:val="21"/>
              </w:rPr>
            </w:pPr>
          </w:p>
        </w:tc>
        <w:tc>
          <w:tcPr>
            <w:tcW w:w="193" w:type="pct"/>
            <w:vMerge w:val="continue"/>
            <w:vAlign w:val="center"/>
          </w:tcPr>
          <w:p>
            <w:pPr>
              <w:jc w:val="center"/>
              <w:rPr>
                <w:szCs w:val="21"/>
              </w:rPr>
            </w:pPr>
          </w:p>
        </w:tc>
        <w:tc>
          <w:tcPr>
            <w:tcW w:w="335" w:type="pct"/>
            <w:vMerge w:val="continue"/>
            <w:vAlign w:val="center"/>
          </w:tcPr>
          <w:p>
            <w:pPr>
              <w:spacing w:line="340" w:lineRule="exact"/>
              <w:jc w:val="center"/>
              <w:rPr>
                <w:szCs w:val="21"/>
              </w:rPr>
            </w:pPr>
          </w:p>
        </w:tc>
        <w:tc>
          <w:tcPr>
            <w:tcW w:w="636" w:type="pct"/>
            <w:vMerge w:val="continue"/>
            <w:vAlign w:val="center"/>
          </w:tcPr>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jc w:val="center"/>
              <w:rPr>
                <w:szCs w:val="21"/>
              </w:rPr>
            </w:pPr>
          </w:p>
        </w:tc>
        <w:tc>
          <w:tcPr>
            <w:tcW w:w="204" w:type="pct"/>
            <w:vMerge w:val="continue"/>
            <w:vAlign w:val="center"/>
          </w:tcPr>
          <w:p>
            <w:pPr>
              <w:jc w:val="center"/>
              <w:rPr>
                <w:szCs w:val="21"/>
              </w:rPr>
            </w:pPr>
          </w:p>
        </w:tc>
        <w:tc>
          <w:tcPr>
            <w:tcW w:w="295" w:type="pct"/>
            <w:vAlign w:val="center"/>
          </w:tcPr>
          <w:p>
            <w:pPr>
              <w:adjustRightInd w:val="0"/>
              <w:snapToGrid w:val="0"/>
              <w:jc w:val="center"/>
              <w:rPr>
                <w:kern w:val="0"/>
                <w:szCs w:val="21"/>
              </w:rPr>
            </w:pPr>
            <w:r>
              <w:rPr>
                <w:rFonts w:hint="eastAsia"/>
                <w:kern w:val="0"/>
                <w:szCs w:val="21"/>
              </w:rPr>
              <w:t>漆雾</w:t>
            </w:r>
          </w:p>
        </w:tc>
        <w:tc>
          <w:tcPr>
            <w:tcW w:w="227"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33" w:type="pct"/>
            <w:vMerge w:val="continue"/>
            <w:vAlign w:val="center"/>
          </w:tcPr>
          <w:p>
            <w:pPr>
              <w:adjustRightInd w:val="0"/>
              <w:snapToGrid w:val="0"/>
              <w:spacing w:line="240" w:lineRule="exact"/>
              <w:jc w:val="center"/>
              <w:rPr>
                <w:bCs/>
                <w:szCs w:val="21"/>
              </w:rPr>
            </w:pPr>
          </w:p>
        </w:tc>
        <w:tc>
          <w:tcPr>
            <w:tcW w:w="357" w:type="pct"/>
            <w:vAlign w:val="center"/>
          </w:tcPr>
          <w:p>
            <w:pPr>
              <w:adjustRightInd w:val="0"/>
              <w:snapToGrid w:val="0"/>
              <w:jc w:val="center"/>
              <w:rPr>
                <w:rFonts w:hint="eastAsia" w:eastAsia="宋体"/>
                <w:kern w:val="0"/>
                <w:szCs w:val="21"/>
                <w:lang w:val="en-US" w:eastAsia="zh-CN"/>
              </w:rPr>
            </w:pPr>
            <w:r>
              <w:rPr>
                <w:rFonts w:hint="eastAsia"/>
                <w:kern w:val="0"/>
                <w:szCs w:val="21"/>
              </w:rPr>
              <w:t>5.4</w:t>
            </w:r>
            <w:r>
              <w:rPr>
                <w:rFonts w:hint="eastAsia"/>
                <w:kern w:val="0"/>
                <w:szCs w:val="21"/>
                <w:lang w:val="en-US" w:eastAsia="zh-CN"/>
              </w:rPr>
              <w:t>8</w:t>
            </w:r>
          </w:p>
        </w:tc>
        <w:tc>
          <w:tcPr>
            <w:tcW w:w="294" w:type="pct"/>
            <w:vAlign w:val="center"/>
          </w:tcPr>
          <w:p>
            <w:pPr>
              <w:adjustRightInd w:val="0"/>
              <w:snapToGrid w:val="0"/>
              <w:jc w:val="center"/>
              <w:rPr>
                <w:kern w:val="0"/>
                <w:szCs w:val="21"/>
              </w:rPr>
            </w:pPr>
            <w:r>
              <w:rPr>
                <w:rFonts w:hint="eastAsia"/>
                <w:kern w:val="0"/>
                <w:szCs w:val="21"/>
              </w:rPr>
              <w:t>0.066</w:t>
            </w:r>
          </w:p>
        </w:tc>
        <w:tc>
          <w:tcPr>
            <w:tcW w:w="273" w:type="pct"/>
            <w:vAlign w:val="center"/>
          </w:tcPr>
          <w:p>
            <w:pPr>
              <w:adjustRightInd w:val="0"/>
              <w:snapToGrid w:val="0"/>
              <w:jc w:val="center"/>
              <w:rPr>
                <w:kern w:val="0"/>
                <w:szCs w:val="21"/>
              </w:rPr>
            </w:pPr>
            <w:r>
              <w:rPr>
                <w:rFonts w:hint="eastAsia"/>
                <w:kern w:val="0"/>
                <w:szCs w:val="21"/>
              </w:rPr>
              <w:t>0.159</w:t>
            </w:r>
          </w:p>
        </w:tc>
        <w:tc>
          <w:tcPr>
            <w:tcW w:w="318" w:type="pct"/>
            <w:vMerge w:val="continue"/>
            <w:vAlign w:val="center"/>
          </w:tcPr>
          <w:p>
            <w:pPr>
              <w:jc w:val="center"/>
              <w:rPr>
                <w:szCs w:val="21"/>
              </w:rPr>
            </w:pPr>
          </w:p>
        </w:tc>
        <w:tc>
          <w:tcPr>
            <w:tcW w:w="193" w:type="pct"/>
            <w:vMerge w:val="continue"/>
            <w:vAlign w:val="center"/>
          </w:tcPr>
          <w:p>
            <w:pPr>
              <w:jc w:val="center"/>
              <w:rPr>
                <w:szCs w:val="21"/>
              </w:rPr>
            </w:pPr>
          </w:p>
        </w:tc>
        <w:tc>
          <w:tcPr>
            <w:tcW w:w="187" w:type="pct"/>
            <w:vMerge w:val="continue"/>
            <w:vAlign w:val="center"/>
          </w:tcPr>
          <w:p>
            <w:pPr>
              <w:jc w:val="center"/>
              <w:rPr>
                <w:szCs w:val="21"/>
              </w:rPr>
            </w:pPr>
          </w:p>
        </w:tc>
        <w:tc>
          <w:tcPr>
            <w:tcW w:w="193" w:type="pct"/>
            <w:vMerge w:val="continue"/>
            <w:vAlign w:val="center"/>
          </w:tcPr>
          <w:p>
            <w:pPr>
              <w:jc w:val="center"/>
              <w:rPr>
                <w:szCs w:val="21"/>
              </w:rPr>
            </w:pPr>
          </w:p>
        </w:tc>
        <w:tc>
          <w:tcPr>
            <w:tcW w:w="335" w:type="pct"/>
            <w:vMerge w:val="continue"/>
            <w:vAlign w:val="center"/>
          </w:tcPr>
          <w:p>
            <w:pPr>
              <w:spacing w:line="340" w:lineRule="exact"/>
              <w:jc w:val="center"/>
              <w:rPr>
                <w:szCs w:val="21"/>
              </w:rPr>
            </w:pPr>
          </w:p>
        </w:tc>
        <w:tc>
          <w:tcPr>
            <w:tcW w:w="636" w:type="pct"/>
            <w:vMerge w:val="continue"/>
            <w:vAlign w:val="center"/>
          </w:tcPr>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restart"/>
            <w:vAlign w:val="center"/>
          </w:tcPr>
          <w:p>
            <w:pPr>
              <w:jc w:val="center"/>
              <w:rPr>
                <w:szCs w:val="21"/>
              </w:rPr>
            </w:pPr>
            <w:r>
              <w:rPr>
                <w:rFonts w:hint="eastAsia"/>
                <w:szCs w:val="21"/>
              </w:rPr>
              <w:t>喷漆房2废气</w:t>
            </w:r>
          </w:p>
          <w:p>
            <w:pPr>
              <w:jc w:val="center"/>
              <w:rPr>
                <w:szCs w:val="21"/>
              </w:rPr>
            </w:pPr>
          </w:p>
        </w:tc>
        <w:tc>
          <w:tcPr>
            <w:tcW w:w="204" w:type="pct"/>
            <w:vMerge w:val="restart"/>
            <w:vAlign w:val="center"/>
          </w:tcPr>
          <w:p>
            <w:pPr>
              <w:jc w:val="center"/>
              <w:rPr>
                <w:szCs w:val="21"/>
              </w:rPr>
            </w:pPr>
            <w:r>
              <w:rPr>
                <w:rFonts w:hint="eastAsia"/>
                <w:szCs w:val="21"/>
              </w:rPr>
              <w:t>有组织</w:t>
            </w:r>
          </w:p>
          <w:p>
            <w:pPr>
              <w:rPr>
                <w:szCs w:val="21"/>
              </w:rPr>
            </w:pPr>
            <w:r>
              <w:rPr>
                <w:rFonts w:hint="eastAsia"/>
                <w:szCs w:val="21"/>
              </w:rPr>
              <w:t>有组织</w:t>
            </w:r>
          </w:p>
          <w:p>
            <w:r>
              <w:rPr>
                <w:rFonts w:hint="eastAsia"/>
                <w:szCs w:val="21"/>
              </w:rPr>
              <w:t>有组织</w:t>
            </w:r>
          </w:p>
        </w:tc>
        <w:tc>
          <w:tcPr>
            <w:tcW w:w="295" w:type="pct"/>
            <w:vAlign w:val="center"/>
          </w:tcPr>
          <w:p>
            <w:pPr>
              <w:adjustRightInd w:val="0"/>
              <w:snapToGrid w:val="0"/>
              <w:jc w:val="center"/>
              <w:rPr>
                <w:kern w:val="0"/>
                <w:szCs w:val="21"/>
              </w:rPr>
            </w:pPr>
            <w:r>
              <w:rPr>
                <w:rFonts w:hint="eastAsia"/>
                <w:kern w:val="0"/>
                <w:szCs w:val="21"/>
              </w:rPr>
              <w:t>TVOC</w:t>
            </w:r>
          </w:p>
        </w:tc>
        <w:tc>
          <w:tcPr>
            <w:tcW w:w="227" w:type="pct"/>
            <w:vMerge w:val="restart"/>
            <w:vAlign w:val="center"/>
          </w:tcPr>
          <w:p>
            <w:pPr>
              <w:adjustRightInd w:val="0"/>
              <w:snapToGrid w:val="0"/>
              <w:spacing w:line="240" w:lineRule="exact"/>
              <w:jc w:val="center"/>
              <w:rPr>
                <w:bCs/>
                <w:szCs w:val="21"/>
              </w:rPr>
            </w:pPr>
            <w:r>
              <w:rPr>
                <w:bCs/>
                <w:szCs w:val="21"/>
              </w:rPr>
              <w:t>2</w:t>
            </w:r>
          </w:p>
        </w:tc>
        <w:tc>
          <w:tcPr>
            <w:tcW w:w="295" w:type="pct"/>
            <w:vMerge w:val="restart"/>
            <w:vAlign w:val="center"/>
          </w:tcPr>
          <w:p>
            <w:pPr>
              <w:adjustRightInd w:val="0"/>
              <w:snapToGrid w:val="0"/>
              <w:spacing w:line="240" w:lineRule="exact"/>
              <w:jc w:val="center"/>
              <w:rPr>
                <w:bCs/>
                <w:szCs w:val="21"/>
              </w:rPr>
            </w:pPr>
            <w:r>
              <w:rPr>
                <w:bCs/>
                <w:szCs w:val="21"/>
              </w:rPr>
              <w:t>1</w:t>
            </w:r>
          </w:p>
        </w:tc>
        <w:tc>
          <w:tcPr>
            <w:tcW w:w="233" w:type="pct"/>
            <w:vMerge w:val="restart"/>
            <w:vAlign w:val="center"/>
          </w:tcPr>
          <w:p>
            <w:pPr>
              <w:adjustRightInd w:val="0"/>
              <w:snapToGrid w:val="0"/>
              <w:spacing w:line="240" w:lineRule="exact"/>
              <w:jc w:val="center"/>
              <w:rPr>
                <w:bCs/>
                <w:szCs w:val="21"/>
              </w:rPr>
            </w:pPr>
            <w:r>
              <w:rPr>
                <w:bCs/>
                <w:szCs w:val="21"/>
              </w:rPr>
              <w:t>2</w:t>
            </w:r>
          </w:p>
        </w:tc>
        <w:tc>
          <w:tcPr>
            <w:tcW w:w="943" w:type="dxa"/>
            <w:vAlign w:val="center"/>
          </w:tcPr>
          <w:p>
            <w:pPr>
              <w:adjustRightInd w:val="0"/>
              <w:snapToGrid w:val="0"/>
              <w:jc w:val="center"/>
              <w:rPr>
                <w:kern w:val="0"/>
                <w:szCs w:val="21"/>
              </w:rPr>
            </w:pPr>
            <w:r>
              <w:rPr>
                <w:rFonts w:hint="eastAsia"/>
                <w:kern w:val="0"/>
                <w:szCs w:val="21"/>
              </w:rPr>
              <w:t>35.8</w:t>
            </w:r>
          </w:p>
        </w:tc>
        <w:tc>
          <w:tcPr>
            <w:tcW w:w="776" w:type="dxa"/>
            <w:vAlign w:val="center"/>
          </w:tcPr>
          <w:p>
            <w:pPr>
              <w:adjustRightInd w:val="0"/>
              <w:snapToGrid w:val="0"/>
              <w:jc w:val="center"/>
              <w:rPr>
                <w:kern w:val="0"/>
                <w:szCs w:val="21"/>
              </w:rPr>
            </w:pPr>
            <w:r>
              <w:rPr>
                <w:rFonts w:hint="eastAsia"/>
                <w:kern w:val="0"/>
                <w:szCs w:val="21"/>
              </w:rPr>
              <w:t>0.43</w:t>
            </w:r>
          </w:p>
        </w:tc>
        <w:tc>
          <w:tcPr>
            <w:tcW w:w="723" w:type="dxa"/>
            <w:vAlign w:val="center"/>
          </w:tcPr>
          <w:p>
            <w:pPr>
              <w:adjustRightInd w:val="0"/>
              <w:snapToGrid w:val="0"/>
              <w:jc w:val="center"/>
              <w:rPr>
                <w:kern w:val="0"/>
                <w:szCs w:val="21"/>
              </w:rPr>
            </w:pPr>
            <w:r>
              <w:rPr>
                <w:rFonts w:hint="eastAsia"/>
                <w:kern w:val="0"/>
                <w:szCs w:val="21"/>
              </w:rPr>
              <w:t>1.04</w:t>
            </w:r>
          </w:p>
        </w:tc>
        <w:tc>
          <w:tcPr>
            <w:tcW w:w="318" w:type="pct"/>
            <w:vMerge w:val="restart"/>
            <w:vAlign w:val="center"/>
          </w:tcPr>
          <w:p>
            <w:pPr>
              <w:jc w:val="center"/>
              <w:rPr>
                <w:szCs w:val="21"/>
              </w:rPr>
            </w:pPr>
            <w:r>
              <w:rPr>
                <w:rFonts w:hint="eastAsia"/>
                <w:szCs w:val="21"/>
              </w:rPr>
              <w:t>DA003</w:t>
            </w:r>
            <w:r>
              <w:rPr>
                <w:szCs w:val="21"/>
              </w:rPr>
              <w:t>排放口</w:t>
            </w:r>
          </w:p>
          <w:p>
            <w:pPr>
              <w:jc w:val="center"/>
              <w:rPr>
                <w:szCs w:val="21"/>
              </w:rPr>
            </w:pPr>
          </w:p>
        </w:tc>
        <w:tc>
          <w:tcPr>
            <w:tcW w:w="193" w:type="pct"/>
            <w:vMerge w:val="restart"/>
            <w:vAlign w:val="center"/>
          </w:tcPr>
          <w:p>
            <w:pPr>
              <w:jc w:val="center"/>
              <w:rPr>
                <w:szCs w:val="21"/>
              </w:rPr>
            </w:pPr>
            <w:r>
              <w:rPr>
                <w:szCs w:val="21"/>
              </w:rPr>
              <w:t>15</w:t>
            </w:r>
          </w:p>
          <w:p>
            <w:pPr>
              <w:jc w:val="center"/>
              <w:rPr>
                <w:szCs w:val="21"/>
              </w:rPr>
            </w:pPr>
          </w:p>
        </w:tc>
        <w:tc>
          <w:tcPr>
            <w:tcW w:w="187" w:type="pct"/>
            <w:vMerge w:val="restart"/>
            <w:vAlign w:val="center"/>
          </w:tcPr>
          <w:p>
            <w:pPr>
              <w:jc w:val="center"/>
              <w:rPr>
                <w:szCs w:val="21"/>
              </w:rPr>
            </w:pPr>
            <w:r>
              <w:rPr>
                <w:szCs w:val="21"/>
              </w:rPr>
              <w:t>0.</w:t>
            </w:r>
            <w:r>
              <w:rPr>
                <w:rFonts w:hint="eastAsia"/>
                <w:szCs w:val="21"/>
              </w:rPr>
              <w:t>7</w:t>
            </w:r>
          </w:p>
          <w:p>
            <w:pPr>
              <w:jc w:val="center"/>
              <w:rPr>
                <w:szCs w:val="21"/>
              </w:rPr>
            </w:pPr>
          </w:p>
        </w:tc>
        <w:tc>
          <w:tcPr>
            <w:tcW w:w="193" w:type="pct"/>
            <w:vMerge w:val="restart"/>
            <w:vAlign w:val="center"/>
          </w:tcPr>
          <w:p>
            <w:pPr>
              <w:jc w:val="center"/>
              <w:rPr>
                <w:szCs w:val="21"/>
              </w:rPr>
            </w:pPr>
            <w:r>
              <w:rPr>
                <w:rFonts w:hint="eastAsia"/>
                <w:szCs w:val="21"/>
              </w:rPr>
              <w:t>25</w:t>
            </w:r>
          </w:p>
          <w:p>
            <w:pPr>
              <w:jc w:val="center"/>
              <w:rPr>
                <w:szCs w:val="21"/>
              </w:rPr>
            </w:pPr>
          </w:p>
        </w:tc>
        <w:tc>
          <w:tcPr>
            <w:tcW w:w="335" w:type="pct"/>
            <w:vMerge w:val="restart"/>
            <w:vAlign w:val="center"/>
          </w:tcPr>
          <w:p>
            <w:pPr>
              <w:spacing w:line="340" w:lineRule="exact"/>
              <w:jc w:val="center"/>
              <w:rPr>
                <w:szCs w:val="21"/>
              </w:rPr>
            </w:pPr>
            <w:r>
              <w:rPr>
                <w:szCs w:val="21"/>
              </w:rPr>
              <w:t>一般排放口</w:t>
            </w:r>
          </w:p>
          <w:p>
            <w:pPr>
              <w:spacing w:line="340" w:lineRule="exact"/>
              <w:jc w:val="center"/>
              <w:rPr>
                <w:szCs w:val="21"/>
              </w:rPr>
            </w:pPr>
          </w:p>
        </w:tc>
        <w:tc>
          <w:tcPr>
            <w:tcW w:w="636" w:type="pct"/>
            <w:vMerge w:val="restart"/>
            <w:vAlign w:val="center"/>
          </w:tcPr>
          <w:p>
            <w:pPr>
              <w:spacing w:line="340" w:lineRule="exact"/>
              <w:jc w:val="center"/>
              <w:rPr>
                <w:szCs w:val="21"/>
              </w:rPr>
            </w:pPr>
            <w:r>
              <w:rPr>
                <w:szCs w:val="21"/>
              </w:rPr>
              <w:t>E：</w:t>
            </w:r>
            <w:r>
              <w:rPr>
                <w:rFonts w:hint="eastAsia"/>
                <w:szCs w:val="21"/>
              </w:rPr>
              <w:t>116.832279</w:t>
            </w:r>
          </w:p>
          <w:p>
            <w:pPr>
              <w:spacing w:line="340" w:lineRule="exact"/>
              <w:jc w:val="center"/>
              <w:rPr>
                <w:szCs w:val="21"/>
              </w:rPr>
            </w:pPr>
            <w:r>
              <w:rPr>
                <w:szCs w:val="21"/>
              </w:rPr>
              <w:t>N：</w:t>
            </w:r>
            <w:r>
              <w:rPr>
                <w:rFonts w:hint="eastAsia"/>
                <w:szCs w:val="21"/>
              </w:rPr>
              <w:t>28.467145</w:t>
            </w:r>
          </w:p>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jc w:val="center"/>
              <w:rPr>
                <w:szCs w:val="21"/>
              </w:rPr>
            </w:pPr>
          </w:p>
        </w:tc>
        <w:tc>
          <w:tcPr>
            <w:tcW w:w="204" w:type="pct"/>
            <w:vMerge w:val="continue"/>
            <w:vAlign w:val="center"/>
          </w:tcPr>
          <w:p>
            <w:pPr>
              <w:jc w:val="center"/>
              <w:rPr>
                <w:szCs w:val="21"/>
              </w:rPr>
            </w:pPr>
          </w:p>
        </w:tc>
        <w:tc>
          <w:tcPr>
            <w:tcW w:w="295" w:type="pct"/>
            <w:vAlign w:val="center"/>
          </w:tcPr>
          <w:p>
            <w:pPr>
              <w:adjustRightInd w:val="0"/>
              <w:snapToGrid w:val="0"/>
              <w:jc w:val="center"/>
              <w:rPr>
                <w:kern w:val="0"/>
                <w:szCs w:val="21"/>
              </w:rPr>
            </w:pPr>
            <w:r>
              <w:rPr>
                <w:rFonts w:hint="eastAsia"/>
                <w:kern w:val="0"/>
                <w:szCs w:val="21"/>
              </w:rPr>
              <w:t>甲苯及二甲苯</w:t>
            </w:r>
          </w:p>
        </w:tc>
        <w:tc>
          <w:tcPr>
            <w:tcW w:w="227"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33" w:type="pct"/>
            <w:vMerge w:val="continue"/>
            <w:vAlign w:val="center"/>
          </w:tcPr>
          <w:p>
            <w:pPr>
              <w:adjustRightInd w:val="0"/>
              <w:snapToGrid w:val="0"/>
              <w:spacing w:line="240" w:lineRule="exact"/>
              <w:jc w:val="center"/>
              <w:rPr>
                <w:bCs/>
                <w:szCs w:val="21"/>
              </w:rPr>
            </w:pPr>
          </w:p>
        </w:tc>
        <w:tc>
          <w:tcPr>
            <w:tcW w:w="943" w:type="dxa"/>
            <w:vAlign w:val="center"/>
          </w:tcPr>
          <w:p>
            <w:pPr>
              <w:adjustRightInd w:val="0"/>
              <w:snapToGrid w:val="0"/>
              <w:jc w:val="center"/>
              <w:rPr>
                <w:kern w:val="0"/>
                <w:szCs w:val="21"/>
              </w:rPr>
            </w:pPr>
            <w:r>
              <w:rPr>
                <w:rFonts w:hint="eastAsia"/>
                <w:kern w:val="0"/>
                <w:szCs w:val="21"/>
              </w:rPr>
              <w:t>8.6</w:t>
            </w:r>
          </w:p>
        </w:tc>
        <w:tc>
          <w:tcPr>
            <w:tcW w:w="776" w:type="dxa"/>
            <w:vAlign w:val="center"/>
          </w:tcPr>
          <w:p>
            <w:pPr>
              <w:adjustRightInd w:val="0"/>
              <w:snapToGrid w:val="0"/>
              <w:jc w:val="center"/>
              <w:rPr>
                <w:kern w:val="0"/>
                <w:szCs w:val="21"/>
              </w:rPr>
            </w:pPr>
            <w:r>
              <w:rPr>
                <w:rFonts w:hint="eastAsia"/>
                <w:kern w:val="0"/>
                <w:szCs w:val="21"/>
              </w:rPr>
              <w:t>0.105</w:t>
            </w:r>
          </w:p>
        </w:tc>
        <w:tc>
          <w:tcPr>
            <w:tcW w:w="723" w:type="dxa"/>
            <w:vAlign w:val="center"/>
          </w:tcPr>
          <w:p>
            <w:pPr>
              <w:adjustRightInd w:val="0"/>
              <w:snapToGrid w:val="0"/>
              <w:jc w:val="center"/>
              <w:rPr>
                <w:kern w:val="0"/>
                <w:szCs w:val="21"/>
              </w:rPr>
            </w:pPr>
            <w:r>
              <w:rPr>
                <w:rFonts w:hint="eastAsia"/>
                <w:kern w:val="0"/>
                <w:szCs w:val="21"/>
              </w:rPr>
              <w:t>0.25</w:t>
            </w:r>
          </w:p>
        </w:tc>
        <w:tc>
          <w:tcPr>
            <w:tcW w:w="318" w:type="pct"/>
            <w:vMerge w:val="continue"/>
            <w:vAlign w:val="center"/>
          </w:tcPr>
          <w:p>
            <w:pPr>
              <w:jc w:val="center"/>
              <w:rPr>
                <w:szCs w:val="21"/>
              </w:rPr>
            </w:pPr>
          </w:p>
        </w:tc>
        <w:tc>
          <w:tcPr>
            <w:tcW w:w="193" w:type="pct"/>
            <w:vMerge w:val="continue"/>
            <w:vAlign w:val="center"/>
          </w:tcPr>
          <w:p>
            <w:pPr>
              <w:jc w:val="center"/>
              <w:rPr>
                <w:szCs w:val="21"/>
              </w:rPr>
            </w:pPr>
          </w:p>
        </w:tc>
        <w:tc>
          <w:tcPr>
            <w:tcW w:w="187" w:type="pct"/>
            <w:vMerge w:val="continue"/>
            <w:vAlign w:val="center"/>
          </w:tcPr>
          <w:p>
            <w:pPr>
              <w:jc w:val="center"/>
              <w:rPr>
                <w:szCs w:val="21"/>
              </w:rPr>
            </w:pPr>
          </w:p>
        </w:tc>
        <w:tc>
          <w:tcPr>
            <w:tcW w:w="193" w:type="pct"/>
            <w:vMerge w:val="continue"/>
            <w:vAlign w:val="center"/>
          </w:tcPr>
          <w:p>
            <w:pPr>
              <w:jc w:val="center"/>
              <w:rPr>
                <w:szCs w:val="21"/>
              </w:rPr>
            </w:pPr>
          </w:p>
        </w:tc>
        <w:tc>
          <w:tcPr>
            <w:tcW w:w="335" w:type="pct"/>
            <w:vMerge w:val="continue"/>
            <w:vAlign w:val="center"/>
          </w:tcPr>
          <w:p>
            <w:pPr>
              <w:spacing w:line="340" w:lineRule="exact"/>
              <w:jc w:val="center"/>
              <w:rPr>
                <w:szCs w:val="21"/>
              </w:rPr>
            </w:pPr>
          </w:p>
        </w:tc>
        <w:tc>
          <w:tcPr>
            <w:tcW w:w="636" w:type="pct"/>
            <w:vMerge w:val="continue"/>
            <w:vAlign w:val="center"/>
          </w:tcPr>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jc w:val="center"/>
              <w:rPr>
                <w:szCs w:val="21"/>
              </w:rPr>
            </w:pPr>
          </w:p>
        </w:tc>
        <w:tc>
          <w:tcPr>
            <w:tcW w:w="204" w:type="pct"/>
            <w:vMerge w:val="continue"/>
            <w:vAlign w:val="center"/>
          </w:tcPr>
          <w:p>
            <w:pPr>
              <w:jc w:val="center"/>
              <w:rPr>
                <w:szCs w:val="21"/>
              </w:rPr>
            </w:pPr>
          </w:p>
        </w:tc>
        <w:tc>
          <w:tcPr>
            <w:tcW w:w="295" w:type="pct"/>
            <w:vAlign w:val="center"/>
          </w:tcPr>
          <w:p>
            <w:pPr>
              <w:adjustRightInd w:val="0"/>
              <w:snapToGrid w:val="0"/>
              <w:jc w:val="center"/>
              <w:rPr>
                <w:kern w:val="0"/>
                <w:szCs w:val="21"/>
              </w:rPr>
            </w:pPr>
            <w:r>
              <w:rPr>
                <w:rFonts w:hint="eastAsia"/>
                <w:kern w:val="0"/>
                <w:szCs w:val="21"/>
              </w:rPr>
              <w:t>漆雾</w:t>
            </w:r>
          </w:p>
        </w:tc>
        <w:tc>
          <w:tcPr>
            <w:tcW w:w="227"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33" w:type="pct"/>
            <w:vMerge w:val="continue"/>
            <w:vAlign w:val="center"/>
          </w:tcPr>
          <w:p>
            <w:pPr>
              <w:adjustRightInd w:val="0"/>
              <w:snapToGrid w:val="0"/>
              <w:spacing w:line="240" w:lineRule="exact"/>
              <w:jc w:val="center"/>
              <w:rPr>
                <w:bCs/>
                <w:szCs w:val="21"/>
              </w:rPr>
            </w:pPr>
          </w:p>
        </w:tc>
        <w:tc>
          <w:tcPr>
            <w:tcW w:w="943" w:type="dxa"/>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776" w:type="dxa"/>
            <w:vAlign w:val="center"/>
          </w:tcPr>
          <w:p>
            <w:pPr>
              <w:adjustRightInd w:val="0"/>
              <w:snapToGrid w:val="0"/>
              <w:jc w:val="center"/>
              <w:rPr>
                <w:kern w:val="0"/>
                <w:szCs w:val="21"/>
              </w:rPr>
            </w:pPr>
            <w:r>
              <w:rPr>
                <w:rFonts w:hint="eastAsia"/>
                <w:kern w:val="0"/>
                <w:szCs w:val="21"/>
              </w:rPr>
              <w:t>0.066</w:t>
            </w:r>
          </w:p>
        </w:tc>
        <w:tc>
          <w:tcPr>
            <w:tcW w:w="723" w:type="dxa"/>
            <w:vAlign w:val="center"/>
          </w:tcPr>
          <w:p>
            <w:pPr>
              <w:adjustRightInd w:val="0"/>
              <w:snapToGrid w:val="0"/>
              <w:jc w:val="center"/>
              <w:rPr>
                <w:kern w:val="0"/>
                <w:szCs w:val="21"/>
              </w:rPr>
            </w:pPr>
            <w:r>
              <w:rPr>
                <w:rFonts w:hint="eastAsia"/>
                <w:kern w:val="0"/>
                <w:szCs w:val="21"/>
              </w:rPr>
              <w:t>0.159</w:t>
            </w:r>
          </w:p>
        </w:tc>
        <w:tc>
          <w:tcPr>
            <w:tcW w:w="318" w:type="pct"/>
            <w:vMerge w:val="continue"/>
            <w:vAlign w:val="center"/>
          </w:tcPr>
          <w:p>
            <w:pPr>
              <w:jc w:val="center"/>
              <w:rPr>
                <w:szCs w:val="21"/>
              </w:rPr>
            </w:pPr>
          </w:p>
        </w:tc>
        <w:tc>
          <w:tcPr>
            <w:tcW w:w="193" w:type="pct"/>
            <w:vMerge w:val="continue"/>
            <w:vAlign w:val="center"/>
          </w:tcPr>
          <w:p>
            <w:pPr>
              <w:jc w:val="center"/>
              <w:rPr>
                <w:szCs w:val="21"/>
              </w:rPr>
            </w:pPr>
          </w:p>
        </w:tc>
        <w:tc>
          <w:tcPr>
            <w:tcW w:w="187" w:type="pct"/>
            <w:vMerge w:val="continue"/>
            <w:vAlign w:val="center"/>
          </w:tcPr>
          <w:p>
            <w:pPr>
              <w:jc w:val="center"/>
              <w:rPr>
                <w:szCs w:val="21"/>
              </w:rPr>
            </w:pPr>
          </w:p>
        </w:tc>
        <w:tc>
          <w:tcPr>
            <w:tcW w:w="193" w:type="pct"/>
            <w:vMerge w:val="continue"/>
            <w:vAlign w:val="center"/>
          </w:tcPr>
          <w:p>
            <w:pPr>
              <w:jc w:val="center"/>
              <w:rPr>
                <w:szCs w:val="21"/>
              </w:rPr>
            </w:pPr>
          </w:p>
        </w:tc>
        <w:tc>
          <w:tcPr>
            <w:tcW w:w="335" w:type="pct"/>
            <w:vMerge w:val="continue"/>
            <w:vAlign w:val="center"/>
          </w:tcPr>
          <w:p>
            <w:pPr>
              <w:spacing w:line="340" w:lineRule="exact"/>
              <w:jc w:val="center"/>
              <w:rPr>
                <w:szCs w:val="21"/>
              </w:rPr>
            </w:pPr>
          </w:p>
        </w:tc>
        <w:tc>
          <w:tcPr>
            <w:tcW w:w="636" w:type="pct"/>
            <w:vMerge w:val="continue"/>
            <w:vAlign w:val="center"/>
          </w:tcPr>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restart"/>
            <w:vAlign w:val="center"/>
          </w:tcPr>
          <w:p>
            <w:pPr>
              <w:jc w:val="center"/>
              <w:rPr>
                <w:szCs w:val="21"/>
              </w:rPr>
            </w:pPr>
            <w:r>
              <w:rPr>
                <w:rFonts w:hint="eastAsia"/>
                <w:szCs w:val="21"/>
              </w:rPr>
              <w:t>喷漆房3废气</w:t>
            </w:r>
          </w:p>
          <w:p>
            <w:pPr>
              <w:jc w:val="center"/>
              <w:rPr>
                <w:szCs w:val="21"/>
              </w:rPr>
            </w:pPr>
          </w:p>
        </w:tc>
        <w:tc>
          <w:tcPr>
            <w:tcW w:w="204" w:type="pct"/>
            <w:vMerge w:val="restart"/>
            <w:vAlign w:val="center"/>
          </w:tcPr>
          <w:p>
            <w:pPr>
              <w:jc w:val="center"/>
              <w:rPr>
                <w:szCs w:val="21"/>
              </w:rPr>
            </w:pPr>
            <w:r>
              <w:rPr>
                <w:rFonts w:hint="eastAsia"/>
                <w:szCs w:val="21"/>
              </w:rPr>
              <w:t>有组织</w:t>
            </w:r>
          </w:p>
          <w:p>
            <w:pPr>
              <w:rPr>
                <w:szCs w:val="21"/>
              </w:rPr>
            </w:pPr>
            <w:r>
              <w:rPr>
                <w:rFonts w:hint="eastAsia"/>
                <w:szCs w:val="21"/>
              </w:rPr>
              <w:t>有组织</w:t>
            </w:r>
          </w:p>
          <w:p>
            <w:r>
              <w:rPr>
                <w:rFonts w:hint="eastAsia"/>
                <w:szCs w:val="21"/>
              </w:rPr>
              <w:t>有组织</w:t>
            </w:r>
          </w:p>
        </w:tc>
        <w:tc>
          <w:tcPr>
            <w:tcW w:w="295" w:type="pct"/>
            <w:vAlign w:val="center"/>
          </w:tcPr>
          <w:p>
            <w:pPr>
              <w:adjustRightInd w:val="0"/>
              <w:snapToGrid w:val="0"/>
              <w:jc w:val="center"/>
              <w:rPr>
                <w:kern w:val="0"/>
                <w:szCs w:val="21"/>
              </w:rPr>
            </w:pPr>
            <w:r>
              <w:rPr>
                <w:rFonts w:hint="eastAsia"/>
                <w:kern w:val="0"/>
                <w:szCs w:val="21"/>
              </w:rPr>
              <w:t>TVOC</w:t>
            </w:r>
          </w:p>
        </w:tc>
        <w:tc>
          <w:tcPr>
            <w:tcW w:w="227" w:type="pct"/>
            <w:vMerge w:val="restart"/>
            <w:vAlign w:val="center"/>
          </w:tcPr>
          <w:p>
            <w:pPr>
              <w:adjustRightInd w:val="0"/>
              <w:snapToGrid w:val="0"/>
              <w:spacing w:line="240" w:lineRule="exact"/>
              <w:jc w:val="center"/>
              <w:rPr>
                <w:bCs/>
                <w:szCs w:val="21"/>
              </w:rPr>
            </w:pPr>
            <w:r>
              <w:rPr>
                <w:bCs/>
                <w:szCs w:val="21"/>
              </w:rPr>
              <w:t>2</w:t>
            </w:r>
          </w:p>
        </w:tc>
        <w:tc>
          <w:tcPr>
            <w:tcW w:w="295" w:type="pct"/>
            <w:vMerge w:val="restart"/>
            <w:vAlign w:val="center"/>
          </w:tcPr>
          <w:p>
            <w:pPr>
              <w:adjustRightInd w:val="0"/>
              <w:snapToGrid w:val="0"/>
              <w:spacing w:line="240" w:lineRule="exact"/>
              <w:jc w:val="center"/>
              <w:rPr>
                <w:bCs/>
                <w:szCs w:val="21"/>
              </w:rPr>
            </w:pPr>
            <w:r>
              <w:rPr>
                <w:bCs/>
                <w:szCs w:val="21"/>
              </w:rPr>
              <w:t>1</w:t>
            </w:r>
          </w:p>
        </w:tc>
        <w:tc>
          <w:tcPr>
            <w:tcW w:w="233" w:type="pct"/>
            <w:vMerge w:val="restart"/>
            <w:vAlign w:val="center"/>
          </w:tcPr>
          <w:p>
            <w:pPr>
              <w:adjustRightInd w:val="0"/>
              <w:snapToGrid w:val="0"/>
              <w:spacing w:line="240" w:lineRule="exact"/>
              <w:jc w:val="center"/>
              <w:rPr>
                <w:bCs/>
                <w:szCs w:val="21"/>
              </w:rPr>
            </w:pPr>
            <w:r>
              <w:rPr>
                <w:bCs/>
                <w:szCs w:val="21"/>
              </w:rPr>
              <w:t>2</w:t>
            </w:r>
          </w:p>
        </w:tc>
        <w:tc>
          <w:tcPr>
            <w:tcW w:w="943" w:type="dxa"/>
            <w:vAlign w:val="center"/>
          </w:tcPr>
          <w:p>
            <w:pPr>
              <w:adjustRightInd w:val="0"/>
              <w:snapToGrid w:val="0"/>
              <w:jc w:val="center"/>
              <w:rPr>
                <w:kern w:val="0"/>
                <w:szCs w:val="21"/>
              </w:rPr>
            </w:pPr>
            <w:r>
              <w:rPr>
                <w:rFonts w:hint="eastAsia"/>
                <w:kern w:val="0"/>
                <w:szCs w:val="21"/>
              </w:rPr>
              <w:t>35.8</w:t>
            </w:r>
          </w:p>
        </w:tc>
        <w:tc>
          <w:tcPr>
            <w:tcW w:w="776" w:type="dxa"/>
            <w:vAlign w:val="center"/>
          </w:tcPr>
          <w:p>
            <w:pPr>
              <w:adjustRightInd w:val="0"/>
              <w:snapToGrid w:val="0"/>
              <w:jc w:val="center"/>
              <w:rPr>
                <w:kern w:val="0"/>
                <w:szCs w:val="21"/>
              </w:rPr>
            </w:pPr>
            <w:r>
              <w:rPr>
                <w:rFonts w:hint="eastAsia"/>
                <w:kern w:val="0"/>
                <w:szCs w:val="21"/>
              </w:rPr>
              <w:t>0.43</w:t>
            </w:r>
          </w:p>
        </w:tc>
        <w:tc>
          <w:tcPr>
            <w:tcW w:w="723" w:type="dxa"/>
            <w:vAlign w:val="center"/>
          </w:tcPr>
          <w:p>
            <w:pPr>
              <w:adjustRightInd w:val="0"/>
              <w:snapToGrid w:val="0"/>
              <w:jc w:val="center"/>
              <w:rPr>
                <w:kern w:val="0"/>
                <w:szCs w:val="21"/>
              </w:rPr>
            </w:pPr>
            <w:r>
              <w:rPr>
                <w:rFonts w:hint="eastAsia"/>
                <w:kern w:val="0"/>
                <w:szCs w:val="21"/>
              </w:rPr>
              <w:t>1.04</w:t>
            </w:r>
          </w:p>
        </w:tc>
        <w:tc>
          <w:tcPr>
            <w:tcW w:w="318" w:type="pct"/>
            <w:vMerge w:val="restart"/>
            <w:vAlign w:val="center"/>
          </w:tcPr>
          <w:p>
            <w:pPr>
              <w:jc w:val="center"/>
              <w:rPr>
                <w:szCs w:val="21"/>
              </w:rPr>
            </w:pPr>
            <w:r>
              <w:rPr>
                <w:rFonts w:hint="eastAsia"/>
                <w:szCs w:val="21"/>
              </w:rPr>
              <w:t>DA004</w:t>
            </w:r>
            <w:r>
              <w:rPr>
                <w:szCs w:val="21"/>
              </w:rPr>
              <w:t>排放口</w:t>
            </w:r>
          </w:p>
          <w:p>
            <w:pPr>
              <w:jc w:val="center"/>
              <w:rPr>
                <w:szCs w:val="21"/>
              </w:rPr>
            </w:pPr>
          </w:p>
        </w:tc>
        <w:tc>
          <w:tcPr>
            <w:tcW w:w="193" w:type="pct"/>
            <w:vMerge w:val="restart"/>
            <w:vAlign w:val="center"/>
          </w:tcPr>
          <w:p>
            <w:pPr>
              <w:jc w:val="center"/>
              <w:rPr>
                <w:szCs w:val="21"/>
              </w:rPr>
            </w:pPr>
            <w:r>
              <w:rPr>
                <w:szCs w:val="21"/>
              </w:rPr>
              <w:t>15</w:t>
            </w:r>
          </w:p>
          <w:p>
            <w:pPr>
              <w:jc w:val="center"/>
              <w:rPr>
                <w:szCs w:val="21"/>
              </w:rPr>
            </w:pPr>
          </w:p>
        </w:tc>
        <w:tc>
          <w:tcPr>
            <w:tcW w:w="187" w:type="pct"/>
            <w:vMerge w:val="restart"/>
            <w:vAlign w:val="center"/>
          </w:tcPr>
          <w:p>
            <w:pPr>
              <w:jc w:val="center"/>
              <w:rPr>
                <w:szCs w:val="21"/>
              </w:rPr>
            </w:pPr>
            <w:r>
              <w:rPr>
                <w:szCs w:val="21"/>
              </w:rPr>
              <w:t>0.</w:t>
            </w:r>
            <w:r>
              <w:rPr>
                <w:rFonts w:hint="eastAsia"/>
                <w:szCs w:val="21"/>
              </w:rPr>
              <w:t>7</w:t>
            </w:r>
          </w:p>
          <w:p>
            <w:pPr>
              <w:jc w:val="center"/>
              <w:rPr>
                <w:szCs w:val="21"/>
              </w:rPr>
            </w:pPr>
          </w:p>
        </w:tc>
        <w:tc>
          <w:tcPr>
            <w:tcW w:w="193" w:type="pct"/>
            <w:vMerge w:val="restart"/>
            <w:vAlign w:val="center"/>
          </w:tcPr>
          <w:p>
            <w:pPr>
              <w:jc w:val="center"/>
              <w:rPr>
                <w:szCs w:val="21"/>
              </w:rPr>
            </w:pPr>
            <w:r>
              <w:rPr>
                <w:rFonts w:hint="eastAsia"/>
                <w:szCs w:val="21"/>
              </w:rPr>
              <w:t>25</w:t>
            </w:r>
          </w:p>
          <w:p>
            <w:pPr>
              <w:jc w:val="center"/>
              <w:rPr>
                <w:szCs w:val="21"/>
              </w:rPr>
            </w:pPr>
          </w:p>
        </w:tc>
        <w:tc>
          <w:tcPr>
            <w:tcW w:w="335" w:type="pct"/>
            <w:vMerge w:val="restart"/>
            <w:vAlign w:val="center"/>
          </w:tcPr>
          <w:p>
            <w:pPr>
              <w:spacing w:line="340" w:lineRule="exact"/>
              <w:jc w:val="center"/>
              <w:rPr>
                <w:szCs w:val="21"/>
              </w:rPr>
            </w:pPr>
            <w:r>
              <w:rPr>
                <w:szCs w:val="21"/>
              </w:rPr>
              <w:t>一般排放口</w:t>
            </w:r>
          </w:p>
          <w:p>
            <w:pPr>
              <w:spacing w:line="340" w:lineRule="exact"/>
              <w:jc w:val="center"/>
              <w:rPr>
                <w:szCs w:val="21"/>
              </w:rPr>
            </w:pPr>
          </w:p>
        </w:tc>
        <w:tc>
          <w:tcPr>
            <w:tcW w:w="636" w:type="pct"/>
            <w:vMerge w:val="restart"/>
            <w:vAlign w:val="center"/>
          </w:tcPr>
          <w:p>
            <w:pPr>
              <w:spacing w:line="340" w:lineRule="exact"/>
              <w:jc w:val="center"/>
              <w:rPr>
                <w:szCs w:val="21"/>
              </w:rPr>
            </w:pPr>
            <w:r>
              <w:rPr>
                <w:szCs w:val="21"/>
              </w:rPr>
              <w:t>E：</w:t>
            </w:r>
            <w:r>
              <w:rPr>
                <w:rFonts w:hint="eastAsia"/>
                <w:szCs w:val="21"/>
              </w:rPr>
              <w:t>116.832258</w:t>
            </w:r>
          </w:p>
          <w:p>
            <w:pPr>
              <w:spacing w:line="340" w:lineRule="exact"/>
              <w:jc w:val="center"/>
              <w:rPr>
                <w:szCs w:val="21"/>
              </w:rPr>
            </w:pPr>
            <w:r>
              <w:rPr>
                <w:szCs w:val="21"/>
              </w:rPr>
              <w:t>N：</w:t>
            </w:r>
            <w:r>
              <w:rPr>
                <w:rFonts w:hint="eastAsia"/>
                <w:szCs w:val="21"/>
              </w:rPr>
              <w:t>28.467124</w:t>
            </w:r>
          </w:p>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jc w:val="center"/>
              <w:rPr>
                <w:szCs w:val="21"/>
              </w:rPr>
            </w:pPr>
          </w:p>
        </w:tc>
        <w:tc>
          <w:tcPr>
            <w:tcW w:w="204" w:type="pct"/>
            <w:vMerge w:val="continue"/>
            <w:vAlign w:val="center"/>
          </w:tcPr>
          <w:p>
            <w:pPr>
              <w:jc w:val="center"/>
              <w:rPr>
                <w:szCs w:val="21"/>
              </w:rPr>
            </w:pPr>
          </w:p>
        </w:tc>
        <w:tc>
          <w:tcPr>
            <w:tcW w:w="295" w:type="pct"/>
            <w:vAlign w:val="center"/>
          </w:tcPr>
          <w:p>
            <w:pPr>
              <w:adjustRightInd w:val="0"/>
              <w:snapToGrid w:val="0"/>
              <w:jc w:val="center"/>
              <w:rPr>
                <w:kern w:val="0"/>
                <w:szCs w:val="21"/>
              </w:rPr>
            </w:pPr>
            <w:r>
              <w:rPr>
                <w:rFonts w:hint="eastAsia"/>
                <w:kern w:val="0"/>
                <w:szCs w:val="21"/>
              </w:rPr>
              <w:t>甲苯及二甲苯</w:t>
            </w:r>
          </w:p>
        </w:tc>
        <w:tc>
          <w:tcPr>
            <w:tcW w:w="227"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33" w:type="pct"/>
            <w:vMerge w:val="continue"/>
            <w:vAlign w:val="center"/>
          </w:tcPr>
          <w:p>
            <w:pPr>
              <w:adjustRightInd w:val="0"/>
              <w:snapToGrid w:val="0"/>
              <w:spacing w:line="240" w:lineRule="exact"/>
              <w:jc w:val="center"/>
              <w:rPr>
                <w:bCs/>
                <w:szCs w:val="21"/>
              </w:rPr>
            </w:pPr>
          </w:p>
        </w:tc>
        <w:tc>
          <w:tcPr>
            <w:tcW w:w="943" w:type="dxa"/>
            <w:vAlign w:val="center"/>
          </w:tcPr>
          <w:p>
            <w:pPr>
              <w:adjustRightInd w:val="0"/>
              <w:snapToGrid w:val="0"/>
              <w:jc w:val="center"/>
              <w:rPr>
                <w:kern w:val="0"/>
                <w:szCs w:val="21"/>
              </w:rPr>
            </w:pPr>
            <w:r>
              <w:rPr>
                <w:rFonts w:hint="eastAsia"/>
                <w:kern w:val="0"/>
                <w:szCs w:val="21"/>
              </w:rPr>
              <w:t>8.6</w:t>
            </w:r>
          </w:p>
        </w:tc>
        <w:tc>
          <w:tcPr>
            <w:tcW w:w="776" w:type="dxa"/>
            <w:vAlign w:val="center"/>
          </w:tcPr>
          <w:p>
            <w:pPr>
              <w:adjustRightInd w:val="0"/>
              <w:snapToGrid w:val="0"/>
              <w:jc w:val="center"/>
              <w:rPr>
                <w:kern w:val="0"/>
                <w:szCs w:val="21"/>
              </w:rPr>
            </w:pPr>
            <w:r>
              <w:rPr>
                <w:rFonts w:hint="eastAsia"/>
                <w:kern w:val="0"/>
                <w:szCs w:val="21"/>
              </w:rPr>
              <w:t>0.105</w:t>
            </w:r>
          </w:p>
        </w:tc>
        <w:tc>
          <w:tcPr>
            <w:tcW w:w="723" w:type="dxa"/>
            <w:vAlign w:val="center"/>
          </w:tcPr>
          <w:p>
            <w:pPr>
              <w:adjustRightInd w:val="0"/>
              <w:snapToGrid w:val="0"/>
              <w:jc w:val="center"/>
              <w:rPr>
                <w:kern w:val="0"/>
                <w:szCs w:val="21"/>
              </w:rPr>
            </w:pPr>
            <w:r>
              <w:rPr>
                <w:rFonts w:hint="eastAsia"/>
                <w:kern w:val="0"/>
                <w:szCs w:val="21"/>
              </w:rPr>
              <w:t>0.25</w:t>
            </w:r>
          </w:p>
        </w:tc>
        <w:tc>
          <w:tcPr>
            <w:tcW w:w="318" w:type="pct"/>
            <w:vMerge w:val="continue"/>
            <w:vAlign w:val="center"/>
          </w:tcPr>
          <w:p>
            <w:pPr>
              <w:jc w:val="center"/>
              <w:rPr>
                <w:szCs w:val="21"/>
              </w:rPr>
            </w:pPr>
          </w:p>
        </w:tc>
        <w:tc>
          <w:tcPr>
            <w:tcW w:w="193" w:type="pct"/>
            <w:vMerge w:val="continue"/>
            <w:vAlign w:val="center"/>
          </w:tcPr>
          <w:p>
            <w:pPr>
              <w:jc w:val="center"/>
              <w:rPr>
                <w:szCs w:val="21"/>
              </w:rPr>
            </w:pPr>
          </w:p>
        </w:tc>
        <w:tc>
          <w:tcPr>
            <w:tcW w:w="187" w:type="pct"/>
            <w:vMerge w:val="continue"/>
            <w:vAlign w:val="center"/>
          </w:tcPr>
          <w:p>
            <w:pPr>
              <w:jc w:val="center"/>
              <w:rPr>
                <w:szCs w:val="21"/>
              </w:rPr>
            </w:pPr>
          </w:p>
        </w:tc>
        <w:tc>
          <w:tcPr>
            <w:tcW w:w="193" w:type="pct"/>
            <w:vMerge w:val="continue"/>
            <w:vAlign w:val="center"/>
          </w:tcPr>
          <w:p>
            <w:pPr>
              <w:jc w:val="center"/>
              <w:rPr>
                <w:szCs w:val="21"/>
              </w:rPr>
            </w:pPr>
          </w:p>
        </w:tc>
        <w:tc>
          <w:tcPr>
            <w:tcW w:w="335" w:type="pct"/>
            <w:vMerge w:val="continue"/>
            <w:vAlign w:val="center"/>
          </w:tcPr>
          <w:p>
            <w:pPr>
              <w:spacing w:line="340" w:lineRule="exact"/>
              <w:jc w:val="center"/>
              <w:rPr>
                <w:szCs w:val="21"/>
              </w:rPr>
            </w:pPr>
          </w:p>
        </w:tc>
        <w:tc>
          <w:tcPr>
            <w:tcW w:w="636" w:type="pct"/>
            <w:vMerge w:val="continue"/>
            <w:vAlign w:val="center"/>
          </w:tcPr>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Merge w:val="continue"/>
            <w:vAlign w:val="center"/>
          </w:tcPr>
          <w:p>
            <w:pPr>
              <w:jc w:val="center"/>
              <w:rPr>
                <w:szCs w:val="21"/>
              </w:rPr>
            </w:pPr>
          </w:p>
        </w:tc>
        <w:tc>
          <w:tcPr>
            <w:tcW w:w="204" w:type="pct"/>
            <w:vMerge w:val="continue"/>
            <w:vAlign w:val="center"/>
          </w:tcPr>
          <w:p>
            <w:pPr>
              <w:jc w:val="center"/>
              <w:rPr>
                <w:szCs w:val="21"/>
              </w:rPr>
            </w:pPr>
          </w:p>
        </w:tc>
        <w:tc>
          <w:tcPr>
            <w:tcW w:w="295" w:type="pct"/>
            <w:vAlign w:val="center"/>
          </w:tcPr>
          <w:p>
            <w:pPr>
              <w:adjustRightInd w:val="0"/>
              <w:snapToGrid w:val="0"/>
              <w:jc w:val="center"/>
              <w:rPr>
                <w:kern w:val="0"/>
                <w:szCs w:val="21"/>
              </w:rPr>
            </w:pPr>
            <w:r>
              <w:rPr>
                <w:rFonts w:hint="eastAsia"/>
                <w:kern w:val="0"/>
                <w:szCs w:val="21"/>
              </w:rPr>
              <w:t>漆雾</w:t>
            </w:r>
          </w:p>
        </w:tc>
        <w:tc>
          <w:tcPr>
            <w:tcW w:w="227" w:type="pct"/>
            <w:vMerge w:val="continue"/>
            <w:vAlign w:val="center"/>
          </w:tcPr>
          <w:p>
            <w:pPr>
              <w:adjustRightInd w:val="0"/>
              <w:snapToGrid w:val="0"/>
              <w:spacing w:line="240" w:lineRule="exact"/>
              <w:jc w:val="center"/>
              <w:rPr>
                <w:bCs/>
                <w:szCs w:val="21"/>
              </w:rPr>
            </w:pPr>
          </w:p>
        </w:tc>
        <w:tc>
          <w:tcPr>
            <w:tcW w:w="295" w:type="pct"/>
            <w:vMerge w:val="continue"/>
            <w:vAlign w:val="center"/>
          </w:tcPr>
          <w:p>
            <w:pPr>
              <w:adjustRightInd w:val="0"/>
              <w:snapToGrid w:val="0"/>
              <w:spacing w:line="240" w:lineRule="exact"/>
              <w:jc w:val="center"/>
              <w:rPr>
                <w:bCs/>
                <w:szCs w:val="21"/>
              </w:rPr>
            </w:pPr>
          </w:p>
        </w:tc>
        <w:tc>
          <w:tcPr>
            <w:tcW w:w="233" w:type="pct"/>
            <w:vMerge w:val="continue"/>
            <w:vAlign w:val="center"/>
          </w:tcPr>
          <w:p>
            <w:pPr>
              <w:adjustRightInd w:val="0"/>
              <w:snapToGrid w:val="0"/>
              <w:spacing w:line="240" w:lineRule="exact"/>
              <w:jc w:val="center"/>
              <w:rPr>
                <w:bCs/>
                <w:szCs w:val="21"/>
              </w:rPr>
            </w:pPr>
          </w:p>
        </w:tc>
        <w:tc>
          <w:tcPr>
            <w:tcW w:w="943" w:type="dxa"/>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776" w:type="dxa"/>
            <w:vAlign w:val="center"/>
          </w:tcPr>
          <w:p>
            <w:pPr>
              <w:adjustRightInd w:val="0"/>
              <w:snapToGrid w:val="0"/>
              <w:jc w:val="center"/>
              <w:rPr>
                <w:kern w:val="0"/>
                <w:szCs w:val="21"/>
              </w:rPr>
            </w:pPr>
            <w:r>
              <w:rPr>
                <w:rFonts w:hint="eastAsia"/>
                <w:kern w:val="0"/>
                <w:szCs w:val="21"/>
              </w:rPr>
              <w:t>0.066</w:t>
            </w:r>
          </w:p>
        </w:tc>
        <w:tc>
          <w:tcPr>
            <w:tcW w:w="723" w:type="dxa"/>
            <w:vAlign w:val="center"/>
          </w:tcPr>
          <w:p>
            <w:pPr>
              <w:adjustRightInd w:val="0"/>
              <w:snapToGrid w:val="0"/>
              <w:jc w:val="center"/>
              <w:rPr>
                <w:kern w:val="0"/>
                <w:szCs w:val="21"/>
              </w:rPr>
            </w:pPr>
            <w:r>
              <w:rPr>
                <w:rFonts w:hint="eastAsia"/>
                <w:kern w:val="0"/>
                <w:szCs w:val="21"/>
              </w:rPr>
              <w:t>0.159</w:t>
            </w:r>
          </w:p>
        </w:tc>
        <w:tc>
          <w:tcPr>
            <w:tcW w:w="318" w:type="pct"/>
            <w:vMerge w:val="continue"/>
            <w:vAlign w:val="center"/>
          </w:tcPr>
          <w:p>
            <w:pPr>
              <w:jc w:val="center"/>
              <w:rPr>
                <w:szCs w:val="21"/>
              </w:rPr>
            </w:pPr>
          </w:p>
        </w:tc>
        <w:tc>
          <w:tcPr>
            <w:tcW w:w="193" w:type="pct"/>
            <w:vMerge w:val="continue"/>
            <w:vAlign w:val="center"/>
          </w:tcPr>
          <w:p>
            <w:pPr>
              <w:jc w:val="center"/>
              <w:rPr>
                <w:szCs w:val="21"/>
              </w:rPr>
            </w:pPr>
          </w:p>
        </w:tc>
        <w:tc>
          <w:tcPr>
            <w:tcW w:w="187" w:type="pct"/>
            <w:vMerge w:val="continue"/>
            <w:vAlign w:val="center"/>
          </w:tcPr>
          <w:p>
            <w:pPr>
              <w:jc w:val="center"/>
              <w:rPr>
                <w:szCs w:val="21"/>
              </w:rPr>
            </w:pPr>
          </w:p>
        </w:tc>
        <w:tc>
          <w:tcPr>
            <w:tcW w:w="193" w:type="pct"/>
            <w:vMerge w:val="continue"/>
            <w:vAlign w:val="center"/>
          </w:tcPr>
          <w:p>
            <w:pPr>
              <w:jc w:val="center"/>
              <w:rPr>
                <w:szCs w:val="21"/>
              </w:rPr>
            </w:pPr>
          </w:p>
        </w:tc>
        <w:tc>
          <w:tcPr>
            <w:tcW w:w="335" w:type="pct"/>
            <w:vMerge w:val="continue"/>
            <w:vAlign w:val="center"/>
          </w:tcPr>
          <w:p>
            <w:pPr>
              <w:spacing w:line="340" w:lineRule="exact"/>
              <w:jc w:val="center"/>
              <w:rPr>
                <w:szCs w:val="21"/>
              </w:rPr>
            </w:pPr>
          </w:p>
        </w:tc>
        <w:tc>
          <w:tcPr>
            <w:tcW w:w="636" w:type="pct"/>
            <w:vMerge w:val="continue"/>
            <w:vAlign w:val="center"/>
          </w:tcPr>
          <w:p>
            <w:pPr>
              <w:spacing w:line="340" w:lineRule="exact"/>
              <w:jc w:val="center"/>
              <w:rPr>
                <w:szCs w:val="21"/>
              </w:rPr>
            </w:pPr>
          </w:p>
        </w:tc>
        <w:tc>
          <w:tcPr>
            <w:tcW w:w="608" w:type="pct"/>
            <w:vMerge w:val="continue"/>
            <w:vAlign w:val="center"/>
          </w:tcPr>
          <w:p>
            <w:pPr>
              <w:adjustRightInd w:val="0"/>
              <w:snapToGrid w:val="0"/>
              <w:spacing w:line="24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6" w:type="pct"/>
            <w:vAlign w:val="center"/>
          </w:tcPr>
          <w:p>
            <w:pPr>
              <w:jc w:val="center"/>
              <w:rPr>
                <w:szCs w:val="21"/>
              </w:rPr>
            </w:pPr>
            <w:r>
              <w:rPr>
                <w:rFonts w:hint="eastAsia"/>
                <w:szCs w:val="21"/>
              </w:rPr>
              <w:t>砂光粉尘</w:t>
            </w:r>
          </w:p>
        </w:tc>
        <w:tc>
          <w:tcPr>
            <w:tcW w:w="204" w:type="pct"/>
            <w:vAlign w:val="center"/>
          </w:tcPr>
          <w:p>
            <w:pPr>
              <w:jc w:val="center"/>
              <w:rPr>
                <w:szCs w:val="21"/>
              </w:rPr>
            </w:pPr>
            <w:r>
              <w:rPr>
                <w:rFonts w:hint="eastAsia"/>
                <w:szCs w:val="21"/>
              </w:rPr>
              <w:t>有组织</w:t>
            </w:r>
          </w:p>
        </w:tc>
        <w:tc>
          <w:tcPr>
            <w:tcW w:w="295" w:type="pct"/>
            <w:vAlign w:val="center"/>
          </w:tcPr>
          <w:p>
            <w:pPr>
              <w:adjustRightInd w:val="0"/>
              <w:snapToGrid w:val="0"/>
              <w:jc w:val="center"/>
              <w:rPr>
                <w:kern w:val="0"/>
                <w:szCs w:val="21"/>
              </w:rPr>
            </w:pPr>
            <w:r>
              <w:rPr>
                <w:rFonts w:hint="eastAsia"/>
                <w:kern w:val="0"/>
                <w:szCs w:val="21"/>
              </w:rPr>
              <w:t>粉尘</w:t>
            </w:r>
          </w:p>
        </w:tc>
        <w:tc>
          <w:tcPr>
            <w:tcW w:w="227" w:type="pct"/>
            <w:vAlign w:val="center"/>
          </w:tcPr>
          <w:p>
            <w:pPr>
              <w:adjustRightInd w:val="0"/>
              <w:snapToGrid w:val="0"/>
              <w:spacing w:line="240" w:lineRule="exact"/>
              <w:jc w:val="center"/>
              <w:rPr>
                <w:bCs/>
                <w:szCs w:val="21"/>
              </w:rPr>
            </w:pPr>
            <w:r>
              <w:rPr>
                <w:bCs/>
                <w:szCs w:val="21"/>
              </w:rPr>
              <w:t>2</w:t>
            </w:r>
          </w:p>
        </w:tc>
        <w:tc>
          <w:tcPr>
            <w:tcW w:w="295" w:type="pct"/>
            <w:vAlign w:val="center"/>
          </w:tcPr>
          <w:p>
            <w:pPr>
              <w:adjustRightInd w:val="0"/>
              <w:snapToGrid w:val="0"/>
              <w:spacing w:line="240" w:lineRule="exact"/>
              <w:jc w:val="center"/>
              <w:rPr>
                <w:bCs/>
                <w:szCs w:val="21"/>
              </w:rPr>
            </w:pPr>
            <w:r>
              <w:rPr>
                <w:bCs/>
                <w:szCs w:val="21"/>
              </w:rPr>
              <w:t>1</w:t>
            </w:r>
          </w:p>
        </w:tc>
        <w:tc>
          <w:tcPr>
            <w:tcW w:w="233" w:type="pct"/>
            <w:vAlign w:val="center"/>
          </w:tcPr>
          <w:p>
            <w:pPr>
              <w:adjustRightInd w:val="0"/>
              <w:snapToGrid w:val="0"/>
              <w:spacing w:line="240" w:lineRule="exact"/>
              <w:jc w:val="center"/>
              <w:rPr>
                <w:bCs/>
                <w:szCs w:val="21"/>
              </w:rPr>
            </w:pPr>
            <w:r>
              <w:rPr>
                <w:bCs/>
                <w:szCs w:val="21"/>
              </w:rPr>
              <w:t>2</w:t>
            </w:r>
          </w:p>
        </w:tc>
        <w:tc>
          <w:tcPr>
            <w:tcW w:w="357" w:type="pct"/>
            <w:vAlign w:val="center"/>
          </w:tcPr>
          <w:p>
            <w:pPr>
              <w:adjustRightInd w:val="0"/>
              <w:snapToGrid w:val="0"/>
              <w:jc w:val="center"/>
              <w:rPr>
                <w:kern w:val="0"/>
                <w:szCs w:val="21"/>
              </w:rPr>
            </w:pPr>
            <w:r>
              <w:rPr>
                <w:rFonts w:hint="eastAsia"/>
                <w:kern w:val="0"/>
                <w:szCs w:val="21"/>
              </w:rPr>
              <w:t>64</w:t>
            </w:r>
          </w:p>
        </w:tc>
        <w:tc>
          <w:tcPr>
            <w:tcW w:w="294" w:type="pct"/>
            <w:vAlign w:val="center"/>
          </w:tcPr>
          <w:p>
            <w:pPr>
              <w:adjustRightInd w:val="0"/>
              <w:snapToGrid w:val="0"/>
              <w:jc w:val="center"/>
              <w:rPr>
                <w:kern w:val="0"/>
                <w:szCs w:val="21"/>
              </w:rPr>
            </w:pPr>
            <w:r>
              <w:rPr>
                <w:rFonts w:hint="eastAsia"/>
                <w:kern w:val="0"/>
                <w:szCs w:val="21"/>
              </w:rPr>
              <w:t>0.32</w:t>
            </w:r>
          </w:p>
        </w:tc>
        <w:tc>
          <w:tcPr>
            <w:tcW w:w="273" w:type="pct"/>
            <w:vAlign w:val="center"/>
          </w:tcPr>
          <w:p>
            <w:pPr>
              <w:adjustRightInd w:val="0"/>
              <w:snapToGrid w:val="0"/>
              <w:jc w:val="center"/>
              <w:rPr>
                <w:kern w:val="0"/>
                <w:szCs w:val="21"/>
              </w:rPr>
            </w:pPr>
            <w:r>
              <w:rPr>
                <w:kern w:val="0"/>
                <w:szCs w:val="21"/>
              </w:rPr>
              <w:t>0.</w:t>
            </w:r>
            <w:r>
              <w:rPr>
                <w:rFonts w:hint="eastAsia"/>
                <w:kern w:val="0"/>
                <w:szCs w:val="21"/>
              </w:rPr>
              <w:t>768</w:t>
            </w:r>
          </w:p>
        </w:tc>
        <w:tc>
          <w:tcPr>
            <w:tcW w:w="318" w:type="pct"/>
            <w:vAlign w:val="center"/>
          </w:tcPr>
          <w:p>
            <w:pPr>
              <w:jc w:val="center"/>
              <w:rPr>
                <w:szCs w:val="21"/>
              </w:rPr>
            </w:pPr>
            <w:r>
              <w:rPr>
                <w:rFonts w:hint="eastAsia"/>
                <w:szCs w:val="21"/>
              </w:rPr>
              <w:t>DA005</w:t>
            </w:r>
            <w:r>
              <w:rPr>
                <w:szCs w:val="21"/>
              </w:rPr>
              <w:t>排放口</w:t>
            </w:r>
          </w:p>
        </w:tc>
        <w:tc>
          <w:tcPr>
            <w:tcW w:w="193" w:type="pct"/>
            <w:vAlign w:val="center"/>
          </w:tcPr>
          <w:p>
            <w:pPr>
              <w:jc w:val="center"/>
              <w:rPr>
                <w:szCs w:val="21"/>
              </w:rPr>
            </w:pPr>
            <w:r>
              <w:rPr>
                <w:szCs w:val="21"/>
              </w:rPr>
              <w:t>15</w:t>
            </w:r>
          </w:p>
        </w:tc>
        <w:tc>
          <w:tcPr>
            <w:tcW w:w="187" w:type="pct"/>
            <w:vAlign w:val="center"/>
          </w:tcPr>
          <w:p>
            <w:pPr>
              <w:jc w:val="center"/>
              <w:rPr>
                <w:szCs w:val="21"/>
              </w:rPr>
            </w:pPr>
            <w:r>
              <w:rPr>
                <w:szCs w:val="21"/>
              </w:rPr>
              <w:t>0.</w:t>
            </w:r>
            <w:r>
              <w:rPr>
                <w:rFonts w:hint="eastAsia"/>
                <w:szCs w:val="21"/>
              </w:rPr>
              <w:t>4</w:t>
            </w:r>
          </w:p>
        </w:tc>
        <w:tc>
          <w:tcPr>
            <w:tcW w:w="193" w:type="pct"/>
            <w:vAlign w:val="center"/>
          </w:tcPr>
          <w:p>
            <w:pPr>
              <w:jc w:val="center"/>
              <w:rPr>
                <w:szCs w:val="21"/>
              </w:rPr>
            </w:pPr>
            <w:r>
              <w:rPr>
                <w:rFonts w:hint="eastAsia"/>
                <w:szCs w:val="21"/>
              </w:rPr>
              <w:t>25</w:t>
            </w:r>
          </w:p>
        </w:tc>
        <w:tc>
          <w:tcPr>
            <w:tcW w:w="335" w:type="pct"/>
            <w:vAlign w:val="center"/>
          </w:tcPr>
          <w:p>
            <w:pPr>
              <w:spacing w:line="340" w:lineRule="exact"/>
              <w:jc w:val="center"/>
              <w:rPr>
                <w:szCs w:val="21"/>
              </w:rPr>
            </w:pPr>
            <w:r>
              <w:rPr>
                <w:szCs w:val="21"/>
              </w:rPr>
              <w:t>一般排放口</w:t>
            </w:r>
          </w:p>
        </w:tc>
        <w:tc>
          <w:tcPr>
            <w:tcW w:w="636" w:type="pct"/>
            <w:vAlign w:val="center"/>
          </w:tcPr>
          <w:p>
            <w:pPr>
              <w:spacing w:line="340" w:lineRule="exact"/>
              <w:jc w:val="center"/>
              <w:rPr>
                <w:szCs w:val="21"/>
              </w:rPr>
            </w:pPr>
            <w:r>
              <w:rPr>
                <w:szCs w:val="21"/>
              </w:rPr>
              <w:t>E：</w:t>
            </w:r>
            <w:r>
              <w:rPr>
                <w:rFonts w:hint="eastAsia"/>
                <w:szCs w:val="21"/>
              </w:rPr>
              <w:t>116.832145</w:t>
            </w:r>
          </w:p>
          <w:p>
            <w:pPr>
              <w:spacing w:line="340" w:lineRule="exact"/>
              <w:jc w:val="center"/>
              <w:rPr>
                <w:szCs w:val="21"/>
              </w:rPr>
            </w:pPr>
            <w:r>
              <w:rPr>
                <w:szCs w:val="21"/>
              </w:rPr>
              <w:t>N：</w:t>
            </w:r>
            <w:r>
              <w:rPr>
                <w:rFonts w:hint="eastAsia"/>
                <w:szCs w:val="21"/>
              </w:rPr>
              <w:t>28.466931</w:t>
            </w:r>
          </w:p>
        </w:tc>
        <w:tc>
          <w:tcPr>
            <w:tcW w:w="608" w:type="pct"/>
            <w:vMerge w:val="continue"/>
            <w:vAlign w:val="center"/>
          </w:tcPr>
          <w:p>
            <w:pPr>
              <w:adjustRightInd w:val="0"/>
              <w:snapToGrid w:val="0"/>
              <w:spacing w:line="240" w:lineRule="exact"/>
              <w:jc w:val="center"/>
              <w:rPr>
                <w:bCs/>
                <w:szCs w:val="21"/>
              </w:rPr>
            </w:pPr>
          </w:p>
        </w:tc>
      </w:tr>
    </w:tbl>
    <w:p>
      <w:pPr>
        <w:adjustRightInd w:val="0"/>
        <w:snapToGrid w:val="0"/>
        <w:jc w:val="center"/>
        <w:rPr>
          <w:rFonts w:ascii="宋体" w:hAnsi="宋体" w:cs="宋体"/>
          <w:bCs/>
          <w:color w:val="FF0000"/>
          <w:szCs w:val="21"/>
        </w:rPr>
        <w:sectPr>
          <w:pgSz w:w="16840" w:h="11907" w:orient="landscape"/>
          <w:pgMar w:top="1531" w:right="1701" w:bottom="1531" w:left="2127" w:header="851" w:footer="851" w:gutter="0"/>
          <w:pgBorders>
            <w:top w:val="none" w:sz="0" w:space="0"/>
            <w:left w:val="none" w:sz="0" w:space="0"/>
            <w:bottom w:val="none" w:sz="0" w:space="0"/>
            <w:right w:val="none" w:sz="0" w:space="0"/>
          </w:pgBorders>
          <w:cols w:space="720" w:num="1"/>
          <w:docGrid w:linePitch="312" w:charSpace="0"/>
        </w:sectPr>
      </w:pPr>
    </w:p>
    <w:tbl>
      <w:tblPr>
        <w:tblStyle w:val="33"/>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4"/>
        <w:gridCol w:w="8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82" w:hRule="atLeast"/>
          <w:jc w:val="center"/>
        </w:trPr>
        <w:tc>
          <w:tcPr>
            <w:tcW w:w="264" w:type="dxa"/>
            <w:tcMar>
              <w:left w:w="28" w:type="dxa"/>
              <w:right w:w="28" w:type="dxa"/>
            </w:tcMar>
            <w:vAlign w:val="center"/>
          </w:tcPr>
          <w:p>
            <w:pPr>
              <w:adjustRightInd w:val="0"/>
              <w:snapToGrid w:val="0"/>
              <w:jc w:val="center"/>
              <w:rPr>
                <w:rFonts w:ascii="宋体" w:hAnsi="宋体" w:cs="宋体"/>
                <w:bCs/>
                <w:szCs w:val="21"/>
              </w:rPr>
            </w:pPr>
            <w:r>
              <w:rPr>
                <w:rFonts w:hint="eastAsia" w:ascii="宋体" w:hAnsi="宋体" w:cs="宋体"/>
                <w:bCs/>
                <w:szCs w:val="21"/>
              </w:rPr>
              <w:t>运营</w:t>
            </w:r>
          </w:p>
          <w:p>
            <w:pPr>
              <w:adjustRightInd w:val="0"/>
              <w:snapToGrid w:val="0"/>
              <w:jc w:val="center"/>
              <w:rPr>
                <w:rFonts w:ascii="宋体" w:hAnsi="宋体" w:cs="宋体"/>
                <w:bCs/>
                <w:szCs w:val="21"/>
              </w:rPr>
            </w:pPr>
            <w:r>
              <w:rPr>
                <w:rFonts w:hint="eastAsia" w:ascii="宋体" w:hAnsi="宋体" w:cs="宋体"/>
                <w:bCs/>
                <w:szCs w:val="21"/>
              </w:rPr>
              <w:t>期环</w:t>
            </w:r>
          </w:p>
          <w:p>
            <w:pPr>
              <w:adjustRightInd w:val="0"/>
              <w:snapToGrid w:val="0"/>
              <w:jc w:val="center"/>
              <w:rPr>
                <w:rFonts w:ascii="宋体" w:hAnsi="宋体" w:cs="宋体"/>
                <w:bCs/>
                <w:szCs w:val="21"/>
              </w:rPr>
            </w:pPr>
            <w:r>
              <w:rPr>
                <w:rFonts w:hint="eastAsia" w:ascii="宋体" w:hAnsi="宋体" w:cs="宋体"/>
                <w:bCs/>
                <w:szCs w:val="21"/>
              </w:rPr>
              <w:t>境影</w:t>
            </w:r>
          </w:p>
          <w:p>
            <w:pPr>
              <w:adjustRightInd w:val="0"/>
              <w:snapToGrid w:val="0"/>
              <w:jc w:val="center"/>
              <w:rPr>
                <w:rFonts w:ascii="宋体" w:hAnsi="宋体" w:cs="宋体"/>
                <w:bCs/>
                <w:szCs w:val="21"/>
              </w:rPr>
            </w:pPr>
            <w:r>
              <w:rPr>
                <w:rFonts w:hint="eastAsia" w:ascii="宋体" w:hAnsi="宋体" w:cs="宋体"/>
                <w:bCs/>
                <w:szCs w:val="21"/>
              </w:rPr>
              <w:t>响和</w:t>
            </w:r>
          </w:p>
          <w:p>
            <w:pPr>
              <w:adjustRightInd w:val="0"/>
              <w:snapToGrid w:val="0"/>
              <w:jc w:val="center"/>
              <w:rPr>
                <w:rFonts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color w:val="FF0000"/>
                <w:szCs w:val="21"/>
              </w:rPr>
            </w:pPr>
            <w:r>
              <w:rPr>
                <w:rFonts w:hint="eastAsia" w:ascii="宋体" w:hAnsi="宋体" w:cs="宋体"/>
                <w:bCs/>
                <w:szCs w:val="21"/>
              </w:rPr>
              <w:t>措施</w:t>
            </w:r>
          </w:p>
        </w:tc>
        <w:tc>
          <w:tcPr>
            <w:tcW w:w="8717" w:type="dxa"/>
            <w:vAlign w:val="center"/>
          </w:tcPr>
          <w:p>
            <w:pPr>
              <w:spacing w:line="360" w:lineRule="auto"/>
              <w:ind w:firstLine="482" w:firstLineChars="200"/>
              <w:rPr>
                <w:b/>
                <w:bCs/>
                <w:sz w:val="24"/>
              </w:rPr>
            </w:pPr>
            <w:r>
              <w:rPr>
                <w:b/>
                <w:bCs/>
                <w:sz w:val="24"/>
              </w:rPr>
              <w:fldChar w:fldCharType="begin"/>
            </w:r>
            <w:r>
              <w:rPr>
                <w:b/>
                <w:bCs/>
                <w:sz w:val="24"/>
              </w:rPr>
              <w:instrText xml:space="preserve"> = 2 \* GB2 \* MERGEFORMAT </w:instrText>
            </w:r>
            <w:r>
              <w:rPr>
                <w:b/>
                <w:bCs/>
                <w:sz w:val="24"/>
              </w:rPr>
              <w:fldChar w:fldCharType="separate"/>
            </w:r>
            <w:r>
              <w:rPr>
                <w:b/>
                <w:bCs/>
                <w:sz w:val="24"/>
              </w:rPr>
              <w:t>⑵</w:t>
            </w:r>
            <w:r>
              <w:rPr>
                <w:b/>
                <w:bCs/>
                <w:sz w:val="24"/>
              </w:rPr>
              <w:fldChar w:fldCharType="end"/>
            </w:r>
            <w:r>
              <w:rPr>
                <w:b/>
                <w:bCs/>
                <w:sz w:val="24"/>
              </w:rPr>
              <w:t>废气源强核算过程</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⑴大气污染源分析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机加工</w:t>
            </w:r>
            <w:r>
              <w:rPr>
                <w:color w:val="000000" w:themeColor="text1"/>
                <w:sz w:val="24"/>
                <w14:textFill>
                  <w14:solidFill>
                    <w14:schemeClr w14:val="tx1"/>
                  </w14:solidFill>
                </w14:textFill>
              </w:rPr>
              <w:t>过程产生的粉尘</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木材加工粉尘根据</w:t>
            </w:r>
            <w:r>
              <w:rPr>
                <w:rFonts w:hint="eastAsia"/>
                <w:color w:val="000000" w:themeColor="text1"/>
                <w:sz w:val="24"/>
                <w14:textFill>
                  <w14:solidFill>
                    <w14:schemeClr w14:val="tx1"/>
                  </w14:solidFill>
                </w14:textFill>
              </w:rPr>
              <w:t>《排放源统计调查产排污核算方法和系数手册》</w:t>
            </w:r>
            <w:r>
              <w:rPr>
                <w:color w:val="000000" w:themeColor="text1"/>
                <w:sz w:val="24"/>
                <w14:textFill>
                  <w14:solidFill>
                    <w14:schemeClr w14:val="tx1"/>
                  </w14:solidFill>
                </w14:textFill>
              </w:rPr>
              <w:t>中“211木质家具制造行业系数手册2110 木质家具制造行业系数表 ”核算，得知实木原料机加工工艺中颗粒物产污系数为150g/m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-原料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本项目木材原料使用量为</w:t>
            </w:r>
            <w:r>
              <w:rPr>
                <w:rFonts w:hint="eastAsia"/>
                <w:color w:val="000000" w:themeColor="text1"/>
                <w:sz w:val="24"/>
                <w14:textFill>
                  <w14:solidFill>
                    <w14:schemeClr w14:val="tx1"/>
                  </w14:solidFill>
                </w14:textFill>
              </w:rPr>
              <w:t>600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/a。则项目木材原料机加工颗粒物产生量为0.0</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t/a，产生速率为0.0</w:t>
            </w:r>
            <w:r>
              <w:rPr>
                <w:rFonts w:hint="eastAsia"/>
                <w:color w:val="000000" w:themeColor="text1"/>
                <w:sz w:val="24"/>
                <w14:textFill>
                  <w14:solidFill>
                    <w14:schemeClr w14:val="tx1"/>
                  </w14:solidFill>
                </w14:textFill>
              </w:rPr>
              <w:t>375</w:t>
            </w:r>
            <w:r>
              <w:rPr>
                <w:color w:val="000000" w:themeColor="text1"/>
                <w:sz w:val="24"/>
                <w14:textFill>
                  <w14:solidFill>
                    <w14:schemeClr w14:val="tx1"/>
                  </w14:solidFill>
                </w14:textFill>
              </w:rPr>
              <w:t>kg/h（年生产时间为2400h）。</w:t>
            </w:r>
          </w:p>
          <w:p>
            <w:pPr>
              <w:spacing w:line="360" w:lineRule="auto"/>
              <w:ind w:firstLine="480" w:firstLineChars="200"/>
              <w:rPr>
                <w:color w:val="0000FF"/>
                <w:sz w:val="24"/>
              </w:rPr>
            </w:pPr>
            <w:r>
              <w:rPr>
                <w:color w:val="FF0000"/>
                <w:sz w:val="24"/>
              </w:rPr>
              <w:t>木工加工</w:t>
            </w:r>
            <w:r>
              <w:rPr>
                <w:rFonts w:hint="eastAsia"/>
                <w:color w:val="FF0000"/>
                <w:sz w:val="24"/>
                <w:lang w:eastAsia="zh-CN"/>
              </w:rPr>
              <w:t>产生</w:t>
            </w:r>
            <w:r>
              <w:rPr>
                <w:color w:val="FF0000"/>
                <w:sz w:val="24"/>
              </w:rPr>
              <w:t>的粉尘</w:t>
            </w:r>
            <w:r>
              <w:rPr>
                <w:rFonts w:hint="eastAsia"/>
                <w:color w:val="FF0000"/>
                <w:sz w:val="24"/>
                <w:lang w:eastAsia="zh-CN"/>
              </w:rPr>
              <w:t>经集气罩收集后</w:t>
            </w:r>
            <w:r>
              <w:rPr>
                <w:color w:val="FF0000"/>
                <w:sz w:val="24"/>
              </w:rPr>
              <w:t>一起</w:t>
            </w:r>
            <w:r>
              <w:rPr>
                <w:rFonts w:hint="eastAsia"/>
                <w:color w:val="FF0000"/>
                <w:sz w:val="24"/>
              </w:rPr>
              <w:t>经</w:t>
            </w:r>
            <w:r>
              <w:rPr>
                <w:color w:val="FF0000"/>
                <w:sz w:val="24"/>
              </w:rPr>
              <w:t>中央集尘</w:t>
            </w:r>
            <w:r>
              <w:rPr>
                <w:rFonts w:hint="eastAsia"/>
                <w:color w:val="FF0000"/>
                <w:sz w:val="24"/>
                <w:lang w:eastAsia="zh-CN"/>
              </w:rPr>
              <w:t>器</w:t>
            </w:r>
            <w:r>
              <w:rPr>
                <w:color w:val="FF0000"/>
                <w:sz w:val="24"/>
              </w:rPr>
              <w:t>处理</w:t>
            </w:r>
            <w:r>
              <w:rPr>
                <w:rFonts w:hint="eastAsia"/>
                <w:color w:val="FF0000"/>
                <w:sz w:val="24"/>
                <w:lang w:eastAsia="zh-CN"/>
              </w:rPr>
              <w:t>，处理后</w:t>
            </w:r>
            <w:r>
              <w:rPr>
                <w:color w:val="FF0000"/>
                <w:sz w:val="24"/>
              </w:rPr>
              <w:t>通过厂房顶部1根15m高排气筒</w:t>
            </w:r>
            <w:r>
              <w:rPr>
                <w:rFonts w:hint="eastAsia"/>
                <w:color w:val="FF0000"/>
                <w:sz w:val="24"/>
              </w:rPr>
              <w:t>（1#）</w:t>
            </w:r>
            <w:r>
              <w:rPr>
                <w:color w:val="FF0000"/>
                <w:sz w:val="24"/>
              </w:rPr>
              <w:t>排放，</w:t>
            </w:r>
            <w:r>
              <w:rPr>
                <w:rFonts w:hint="eastAsia"/>
                <w:color w:val="FF0000"/>
                <w:sz w:val="24"/>
                <w:lang w:eastAsia="zh-CN"/>
              </w:rPr>
              <w:t>项目于各机加工工段（主要为开料、钻孔、拉木、雕刻工段）设置集气罩对粉尘进行收集</w:t>
            </w:r>
            <w:r>
              <w:rPr>
                <w:color w:val="FF0000"/>
                <w:sz w:val="24"/>
              </w:rPr>
              <w:t>（有效收集效率为80%），</w:t>
            </w:r>
            <w:r>
              <w:rPr>
                <w:color w:val="000000" w:themeColor="text1"/>
                <w:sz w:val="24"/>
                <w14:textFill>
                  <w14:solidFill>
                    <w14:schemeClr w14:val="tx1"/>
                  </w14:solidFill>
                </w14:textFill>
              </w:rPr>
              <w:t>在设计参数合理的情况下，</w:t>
            </w:r>
            <w:r>
              <w:rPr>
                <w:rFonts w:hint="eastAsia"/>
                <w:color w:val="000000" w:themeColor="text1"/>
                <w:sz w:val="24"/>
                <w14:textFill>
                  <w14:solidFill>
                    <w14:schemeClr w14:val="tx1"/>
                  </w14:solidFill>
                </w14:textFill>
              </w:rPr>
              <w:t>中央集尘</w:t>
            </w:r>
            <w:r>
              <w:rPr>
                <w:color w:val="000000" w:themeColor="text1"/>
                <w:sz w:val="24"/>
                <w14:textFill>
                  <w14:solidFill>
                    <w14:schemeClr w14:val="tx1"/>
                  </w14:solidFill>
                </w14:textFill>
              </w:rPr>
              <w:t>对粉尘的处理效率可达98.4%以上。</w:t>
            </w:r>
            <w:r>
              <w:rPr>
                <w:rFonts w:hint="eastAsia"/>
                <w:color w:val="0000FF"/>
                <w:sz w:val="24"/>
              </w:rPr>
              <w:t>风量为</w:t>
            </w:r>
            <w:r>
              <w:rPr>
                <w:rFonts w:hint="eastAsia"/>
                <w:color w:val="0000FF"/>
                <w:sz w:val="24"/>
                <w:lang w:val="en-US" w:eastAsia="zh-CN"/>
              </w:rPr>
              <w:t>1000</w:t>
            </w:r>
            <w:r>
              <w:rPr>
                <w:rFonts w:hint="eastAsia"/>
                <w:color w:val="0000FF"/>
                <w:sz w:val="24"/>
              </w:rPr>
              <w:t>m</w:t>
            </w:r>
            <w:r>
              <w:rPr>
                <w:rFonts w:hint="eastAsia"/>
                <w:color w:val="0000FF"/>
                <w:sz w:val="24"/>
                <w:vertAlign w:val="superscript"/>
              </w:rPr>
              <w:t>3</w:t>
            </w:r>
            <w:r>
              <w:rPr>
                <w:rFonts w:hint="eastAsia"/>
                <w:color w:val="0000FF"/>
                <w:sz w:val="24"/>
              </w:rPr>
              <w:t>/h。</w:t>
            </w:r>
          </w:p>
          <w:p>
            <w:pPr>
              <w:spacing w:line="360" w:lineRule="auto"/>
              <w:ind w:firstLine="480" w:firstLineChars="200"/>
              <w:rPr>
                <w:color w:val="0000FF"/>
                <w:sz w:val="24"/>
              </w:rPr>
            </w:pPr>
            <w:r>
              <w:rPr>
                <w:rFonts w:hint="eastAsia"/>
                <w:color w:val="0000FF"/>
                <w:sz w:val="24"/>
                <w:lang w:eastAsia="zh-CN"/>
              </w:rPr>
              <w:t>集气罩</w:t>
            </w:r>
            <w:r>
              <w:rPr>
                <w:rFonts w:hint="eastAsia"/>
                <w:color w:val="0000FF"/>
                <w:sz w:val="24"/>
              </w:rPr>
              <w:t>收集粉尘量</w:t>
            </w:r>
            <w:r>
              <w:rPr>
                <w:color w:val="0000FF"/>
                <w:sz w:val="24"/>
              </w:rPr>
              <w:t>0.</w:t>
            </w:r>
            <w:r>
              <w:rPr>
                <w:rFonts w:hint="eastAsia"/>
                <w:color w:val="0000FF"/>
                <w:sz w:val="24"/>
              </w:rPr>
              <w:t>072t/a，产生速率0.03kg/h，产生浓度</w:t>
            </w:r>
            <w:r>
              <w:rPr>
                <w:rFonts w:hint="eastAsia"/>
                <w:color w:val="0000FF"/>
                <w:sz w:val="24"/>
                <w:lang w:val="en-US" w:eastAsia="zh-CN"/>
              </w:rPr>
              <w:t>30</w:t>
            </w:r>
            <w:r>
              <w:rPr>
                <w:rFonts w:hint="eastAsia"/>
                <w:color w:val="0000FF"/>
                <w:sz w:val="24"/>
              </w:rPr>
              <w:t>mg/</w:t>
            </w:r>
            <w:r>
              <w:rPr>
                <w:color w:val="0000FF"/>
                <w:sz w:val="24"/>
              </w:rPr>
              <w:t>m</w:t>
            </w:r>
            <w:r>
              <w:rPr>
                <w:color w:val="0000FF"/>
                <w:sz w:val="24"/>
                <w:vertAlign w:val="superscript"/>
              </w:rPr>
              <w:t>3</w:t>
            </w:r>
            <w:r>
              <w:rPr>
                <w:rFonts w:hint="eastAsia"/>
                <w:color w:val="0000FF"/>
                <w:sz w:val="24"/>
              </w:rPr>
              <w:t>，经中央集尘处理后粉尘有组织排放量为0.001152t/a，排放速率为0.00048kg/h，排放浓度为0.</w:t>
            </w:r>
            <w:r>
              <w:rPr>
                <w:rFonts w:hint="eastAsia"/>
                <w:color w:val="0000FF"/>
                <w:sz w:val="24"/>
                <w:lang w:val="en-US" w:eastAsia="zh-CN"/>
              </w:rPr>
              <w:t>48</w:t>
            </w:r>
            <w:r>
              <w:rPr>
                <w:rFonts w:hint="eastAsia"/>
                <w:color w:val="0000FF"/>
                <w:sz w:val="24"/>
              </w:rPr>
              <w:t>mg/</w:t>
            </w:r>
            <w:r>
              <w:rPr>
                <w:color w:val="0000FF"/>
                <w:sz w:val="24"/>
              </w:rPr>
              <w:t>m</w:t>
            </w:r>
            <w:r>
              <w:rPr>
                <w:color w:val="0000FF"/>
                <w:sz w:val="24"/>
                <w:vertAlign w:val="superscript"/>
              </w:rPr>
              <w:t>3</w:t>
            </w:r>
            <w:r>
              <w:rPr>
                <w:rFonts w:hint="eastAsia"/>
                <w:color w:val="0000FF"/>
                <w:sz w:val="24"/>
              </w:rPr>
              <w:t>。排放速率和排放量满足《大气污染物综合排放标准》（GB16297-1996）表2中二级标准要求。</w:t>
            </w:r>
          </w:p>
          <w:p>
            <w:pPr>
              <w:spacing w:line="360" w:lineRule="auto"/>
              <w:ind w:firstLine="480" w:firstLineChars="200"/>
              <w:rPr>
                <w:color w:val="0000FF"/>
                <w:sz w:val="24"/>
              </w:rPr>
            </w:pPr>
            <w:r>
              <w:rPr>
                <w:color w:val="0000FF"/>
                <w:sz w:val="24"/>
              </w:rPr>
              <w:t>未收集粉尘为无组织排放</w:t>
            </w:r>
            <w:r>
              <w:rPr>
                <w:rFonts w:hint="eastAsia"/>
                <w:color w:val="0000FF"/>
                <w:sz w:val="24"/>
              </w:rPr>
              <w:t>，</w:t>
            </w:r>
            <w:r>
              <w:rPr>
                <w:color w:val="0000FF"/>
                <w:sz w:val="24"/>
              </w:rPr>
              <w:t>粉尘排放量为0.0</w:t>
            </w:r>
            <w:r>
              <w:rPr>
                <w:rFonts w:hint="eastAsia"/>
                <w:color w:val="0000FF"/>
                <w:sz w:val="24"/>
              </w:rPr>
              <w:t>18</w:t>
            </w:r>
            <w:r>
              <w:rPr>
                <w:color w:val="0000FF"/>
                <w:sz w:val="24"/>
              </w:rPr>
              <w:t>t/a，排放速率为0.0</w:t>
            </w:r>
            <w:r>
              <w:rPr>
                <w:rFonts w:hint="eastAsia"/>
                <w:color w:val="0000FF"/>
                <w:sz w:val="24"/>
              </w:rPr>
              <w:t>075</w:t>
            </w:r>
            <w:r>
              <w:rPr>
                <w:color w:val="0000FF"/>
                <w:sz w:val="24"/>
              </w:rPr>
              <w:t>kg/h。</w:t>
            </w:r>
          </w:p>
          <w:p>
            <w:pPr>
              <w:tabs>
                <w:tab w:val="left" w:pos="180"/>
              </w:tabs>
              <w:spacing w:before="120" w:beforeLines="50"/>
              <w:jc w:val="center"/>
              <w:rPr>
                <w:rFonts w:ascii="黑体" w:hAnsi="黑体" w:eastAsia="黑体"/>
                <w:color w:val="0000FF"/>
                <w:sz w:val="24"/>
              </w:rPr>
            </w:pPr>
            <w:r>
              <w:rPr>
                <w:rFonts w:hint="eastAsia" w:ascii="黑体" w:hAnsi="黑体" w:eastAsia="黑体"/>
                <w:color w:val="0000FF"/>
                <w:sz w:val="24"/>
              </w:rPr>
              <w:t>表4-3   项目机加工粉尘产生排放情况一览表</w:t>
            </w:r>
          </w:p>
          <w:tbl>
            <w:tblPr>
              <w:tblStyle w:val="33"/>
              <w:tblW w:w="494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6"/>
              <w:gridCol w:w="562"/>
              <w:gridCol w:w="805"/>
              <w:gridCol w:w="945"/>
              <w:gridCol w:w="882"/>
              <w:gridCol w:w="862"/>
              <w:gridCol w:w="778"/>
              <w:gridCol w:w="1166"/>
              <w:gridCol w:w="915"/>
              <w:gridCol w:w="10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436" w:type="dxa"/>
                  <w:vMerge w:val="restart"/>
                  <w:vAlign w:val="center"/>
                </w:tcPr>
                <w:p>
                  <w:pPr>
                    <w:jc w:val="center"/>
                    <w:rPr>
                      <w:color w:val="0000FF"/>
                      <w:szCs w:val="21"/>
                    </w:rPr>
                  </w:pPr>
                  <w:r>
                    <w:rPr>
                      <w:color w:val="0000FF"/>
                      <w:szCs w:val="21"/>
                    </w:rPr>
                    <w:t>污染源</w:t>
                  </w:r>
                </w:p>
              </w:tc>
              <w:tc>
                <w:tcPr>
                  <w:tcW w:w="562" w:type="dxa"/>
                  <w:vMerge w:val="restart"/>
                  <w:vAlign w:val="center"/>
                </w:tcPr>
                <w:p>
                  <w:pPr>
                    <w:jc w:val="center"/>
                    <w:rPr>
                      <w:color w:val="0000FF"/>
                      <w:szCs w:val="21"/>
                    </w:rPr>
                  </w:pPr>
                  <w:r>
                    <w:rPr>
                      <w:color w:val="0000FF"/>
                      <w:szCs w:val="21"/>
                    </w:rPr>
                    <w:t>排放形式</w:t>
                  </w:r>
                </w:p>
              </w:tc>
              <w:tc>
                <w:tcPr>
                  <w:tcW w:w="805" w:type="dxa"/>
                  <w:vMerge w:val="restart"/>
                  <w:vAlign w:val="center"/>
                </w:tcPr>
                <w:p>
                  <w:pPr>
                    <w:jc w:val="center"/>
                    <w:rPr>
                      <w:color w:val="0000FF"/>
                      <w:szCs w:val="21"/>
                    </w:rPr>
                  </w:pPr>
                  <w:r>
                    <w:rPr>
                      <w:color w:val="0000FF"/>
                      <w:szCs w:val="21"/>
                    </w:rPr>
                    <w:t>污染物名称</w:t>
                  </w:r>
                </w:p>
              </w:tc>
              <w:tc>
                <w:tcPr>
                  <w:tcW w:w="2689" w:type="dxa"/>
                  <w:gridSpan w:val="3"/>
                  <w:vAlign w:val="center"/>
                </w:tcPr>
                <w:p>
                  <w:pPr>
                    <w:jc w:val="center"/>
                    <w:rPr>
                      <w:color w:val="0000FF"/>
                      <w:szCs w:val="21"/>
                    </w:rPr>
                  </w:pPr>
                  <w:r>
                    <w:rPr>
                      <w:color w:val="0000FF"/>
                      <w:szCs w:val="21"/>
                    </w:rPr>
                    <w:t>产生状况</w:t>
                  </w:r>
                </w:p>
              </w:tc>
              <w:tc>
                <w:tcPr>
                  <w:tcW w:w="778" w:type="dxa"/>
                  <w:vMerge w:val="restart"/>
                  <w:vAlign w:val="center"/>
                </w:tcPr>
                <w:p>
                  <w:pPr>
                    <w:jc w:val="center"/>
                    <w:rPr>
                      <w:color w:val="0000FF"/>
                      <w:szCs w:val="21"/>
                    </w:rPr>
                  </w:pPr>
                  <w:r>
                    <w:rPr>
                      <w:color w:val="0000FF"/>
                      <w:szCs w:val="21"/>
                    </w:rPr>
                    <w:t>集气风量(m</w:t>
                  </w:r>
                  <w:r>
                    <w:rPr>
                      <w:color w:val="0000FF"/>
                      <w:szCs w:val="21"/>
                      <w:vertAlign w:val="superscript"/>
                    </w:rPr>
                    <w:t>3</w:t>
                  </w:r>
                  <w:r>
                    <w:rPr>
                      <w:color w:val="0000FF"/>
                      <w:szCs w:val="21"/>
                    </w:rPr>
                    <w:t>/h)</w:t>
                  </w:r>
                </w:p>
              </w:tc>
              <w:tc>
                <w:tcPr>
                  <w:tcW w:w="3137" w:type="dxa"/>
                  <w:gridSpan w:val="3"/>
                  <w:vAlign w:val="center"/>
                </w:tcPr>
                <w:p>
                  <w:pPr>
                    <w:jc w:val="center"/>
                    <w:rPr>
                      <w:color w:val="0000FF"/>
                      <w:szCs w:val="21"/>
                    </w:rPr>
                  </w:pPr>
                  <w:r>
                    <w:rPr>
                      <w:color w:val="0000FF"/>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436" w:type="dxa"/>
                  <w:vMerge w:val="continue"/>
                  <w:vAlign w:val="center"/>
                </w:tcPr>
                <w:p>
                  <w:pPr>
                    <w:jc w:val="center"/>
                    <w:rPr>
                      <w:color w:val="0000FF"/>
                      <w:szCs w:val="21"/>
                    </w:rPr>
                  </w:pPr>
                </w:p>
              </w:tc>
              <w:tc>
                <w:tcPr>
                  <w:tcW w:w="562" w:type="dxa"/>
                  <w:vMerge w:val="continue"/>
                  <w:vAlign w:val="center"/>
                </w:tcPr>
                <w:p>
                  <w:pPr>
                    <w:jc w:val="center"/>
                    <w:rPr>
                      <w:color w:val="0000FF"/>
                      <w:szCs w:val="21"/>
                    </w:rPr>
                  </w:pPr>
                </w:p>
              </w:tc>
              <w:tc>
                <w:tcPr>
                  <w:tcW w:w="805" w:type="dxa"/>
                  <w:vMerge w:val="continue"/>
                  <w:vAlign w:val="center"/>
                </w:tcPr>
                <w:p>
                  <w:pPr>
                    <w:jc w:val="center"/>
                    <w:rPr>
                      <w:color w:val="0000FF"/>
                      <w:szCs w:val="21"/>
                    </w:rPr>
                  </w:pPr>
                </w:p>
              </w:tc>
              <w:tc>
                <w:tcPr>
                  <w:tcW w:w="945" w:type="dxa"/>
                  <w:vAlign w:val="center"/>
                </w:tcPr>
                <w:p>
                  <w:pPr>
                    <w:jc w:val="center"/>
                    <w:rPr>
                      <w:color w:val="0000FF"/>
                      <w:szCs w:val="21"/>
                    </w:rPr>
                  </w:pPr>
                  <w:r>
                    <w:rPr>
                      <w:color w:val="0000FF"/>
                      <w:szCs w:val="21"/>
                    </w:rPr>
                    <w:t>产生量（t/a）</w:t>
                  </w:r>
                </w:p>
              </w:tc>
              <w:tc>
                <w:tcPr>
                  <w:tcW w:w="882" w:type="dxa"/>
                  <w:vAlign w:val="center"/>
                </w:tcPr>
                <w:p>
                  <w:pPr>
                    <w:jc w:val="center"/>
                    <w:rPr>
                      <w:color w:val="0000FF"/>
                      <w:szCs w:val="21"/>
                    </w:rPr>
                  </w:pPr>
                  <w:r>
                    <w:rPr>
                      <w:color w:val="0000FF"/>
                      <w:szCs w:val="21"/>
                    </w:rPr>
                    <w:t>浓度(mg/m</w:t>
                  </w:r>
                  <w:r>
                    <w:rPr>
                      <w:color w:val="0000FF"/>
                      <w:szCs w:val="21"/>
                      <w:vertAlign w:val="superscript"/>
                    </w:rPr>
                    <w:t>3</w:t>
                  </w:r>
                  <w:r>
                    <w:rPr>
                      <w:color w:val="0000FF"/>
                      <w:szCs w:val="21"/>
                    </w:rPr>
                    <w:t>)</w:t>
                  </w:r>
                </w:p>
              </w:tc>
              <w:tc>
                <w:tcPr>
                  <w:tcW w:w="862" w:type="dxa"/>
                  <w:vAlign w:val="center"/>
                </w:tcPr>
                <w:p>
                  <w:pPr>
                    <w:jc w:val="center"/>
                    <w:rPr>
                      <w:color w:val="0000FF"/>
                      <w:szCs w:val="21"/>
                    </w:rPr>
                  </w:pPr>
                  <w:r>
                    <w:rPr>
                      <w:color w:val="0000FF"/>
                      <w:szCs w:val="21"/>
                    </w:rPr>
                    <w:t>速率(kg/h)</w:t>
                  </w:r>
                </w:p>
              </w:tc>
              <w:tc>
                <w:tcPr>
                  <w:tcW w:w="778" w:type="dxa"/>
                  <w:vMerge w:val="continue"/>
                  <w:vAlign w:val="center"/>
                </w:tcPr>
                <w:p>
                  <w:pPr>
                    <w:jc w:val="center"/>
                    <w:rPr>
                      <w:color w:val="0000FF"/>
                      <w:szCs w:val="21"/>
                    </w:rPr>
                  </w:pPr>
                </w:p>
              </w:tc>
              <w:tc>
                <w:tcPr>
                  <w:tcW w:w="1166" w:type="dxa"/>
                  <w:vAlign w:val="center"/>
                </w:tcPr>
                <w:p>
                  <w:pPr>
                    <w:jc w:val="center"/>
                    <w:rPr>
                      <w:color w:val="0000FF"/>
                      <w:szCs w:val="21"/>
                    </w:rPr>
                  </w:pPr>
                  <w:r>
                    <w:rPr>
                      <w:color w:val="0000FF"/>
                      <w:szCs w:val="21"/>
                    </w:rPr>
                    <w:t>排放量（t/a）</w:t>
                  </w:r>
                </w:p>
              </w:tc>
              <w:tc>
                <w:tcPr>
                  <w:tcW w:w="915" w:type="dxa"/>
                  <w:vAlign w:val="center"/>
                </w:tcPr>
                <w:p>
                  <w:pPr>
                    <w:jc w:val="center"/>
                    <w:rPr>
                      <w:color w:val="0000FF"/>
                      <w:szCs w:val="21"/>
                    </w:rPr>
                  </w:pPr>
                  <w:r>
                    <w:rPr>
                      <w:color w:val="0000FF"/>
                      <w:szCs w:val="21"/>
                    </w:rPr>
                    <w:t>浓度(mg/m</w:t>
                  </w:r>
                  <w:r>
                    <w:rPr>
                      <w:color w:val="0000FF"/>
                      <w:szCs w:val="21"/>
                      <w:vertAlign w:val="superscript"/>
                    </w:rPr>
                    <w:t>3</w:t>
                  </w:r>
                  <w:r>
                    <w:rPr>
                      <w:color w:val="0000FF"/>
                      <w:szCs w:val="21"/>
                    </w:rPr>
                    <w:t>)</w:t>
                  </w:r>
                </w:p>
              </w:tc>
              <w:tc>
                <w:tcPr>
                  <w:tcW w:w="1056" w:type="dxa"/>
                  <w:vAlign w:val="center"/>
                </w:tcPr>
                <w:p>
                  <w:pPr>
                    <w:jc w:val="center"/>
                    <w:rPr>
                      <w:color w:val="0000FF"/>
                      <w:szCs w:val="21"/>
                    </w:rPr>
                  </w:pPr>
                  <w:r>
                    <w:rPr>
                      <w:color w:val="0000FF"/>
                      <w:szCs w:val="21"/>
                    </w:rPr>
                    <w:t>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436" w:type="dxa"/>
                  <w:vMerge w:val="restart"/>
                  <w:vAlign w:val="center"/>
                </w:tcPr>
                <w:p>
                  <w:pPr>
                    <w:jc w:val="center"/>
                    <w:rPr>
                      <w:color w:val="0000FF"/>
                      <w:szCs w:val="21"/>
                    </w:rPr>
                  </w:pPr>
                  <w:r>
                    <w:rPr>
                      <w:color w:val="0000FF"/>
                      <w:szCs w:val="21"/>
                    </w:rPr>
                    <w:t>机加工</w:t>
                  </w:r>
                </w:p>
              </w:tc>
              <w:tc>
                <w:tcPr>
                  <w:tcW w:w="562" w:type="dxa"/>
                  <w:vAlign w:val="center"/>
                </w:tcPr>
                <w:p>
                  <w:pPr>
                    <w:jc w:val="center"/>
                    <w:rPr>
                      <w:color w:val="0000FF"/>
                      <w:szCs w:val="21"/>
                    </w:rPr>
                  </w:pPr>
                  <w:r>
                    <w:rPr>
                      <w:color w:val="0000FF"/>
                      <w:szCs w:val="21"/>
                    </w:rPr>
                    <w:t>有组织</w:t>
                  </w:r>
                </w:p>
              </w:tc>
              <w:tc>
                <w:tcPr>
                  <w:tcW w:w="805" w:type="dxa"/>
                  <w:vAlign w:val="center"/>
                </w:tcPr>
                <w:p>
                  <w:pPr>
                    <w:jc w:val="center"/>
                    <w:rPr>
                      <w:color w:val="0000FF"/>
                      <w:szCs w:val="21"/>
                    </w:rPr>
                  </w:pPr>
                  <w:r>
                    <w:rPr>
                      <w:color w:val="0000FF"/>
                      <w:szCs w:val="21"/>
                    </w:rPr>
                    <w:t>粉尘</w:t>
                  </w:r>
                </w:p>
              </w:tc>
              <w:tc>
                <w:tcPr>
                  <w:tcW w:w="945" w:type="dxa"/>
                  <w:vAlign w:val="center"/>
                </w:tcPr>
                <w:p>
                  <w:pPr>
                    <w:jc w:val="center"/>
                    <w:rPr>
                      <w:color w:val="0000FF"/>
                      <w:szCs w:val="21"/>
                    </w:rPr>
                  </w:pPr>
                  <w:r>
                    <w:rPr>
                      <w:color w:val="0000FF"/>
                      <w:szCs w:val="21"/>
                    </w:rPr>
                    <w:t>0.072</w:t>
                  </w:r>
                </w:p>
              </w:tc>
              <w:tc>
                <w:tcPr>
                  <w:tcW w:w="882" w:type="dxa"/>
                  <w:vAlign w:val="center"/>
                </w:tcPr>
                <w:p>
                  <w:pPr>
                    <w:jc w:val="center"/>
                    <w:rPr>
                      <w:rFonts w:hint="default" w:eastAsia="宋体"/>
                      <w:color w:val="0000FF"/>
                      <w:szCs w:val="21"/>
                      <w:lang w:val="en-US" w:eastAsia="zh-CN"/>
                    </w:rPr>
                  </w:pPr>
                  <w:r>
                    <w:rPr>
                      <w:rFonts w:hint="eastAsia"/>
                      <w:color w:val="0000FF"/>
                      <w:szCs w:val="21"/>
                      <w:lang w:val="en-US" w:eastAsia="zh-CN"/>
                    </w:rPr>
                    <w:t>30</w:t>
                  </w:r>
                </w:p>
              </w:tc>
              <w:tc>
                <w:tcPr>
                  <w:tcW w:w="862" w:type="dxa"/>
                  <w:vAlign w:val="center"/>
                </w:tcPr>
                <w:p>
                  <w:pPr>
                    <w:jc w:val="center"/>
                    <w:rPr>
                      <w:color w:val="0000FF"/>
                      <w:szCs w:val="21"/>
                    </w:rPr>
                  </w:pPr>
                  <w:r>
                    <w:rPr>
                      <w:color w:val="0000FF"/>
                      <w:szCs w:val="21"/>
                    </w:rPr>
                    <w:t>0.03</w:t>
                  </w:r>
                </w:p>
              </w:tc>
              <w:tc>
                <w:tcPr>
                  <w:tcW w:w="778" w:type="dxa"/>
                  <w:vAlign w:val="center"/>
                </w:tcPr>
                <w:p>
                  <w:pPr>
                    <w:jc w:val="center"/>
                    <w:rPr>
                      <w:rFonts w:hint="default" w:eastAsia="宋体"/>
                      <w:color w:val="0000FF"/>
                      <w:szCs w:val="21"/>
                      <w:lang w:val="en-US" w:eastAsia="zh-CN"/>
                    </w:rPr>
                  </w:pPr>
                  <w:r>
                    <w:rPr>
                      <w:rFonts w:hint="eastAsia"/>
                      <w:color w:val="0000FF"/>
                      <w:szCs w:val="21"/>
                      <w:lang w:val="en-US" w:eastAsia="zh-CN"/>
                    </w:rPr>
                    <w:t>1000</w:t>
                  </w:r>
                </w:p>
              </w:tc>
              <w:tc>
                <w:tcPr>
                  <w:tcW w:w="1166" w:type="dxa"/>
                  <w:vAlign w:val="center"/>
                </w:tcPr>
                <w:p>
                  <w:pPr>
                    <w:jc w:val="center"/>
                    <w:rPr>
                      <w:color w:val="0000FF"/>
                      <w:szCs w:val="21"/>
                    </w:rPr>
                  </w:pPr>
                  <w:r>
                    <w:rPr>
                      <w:color w:val="0000FF"/>
                      <w:szCs w:val="21"/>
                    </w:rPr>
                    <w:t>0.001152</w:t>
                  </w:r>
                </w:p>
              </w:tc>
              <w:tc>
                <w:tcPr>
                  <w:tcW w:w="915" w:type="dxa"/>
                  <w:vAlign w:val="center"/>
                </w:tcPr>
                <w:p>
                  <w:pPr>
                    <w:jc w:val="center"/>
                    <w:rPr>
                      <w:rFonts w:hint="default" w:eastAsia="宋体"/>
                      <w:color w:val="0000FF"/>
                      <w:szCs w:val="21"/>
                      <w:lang w:val="en-US" w:eastAsia="zh-CN"/>
                    </w:rPr>
                  </w:pPr>
                  <w:r>
                    <w:rPr>
                      <w:rFonts w:hint="eastAsia"/>
                      <w:color w:val="0000FF"/>
                      <w:szCs w:val="21"/>
                      <w:lang w:val="en-US" w:eastAsia="zh-CN"/>
                    </w:rPr>
                    <w:t>0.48</w:t>
                  </w:r>
                </w:p>
              </w:tc>
              <w:tc>
                <w:tcPr>
                  <w:tcW w:w="1056" w:type="dxa"/>
                  <w:vAlign w:val="center"/>
                </w:tcPr>
                <w:p>
                  <w:pPr>
                    <w:jc w:val="center"/>
                    <w:rPr>
                      <w:color w:val="0000FF"/>
                      <w:szCs w:val="21"/>
                    </w:rPr>
                  </w:pPr>
                  <w:r>
                    <w:rPr>
                      <w:color w:val="0000FF"/>
                      <w:szCs w:val="21"/>
                    </w:rPr>
                    <w:t>0.00048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436" w:type="dxa"/>
                  <w:vMerge w:val="continue"/>
                  <w:vAlign w:val="center"/>
                </w:tcPr>
                <w:p>
                  <w:pPr>
                    <w:jc w:val="center"/>
                    <w:rPr>
                      <w:color w:val="0000FF"/>
                      <w:szCs w:val="21"/>
                    </w:rPr>
                  </w:pPr>
                </w:p>
              </w:tc>
              <w:tc>
                <w:tcPr>
                  <w:tcW w:w="562" w:type="dxa"/>
                  <w:vAlign w:val="center"/>
                </w:tcPr>
                <w:p>
                  <w:pPr>
                    <w:jc w:val="center"/>
                    <w:rPr>
                      <w:color w:val="0000FF"/>
                      <w:szCs w:val="21"/>
                    </w:rPr>
                  </w:pPr>
                  <w:r>
                    <w:rPr>
                      <w:color w:val="0000FF"/>
                      <w:szCs w:val="21"/>
                    </w:rPr>
                    <w:t>无组织</w:t>
                  </w:r>
                </w:p>
              </w:tc>
              <w:tc>
                <w:tcPr>
                  <w:tcW w:w="805" w:type="dxa"/>
                  <w:vAlign w:val="center"/>
                </w:tcPr>
                <w:p>
                  <w:pPr>
                    <w:jc w:val="center"/>
                    <w:rPr>
                      <w:color w:val="0000FF"/>
                      <w:szCs w:val="21"/>
                    </w:rPr>
                  </w:pPr>
                  <w:r>
                    <w:rPr>
                      <w:color w:val="0000FF"/>
                      <w:szCs w:val="21"/>
                    </w:rPr>
                    <w:t>粉尘</w:t>
                  </w:r>
                </w:p>
              </w:tc>
              <w:tc>
                <w:tcPr>
                  <w:tcW w:w="945" w:type="dxa"/>
                  <w:vAlign w:val="center"/>
                </w:tcPr>
                <w:p>
                  <w:pPr>
                    <w:jc w:val="center"/>
                    <w:rPr>
                      <w:color w:val="0000FF"/>
                      <w:szCs w:val="21"/>
                    </w:rPr>
                  </w:pPr>
                  <w:r>
                    <w:rPr>
                      <w:color w:val="0000FF"/>
                      <w:szCs w:val="21"/>
                    </w:rPr>
                    <w:t>0.018</w:t>
                  </w:r>
                </w:p>
              </w:tc>
              <w:tc>
                <w:tcPr>
                  <w:tcW w:w="882" w:type="dxa"/>
                  <w:vAlign w:val="center"/>
                </w:tcPr>
                <w:p>
                  <w:pPr>
                    <w:jc w:val="center"/>
                    <w:rPr>
                      <w:color w:val="0000FF"/>
                      <w:szCs w:val="21"/>
                    </w:rPr>
                  </w:pPr>
                  <w:r>
                    <w:rPr>
                      <w:color w:val="0000FF"/>
                      <w:szCs w:val="21"/>
                    </w:rPr>
                    <w:t>/</w:t>
                  </w:r>
                </w:p>
              </w:tc>
              <w:tc>
                <w:tcPr>
                  <w:tcW w:w="862" w:type="dxa"/>
                  <w:vAlign w:val="center"/>
                </w:tcPr>
                <w:p>
                  <w:pPr>
                    <w:jc w:val="center"/>
                    <w:rPr>
                      <w:color w:val="0000FF"/>
                      <w:szCs w:val="21"/>
                    </w:rPr>
                  </w:pPr>
                  <w:r>
                    <w:rPr>
                      <w:color w:val="0000FF"/>
                      <w:szCs w:val="21"/>
                    </w:rPr>
                    <w:t>0.0075</w:t>
                  </w:r>
                </w:p>
              </w:tc>
              <w:tc>
                <w:tcPr>
                  <w:tcW w:w="778" w:type="dxa"/>
                  <w:vAlign w:val="center"/>
                </w:tcPr>
                <w:p>
                  <w:pPr>
                    <w:jc w:val="center"/>
                    <w:rPr>
                      <w:color w:val="0000FF"/>
                      <w:szCs w:val="21"/>
                    </w:rPr>
                  </w:pPr>
                  <w:r>
                    <w:rPr>
                      <w:color w:val="0000FF"/>
                      <w:szCs w:val="21"/>
                    </w:rPr>
                    <w:t>/</w:t>
                  </w:r>
                </w:p>
              </w:tc>
              <w:tc>
                <w:tcPr>
                  <w:tcW w:w="1166" w:type="dxa"/>
                  <w:vAlign w:val="center"/>
                </w:tcPr>
                <w:p>
                  <w:pPr>
                    <w:jc w:val="center"/>
                    <w:rPr>
                      <w:color w:val="0000FF"/>
                      <w:szCs w:val="21"/>
                    </w:rPr>
                  </w:pPr>
                  <w:r>
                    <w:rPr>
                      <w:color w:val="0000FF"/>
                      <w:szCs w:val="21"/>
                    </w:rPr>
                    <w:t>0.018</w:t>
                  </w:r>
                </w:p>
              </w:tc>
              <w:tc>
                <w:tcPr>
                  <w:tcW w:w="915" w:type="dxa"/>
                  <w:vAlign w:val="center"/>
                </w:tcPr>
                <w:p>
                  <w:pPr>
                    <w:jc w:val="center"/>
                    <w:rPr>
                      <w:color w:val="0000FF"/>
                      <w:szCs w:val="21"/>
                    </w:rPr>
                  </w:pPr>
                  <w:r>
                    <w:rPr>
                      <w:color w:val="0000FF"/>
                      <w:szCs w:val="21"/>
                    </w:rPr>
                    <w:t>/</w:t>
                  </w:r>
                </w:p>
              </w:tc>
              <w:tc>
                <w:tcPr>
                  <w:tcW w:w="1056" w:type="dxa"/>
                  <w:vAlign w:val="center"/>
                </w:tcPr>
                <w:p>
                  <w:pPr>
                    <w:jc w:val="center"/>
                    <w:rPr>
                      <w:color w:val="0000FF"/>
                      <w:szCs w:val="21"/>
                    </w:rPr>
                  </w:pPr>
                  <w:r>
                    <w:rPr>
                      <w:color w:val="0000FF"/>
                      <w:szCs w:val="21"/>
                    </w:rPr>
                    <w:t>0.0075</w:t>
                  </w:r>
                </w:p>
              </w:tc>
            </w:tr>
          </w:tbl>
          <w:p>
            <w:pPr>
              <w:spacing w:line="360" w:lineRule="auto"/>
              <w:ind w:firstLine="480" w:firstLineChars="200"/>
              <w:rPr>
                <w:sz w:val="24"/>
              </w:rPr>
            </w:pPr>
            <w:r>
              <w:rPr>
                <w:rFonts w:hint="eastAsia" w:ascii="宋体" w:hAnsi="宋体" w:cs="宋体"/>
                <w:sz w:val="24"/>
              </w:rPr>
              <w:t>②</w:t>
            </w:r>
            <w:r>
              <w:rPr>
                <w:rFonts w:hint="eastAsia"/>
                <w:sz w:val="24"/>
              </w:rPr>
              <w:t>喷漆</w:t>
            </w:r>
            <w:r>
              <w:rPr>
                <w:sz w:val="24"/>
              </w:rPr>
              <w:t>车间废气</w:t>
            </w:r>
          </w:p>
          <w:p>
            <w:pPr>
              <w:spacing w:line="360" w:lineRule="auto"/>
              <w:ind w:firstLine="480" w:firstLineChars="200"/>
              <w:rPr>
                <w:sz w:val="24"/>
              </w:rPr>
            </w:pPr>
            <w:r>
              <w:rPr>
                <w:sz w:val="24"/>
              </w:rPr>
              <w:t>根据建设单位提供资料，项目调漆及喷枪清洗均在</w:t>
            </w:r>
            <w:r>
              <w:rPr>
                <w:rFonts w:hint="eastAsia"/>
                <w:sz w:val="24"/>
              </w:rPr>
              <w:t>喷漆房</w:t>
            </w:r>
            <w:r>
              <w:rPr>
                <w:sz w:val="24"/>
              </w:rPr>
              <w:t>内进行，因此，喷漆废气产生量包含调漆废气及喷枪清洗废气量。本项目有</w:t>
            </w:r>
            <w:r>
              <w:rPr>
                <w:rFonts w:hint="eastAsia"/>
                <w:sz w:val="24"/>
              </w:rPr>
              <w:t>3</w:t>
            </w:r>
            <w:r>
              <w:rPr>
                <w:sz w:val="24"/>
              </w:rPr>
              <w:t>间</w:t>
            </w:r>
            <w:r>
              <w:rPr>
                <w:rFonts w:hint="eastAsia"/>
                <w:sz w:val="24"/>
              </w:rPr>
              <w:t>喷漆房</w:t>
            </w:r>
            <w:r>
              <w:rPr>
                <w:sz w:val="24"/>
              </w:rPr>
              <w:t>及配套晾干</w:t>
            </w:r>
            <w:r>
              <w:rPr>
                <w:rFonts w:hint="eastAsia"/>
                <w:sz w:val="24"/>
              </w:rPr>
              <w:t>区</w:t>
            </w:r>
            <w:r>
              <w:rPr>
                <w:sz w:val="24"/>
              </w:rPr>
              <w:t>。</w:t>
            </w:r>
          </w:p>
          <w:p>
            <w:pPr>
              <w:spacing w:line="360" w:lineRule="auto"/>
              <w:ind w:firstLine="480" w:firstLineChars="200"/>
              <w:rPr>
                <w:sz w:val="24"/>
              </w:rPr>
            </w:pPr>
            <w:r>
              <w:rPr>
                <w:rFonts w:hint="eastAsia"/>
                <w:sz w:val="24"/>
              </w:rPr>
              <w:t>喷漆房</w:t>
            </w:r>
            <w:r>
              <w:rPr>
                <w:sz w:val="24"/>
              </w:rPr>
              <w:t>的工作时间段一般为8:00~12:00，14:00~18:00（根据订单及产量要求确定时间段），根据实际情况，平均工作时间为8小时/天。</w:t>
            </w:r>
          </w:p>
          <w:p>
            <w:pPr>
              <w:spacing w:line="360" w:lineRule="auto"/>
              <w:ind w:firstLine="480" w:firstLineChars="200"/>
              <w:rPr>
                <w:sz w:val="24"/>
              </w:rPr>
            </w:pPr>
            <w:r>
              <w:rPr>
                <w:rFonts w:hint="eastAsia"/>
                <w:sz w:val="24"/>
              </w:rPr>
              <w:t>根据业主提供资料，3个喷漆房</w:t>
            </w:r>
            <w:r>
              <w:rPr>
                <w:sz w:val="24"/>
              </w:rPr>
              <w:t>有机溶剂</w:t>
            </w:r>
            <w:r>
              <w:rPr>
                <w:rFonts w:hint="eastAsia"/>
                <w:sz w:val="24"/>
              </w:rPr>
              <w:t>使用量按一致计算，则每间喷漆房</w:t>
            </w:r>
            <w:r>
              <w:rPr>
                <w:sz w:val="24"/>
              </w:rPr>
              <w:t>使用有机溶剂</w:t>
            </w:r>
            <w:r>
              <w:rPr>
                <w:rFonts w:hint="eastAsia"/>
                <w:sz w:val="24"/>
              </w:rPr>
              <w:t>量为PU漆1.243t/a、PU溶剂0.5t/a，</w:t>
            </w:r>
            <w:r>
              <w:rPr>
                <w:sz w:val="24"/>
              </w:rPr>
              <w:t>使用有机溶剂</w:t>
            </w:r>
            <w:r>
              <w:rPr>
                <w:rFonts w:hint="eastAsia"/>
                <w:sz w:val="24"/>
              </w:rPr>
              <w:t>总量为PU漆3.73t/a、PU溶剂1.5t/a，</w:t>
            </w:r>
            <w:r>
              <w:rPr>
                <w:sz w:val="24"/>
              </w:rPr>
              <w:t>主要污染物占比情况详见表</w:t>
            </w:r>
            <w:r>
              <w:rPr>
                <w:rFonts w:hint="eastAsia"/>
                <w:sz w:val="24"/>
              </w:rPr>
              <w:t>4-</w:t>
            </w:r>
            <w:r>
              <w:rPr>
                <w:sz w:val="24"/>
              </w:rPr>
              <w:t>4</w:t>
            </w:r>
            <w:r>
              <w:rPr>
                <w:rFonts w:hint="eastAsia"/>
                <w:sz w:val="24"/>
              </w:rPr>
              <w:t>。</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表4-4  项目涂料物料各成分占比情况一览表</w:t>
            </w:r>
          </w:p>
          <w:tbl>
            <w:tblPr>
              <w:tblStyle w:val="34"/>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370"/>
              <w:gridCol w:w="1493"/>
              <w:gridCol w:w="1590"/>
              <w:gridCol w:w="1404"/>
              <w:gridCol w:w="14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0" w:type="dxa"/>
                  <w:tcBorders>
                    <w:tl2br w:val="nil"/>
                    <w:tr2bl w:val="nil"/>
                  </w:tcBorders>
                  <w:vAlign w:val="center"/>
                </w:tcPr>
                <w:p>
                  <w:pPr>
                    <w:spacing w:line="340" w:lineRule="exact"/>
                    <w:jc w:val="center"/>
                  </w:pPr>
                  <w:r>
                    <w:t>产品</w:t>
                  </w:r>
                </w:p>
              </w:tc>
              <w:tc>
                <w:tcPr>
                  <w:tcW w:w="1370" w:type="dxa"/>
                  <w:tcBorders>
                    <w:tl2br w:val="nil"/>
                    <w:tr2bl w:val="nil"/>
                  </w:tcBorders>
                  <w:vAlign w:val="center"/>
                </w:tcPr>
                <w:p>
                  <w:pPr>
                    <w:spacing w:line="340" w:lineRule="exact"/>
                    <w:jc w:val="center"/>
                  </w:pPr>
                  <w:r>
                    <w:t>年用量（t）</w:t>
                  </w:r>
                </w:p>
              </w:tc>
              <w:tc>
                <w:tcPr>
                  <w:tcW w:w="1493" w:type="dxa"/>
                  <w:tcBorders>
                    <w:tl2br w:val="nil"/>
                    <w:tr2bl w:val="nil"/>
                  </w:tcBorders>
                  <w:vAlign w:val="center"/>
                </w:tcPr>
                <w:p>
                  <w:pPr>
                    <w:spacing w:line="340" w:lineRule="exact"/>
                    <w:jc w:val="center"/>
                  </w:pPr>
                  <w:r>
                    <w:rPr>
                      <w:rFonts w:hint="eastAsia"/>
                    </w:rPr>
                    <w:t>TVOC</w:t>
                  </w:r>
                  <w:r>
                    <w:t>（%）</w:t>
                  </w:r>
                </w:p>
              </w:tc>
              <w:tc>
                <w:tcPr>
                  <w:tcW w:w="1590" w:type="dxa"/>
                  <w:tcBorders>
                    <w:tl2br w:val="nil"/>
                    <w:tr2bl w:val="nil"/>
                  </w:tcBorders>
                  <w:vAlign w:val="center"/>
                </w:tcPr>
                <w:p>
                  <w:pPr>
                    <w:spacing w:line="340" w:lineRule="exact"/>
                    <w:jc w:val="center"/>
                  </w:pPr>
                  <w:r>
                    <w:t>甲苯</w:t>
                  </w:r>
                  <w:r>
                    <w:rPr>
                      <w:rFonts w:hint="eastAsia"/>
                    </w:rPr>
                    <w:t>及二甲苯</w:t>
                  </w:r>
                  <w:r>
                    <w:t>（%）</w:t>
                  </w:r>
                </w:p>
              </w:tc>
              <w:tc>
                <w:tcPr>
                  <w:tcW w:w="1404" w:type="dxa"/>
                  <w:tcBorders>
                    <w:tl2br w:val="nil"/>
                    <w:tr2bl w:val="nil"/>
                  </w:tcBorders>
                  <w:vAlign w:val="center"/>
                </w:tcPr>
                <w:p>
                  <w:pPr>
                    <w:spacing w:line="340" w:lineRule="exact"/>
                    <w:jc w:val="center"/>
                  </w:pPr>
                  <w:r>
                    <w:t>固体分（%）</w:t>
                  </w:r>
                </w:p>
              </w:tc>
              <w:tc>
                <w:tcPr>
                  <w:tcW w:w="1405" w:type="dxa"/>
                  <w:tcBorders>
                    <w:tl2br w:val="nil"/>
                    <w:tr2bl w:val="nil"/>
                  </w:tcBorders>
                  <w:vAlign w:val="center"/>
                </w:tcPr>
                <w:p>
                  <w:pPr>
                    <w:spacing w:line="340" w:lineRule="exact"/>
                    <w:jc w:val="center"/>
                  </w:pPr>
                  <w:r>
                    <w:rPr>
                      <w:rFonts w:hint="eastAsia"/>
                    </w:rPr>
                    <w:t>水分</w:t>
                  </w: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0" w:type="dxa"/>
                  <w:tcBorders>
                    <w:tl2br w:val="nil"/>
                    <w:tr2bl w:val="nil"/>
                  </w:tcBorders>
                  <w:vAlign w:val="center"/>
                </w:tcPr>
                <w:p>
                  <w:pPr>
                    <w:spacing w:line="340" w:lineRule="exact"/>
                    <w:jc w:val="center"/>
                  </w:pPr>
                  <w:r>
                    <w:rPr>
                      <w:rFonts w:hint="eastAsia"/>
                    </w:rPr>
                    <w:t>PU漆</w:t>
                  </w:r>
                </w:p>
              </w:tc>
              <w:tc>
                <w:tcPr>
                  <w:tcW w:w="1370" w:type="dxa"/>
                  <w:tcBorders>
                    <w:tl2br w:val="nil"/>
                    <w:tr2bl w:val="nil"/>
                  </w:tcBorders>
                  <w:vAlign w:val="center"/>
                </w:tcPr>
                <w:p>
                  <w:pPr>
                    <w:spacing w:line="340" w:lineRule="exact"/>
                    <w:jc w:val="center"/>
                  </w:pPr>
                  <w:r>
                    <w:rPr>
                      <w:rFonts w:hint="eastAsia"/>
                    </w:rPr>
                    <w:t>3.73</w:t>
                  </w:r>
                </w:p>
              </w:tc>
              <w:tc>
                <w:tcPr>
                  <w:tcW w:w="1493" w:type="dxa"/>
                  <w:tcBorders>
                    <w:tl2br w:val="nil"/>
                    <w:tr2bl w:val="nil"/>
                  </w:tcBorders>
                  <w:vAlign w:val="center"/>
                </w:tcPr>
                <w:p>
                  <w:pPr>
                    <w:spacing w:line="340" w:lineRule="exact"/>
                    <w:jc w:val="center"/>
                  </w:pPr>
                  <w:r>
                    <w:rPr>
                      <w:rFonts w:hint="eastAsia"/>
                    </w:rPr>
                    <w:t>52.74</w:t>
                  </w:r>
                </w:p>
              </w:tc>
              <w:tc>
                <w:tcPr>
                  <w:tcW w:w="1590" w:type="dxa"/>
                  <w:tcBorders>
                    <w:tl2br w:val="nil"/>
                    <w:tr2bl w:val="nil"/>
                  </w:tcBorders>
                  <w:vAlign w:val="center"/>
                </w:tcPr>
                <w:p>
                  <w:pPr>
                    <w:spacing w:line="340" w:lineRule="exact"/>
                    <w:jc w:val="center"/>
                  </w:pPr>
                  <w:r>
                    <w:rPr>
                      <w:rFonts w:hint="eastAsia"/>
                    </w:rPr>
                    <w:t>12</w:t>
                  </w:r>
                </w:p>
              </w:tc>
              <w:tc>
                <w:tcPr>
                  <w:tcW w:w="1404" w:type="dxa"/>
                  <w:tcBorders>
                    <w:tl2br w:val="nil"/>
                    <w:tr2bl w:val="nil"/>
                  </w:tcBorders>
                  <w:vAlign w:val="center"/>
                </w:tcPr>
                <w:p>
                  <w:pPr>
                    <w:spacing w:line="340" w:lineRule="exact"/>
                    <w:jc w:val="center"/>
                  </w:pPr>
                  <w:r>
                    <w:rPr>
                      <w:rFonts w:hint="eastAsia"/>
                    </w:rPr>
                    <w:t>47.26</w:t>
                  </w:r>
                </w:p>
              </w:tc>
              <w:tc>
                <w:tcPr>
                  <w:tcW w:w="1405" w:type="dxa"/>
                  <w:tcBorders>
                    <w:tl2br w:val="nil"/>
                    <w:tr2bl w:val="nil"/>
                  </w:tcBorders>
                  <w:vAlign w:val="center"/>
                </w:tcPr>
                <w:p>
                  <w:pPr>
                    <w:spacing w:line="340" w:lineRule="exact"/>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0" w:type="dxa"/>
                  <w:tcBorders>
                    <w:tl2br w:val="nil"/>
                    <w:tr2bl w:val="nil"/>
                  </w:tcBorders>
                  <w:vAlign w:val="center"/>
                </w:tcPr>
                <w:p>
                  <w:pPr>
                    <w:spacing w:line="340" w:lineRule="exact"/>
                    <w:jc w:val="center"/>
                  </w:pPr>
                  <w:r>
                    <w:rPr>
                      <w:rFonts w:hint="eastAsia"/>
                    </w:rPr>
                    <w:t>PU溶剂</w:t>
                  </w:r>
                </w:p>
              </w:tc>
              <w:tc>
                <w:tcPr>
                  <w:tcW w:w="1370" w:type="dxa"/>
                  <w:tcBorders>
                    <w:tl2br w:val="nil"/>
                    <w:tr2bl w:val="nil"/>
                  </w:tcBorders>
                  <w:vAlign w:val="center"/>
                </w:tcPr>
                <w:p>
                  <w:pPr>
                    <w:spacing w:line="340" w:lineRule="exact"/>
                    <w:jc w:val="center"/>
                  </w:pPr>
                  <w:r>
                    <w:rPr>
                      <w:rFonts w:hint="eastAsia"/>
                    </w:rPr>
                    <w:t>1.5</w:t>
                  </w:r>
                </w:p>
              </w:tc>
              <w:tc>
                <w:tcPr>
                  <w:tcW w:w="1493" w:type="dxa"/>
                  <w:tcBorders>
                    <w:tl2br w:val="nil"/>
                    <w:tr2bl w:val="nil"/>
                  </w:tcBorders>
                  <w:vAlign w:val="center"/>
                </w:tcPr>
                <w:p>
                  <w:pPr>
                    <w:spacing w:line="340" w:lineRule="exact"/>
                    <w:jc w:val="center"/>
                  </w:pPr>
                  <w:r>
                    <w:rPr>
                      <w:rFonts w:hint="eastAsia"/>
                    </w:rPr>
                    <w:t>100</w:t>
                  </w:r>
                </w:p>
              </w:tc>
              <w:tc>
                <w:tcPr>
                  <w:tcW w:w="1590" w:type="dxa"/>
                  <w:tcBorders>
                    <w:tl2br w:val="nil"/>
                    <w:tr2bl w:val="nil"/>
                  </w:tcBorders>
                  <w:vAlign w:val="center"/>
                </w:tcPr>
                <w:p>
                  <w:pPr>
                    <w:spacing w:line="340" w:lineRule="exact"/>
                    <w:jc w:val="center"/>
                  </w:pPr>
                  <w:r>
                    <w:rPr>
                      <w:rFonts w:hint="eastAsia"/>
                    </w:rPr>
                    <w:t>26</w:t>
                  </w:r>
                </w:p>
              </w:tc>
              <w:tc>
                <w:tcPr>
                  <w:tcW w:w="1404" w:type="dxa"/>
                  <w:tcBorders>
                    <w:tl2br w:val="nil"/>
                    <w:tr2bl w:val="nil"/>
                  </w:tcBorders>
                  <w:vAlign w:val="center"/>
                </w:tcPr>
                <w:p>
                  <w:pPr>
                    <w:spacing w:line="340" w:lineRule="exact"/>
                    <w:jc w:val="center"/>
                  </w:pPr>
                  <w:r>
                    <w:rPr>
                      <w:rFonts w:hint="eastAsia"/>
                    </w:rPr>
                    <w:t>0</w:t>
                  </w:r>
                </w:p>
              </w:tc>
              <w:tc>
                <w:tcPr>
                  <w:tcW w:w="1405" w:type="dxa"/>
                  <w:tcBorders>
                    <w:tl2br w:val="nil"/>
                    <w:tr2bl w:val="nil"/>
                  </w:tcBorders>
                  <w:vAlign w:val="center"/>
                </w:tcPr>
                <w:p>
                  <w:pPr>
                    <w:spacing w:line="340" w:lineRule="exact"/>
                    <w:jc w:val="center"/>
                  </w:pPr>
                  <w:r>
                    <w:rPr>
                      <w:rFonts w:hint="eastAsia"/>
                    </w:rPr>
                    <w:t>/</w:t>
                  </w:r>
                </w:p>
              </w:tc>
            </w:tr>
          </w:tbl>
          <w:p>
            <w:pPr>
              <w:spacing w:after="120" w:afterLines="50"/>
              <w:ind w:firstLine="420" w:firstLineChars="200"/>
            </w:pPr>
            <w:r>
              <w:rPr>
                <w:rFonts w:hint="eastAsia"/>
              </w:rPr>
              <w:t>注：TVOC包含甲苯及二甲苯。</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喷漆房产生的废气，采用工作台局部抽风，喷漆房统一抽风，每个喷漆房废气经自己的处理措施进行治理。喷漆不设窗，进出门采用双向式的密封大门，房内设微负压，通过风机进行车间抽风。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每个喷漆房设置一个水帘漆雾净化系统，采用局部抽送风的方式，将有机废气吸入各个喷漆房的水帘漆雾净化系统中，去除漆雾，每个喷漆房最后抽风经各自设置的二级活性炭吸附去除有机废气。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水帘吸收漆雾效果按90%。项目上漆效率按70%计，项目产生有机废气按全部挥发计，其中调漆过程中约挥发5%；喷枪清洗过程约挥发1%；喷漆过程中约挥发40%；晾干工程中挥发54%。</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1)调漆废气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建设单位提供资料，项目喷漆过程中，油漆存放于原料仓库，按每天使用量按需提取，项目不设置调漆室，提取后于喷漆车间内进行调漆，由人工搅拌均匀，由于调漆时间较短，挥发产生的有机废气较少且并入喷漆房配套的废气处理装置一并处理，调漆过程中有机废气约挥发5%，则调漆过程TVOC产生量为0.173t/a，甲苯及二甲苯产生量为0.042t/a。</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2)喷枪清洗废气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根据建设单位提供资料，</w:t>
            </w:r>
            <w:r>
              <w:rPr>
                <w:rFonts w:hint="eastAsia"/>
                <w:color w:val="000000" w:themeColor="text1"/>
                <w:sz w:val="24"/>
                <w:lang w:eastAsia="zh-CN"/>
                <w14:textFill>
                  <w14:solidFill>
                    <w14:schemeClr w14:val="tx1"/>
                  </w14:solidFill>
                </w14:textFill>
              </w:rPr>
              <w:t>项目</w:t>
            </w:r>
            <w:r>
              <w:rPr>
                <w:rFonts w:hint="eastAsia"/>
                <w:color w:val="000000" w:themeColor="text1"/>
                <w:sz w:val="24"/>
                <w14:textFill>
                  <w14:solidFill>
                    <w14:schemeClr w14:val="tx1"/>
                  </w14:solidFill>
                </w14:textFill>
              </w:rPr>
              <w:t>喷漆房每天均对喷枪进行清洗。清洗液为稀释剂，清洗时只需把喷枪喷头伸入稀释液里，喷枪进行空喷即可完成清洗，因此，清洗液回用于喷漆房内调漆及喷漆工序，不外排；产生废气统一由喷漆房收集系统收集。喷枪清洗过程中有机废气约挥发1%，则喷枪清洗过程TVOC产生量为0.035t/a，甲苯及二甲苯产生量为0.0084t/a。</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3)喷漆废气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项目上漆效率按70%计，车间负压收集效率为90%，水帘吸收漆雾效果按90%</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喷枪过程中有机废气约挥发40%，则喷漆过程TVOC产生量</w:t>
            </w:r>
            <w:r>
              <w:rPr>
                <w:rFonts w:hint="eastAsia"/>
                <w:color w:val="000000" w:themeColor="text1"/>
                <w:sz w:val="24"/>
                <w:lang w:eastAsia="zh-CN"/>
                <w14:textFill>
                  <w14:solidFill>
                    <w14:schemeClr w14:val="tx1"/>
                  </w14:solidFill>
                </w14:textFill>
              </w:rPr>
              <w:t>约</w:t>
            </w:r>
            <w:r>
              <w:rPr>
                <w:rFonts w:hint="eastAsia"/>
                <w:color w:val="000000" w:themeColor="text1"/>
                <w:sz w:val="24"/>
                <w14:textFill>
                  <w14:solidFill>
                    <w14:schemeClr w14:val="tx1"/>
                  </w14:solidFill>
                </w14:textFill>
              </w:rPr>
              <w:t>为1.39t/a，甲苯及二甲苯产生量为0.335t/a，漆雾产生量为0.529t/a。</w:t>
            </w:r>
          </w:p>
          <w:p>
            <w:pPr>
              <w:spacing w:line="360" w:lineRule="auto"/>
              <w:ind w:firstLine="480" w:firstLineChars="200"/>
              <w:rPr>
                <w:sz w:val="24"/>
              </w:rPr>
            </w:pPr>
            <w:r>
              <w:rPr>
                <w:rFonts w:hint="eastAsia"/>
                <w:sz w:val="24"/>
              </w:rPr>
              <w:t>4)晾干废气</w:t>
            </w:r>
          </w:p>
          <w:p>
            <w:pPr>
              <w:spacing w:line="360" w:lineRule="auto"/>
              <w:ind w:firstLine="480" w:firstLineChars="200"/>
              <w:rPr>
                <w:sz w:val="24"/>
              </w:rPr>
            </w:pPr>
            <w:r>
              <w:rPr>
                <w:sz w:val="24"/>
              </w:rPr>
              <w:t>家具喷漆后，</w:t>
            </w:r>
            <w:r>
              <w:rPr>
                <w:rFonts w:hint="eastAsia"/>
                <w:sz w:val="24"/>
                <w:lang w:eastAsia="zh-CN"/>
              </w:rPr>
              <w:t>于</w:t>
            </w:r>
            <w:r>
              <w:rPr>
                <w:sz w:val="24"/>
              </w:rPr>
              <w:t>晾干</w:t>
            </w:r>
            <w:r>
              <w:rPr>
                <w:rFonts w:hint="eastAsia"/>
                <w:sz w:val="24"/>
              </w:rPr>
              <w:t>区</w:t>
            </w:r>
            <w:r>
              <w:rPr>
                <w:sz w:val="24"/>
              </w:rPr>
              <w:t>晾干，晾干过程有机废气约挥发54%，则晾干过程</w:t>
            </w:r>
            <w:r>
              <w:rPr>
                <w:rFonts w:hint="eastAsia"/>
                <w:sz w:val="24"/>
              </w:rPr>
              <w:t>TVOC</w:t>
            </w:r>
            <w:r>
              <w:rPr>
                <w:sz w:val="24"/>
              </w:rPr>
              <w:t>产生量为</w:t>
            </w:r>
            <w:r>
              <w:rPr>
                <w:rFonts w:hint="eastAsia"/>
                <w:sz w:val="24"/>
              </w:rPr>
              <w:t>1.87</w:t>
            </w:r>
            <w:r>
              <w:rPr>
                <w:sz w:val="24"/>
              </w:rPr>
              <w:t>t/a，</w:t>
            </w:r>
            <w:r>
              <w:rPr>
                <w:rFonts w:hint="eastAsia"/>
                <w:sz w:val="24"/>
              </w:rPr>
              <w:t>甲苯及二甲苯</w:t>
            </w:r>
            <w:r>
              <w:rPr>
                <w:sz w:val="24"/>
              </w:rPr>
              <w:t>产生量为</w:t>
            </w:r>
            <w:r>
              <w:rPr>
                <w:rFonts w:hint="eastAsia"/>
                <w:sz w:val="24"/>
              </w:rPr>
              <w:t>0.45</w:t>
            </w:r>
            <w:r>
              <w:rPr>
                <w:sz w:val="24"/>
              </w:rPr>
              <w:t>t/a。</w:t>
            </w:r>
          </w:p>
          <w:p>
            <w:pPr>
              <w:pStyle w:val="2"/>
              <w:rPr>
                <w:szCs w:val="24"/>
              </w:rPr>
            </w:pPr>
            <w:r>
              <w:rPr>
                <w:rFonts w:hint="eastAsia"/>
                <w:szCs w:val="24"/>
              </w:rPr>
              <w:t>项目油漆涂料物料平衡见表4-</w:t>
            </w:r>
            <w:r>
              <w:rPr>
                <w:szCs w:val="24"/>
              </w:rPr>
              <w:t>5</w:t>
            </w:r>
            <w:r>
              <w:rPr>
                <w:rFonts w:hint="eastAsia"/>
                <w:szCs w:val="24"/>
              </w:rPr>
              <w:t>。</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表4-5 项目油漆涂料物料平衡表 （单位：t/a）</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907"/>
              <w:gridCol w:w="1680"/>
              <w:gridCol w:w="1171"/>
              <w:gridCol w:w="89"/>
              <w:gridCol w:w="1396"/>
              <w:gridCol w:w="12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名称</w:t>
                  </w:r>
                </w:p>
              </w:tc>
              <w:tc>
                <w:tcPr>
                  <w:tcW w:w="539" w:type="pct"/>
                  <w:noWrap/>
                  <w:vAlign w:val="center"/>
                </w:tcPr>
                <w:p>
                  <w:pPr>
                    <w:spacing w:line="340" w:lineRule="exact"/>
                    <w:jc w:val="center"/>
                  </w:pPr>
                  <w:r>
                    <w:rPr>
                      <w:rFonts w:hint="eastAsia"/>
                    </w:rPr>
                    <w:t>投入量</w:t>
                  </w:r>
                </w:p>
              </w:tc>
              <w:tc>
                <w:tcPr>
                  <w:tcW w:w="998" w:type="pct"/>
                  <w:noWrap/>
                  <w:vAlign w:val="center"/>
                </w:tcPr>
                <w:p>
                  <w:pPr>
                    <w:spacing w:line="340" w:lineRule="exact"/>
                    <w:jc w:val="center"/>
                  </w:pPr>
                  <w:r>
                    <w:rPr>
                      <w:rFonts w:hint="eastAsia"/>
                    </w:rPr>
                    <w:t>去向</w:t>
                  </w:r>
                </w:p>
              </w:tc>
              <w:tc>
                <w:tcPr>
                  <w:tcW w:w="1578" w:type="pct"/>
                  <w:gridSpan w:val="3"/>
                  <w:noWrap/>
                  <w:vAlign w:val="center"/>
                </w:tcPr>
                <w:p>
                  <w:pPr>
                    <w:spacing w:line="340" w:lineRule="exact"/>
                    <w:jc w:val="center"/>
                  </w:pPr>
                  <w:r>
                    <w:rPr>
                      <w:rFonts w:hint="eastAsia"/>
                    </w:rPr>
                    <w:t>名称</w:t>
                  </w:r>
                </w:p>
              </w:tc>
              <w:tc>
                <w:tcPr>
                  <w:tcW w:w="747" w:type="pct"/>
                  <w:noWrap/>
                  <w:vAlign w:val="center"/>
                </w:tcPr>
                <w:p>
                  <w:pPr>
                    <w:spacing w:line="340" w:lineRule="exact"/>
                    <w:jc w:val="center"/>
                  </w:pPr>
                  <w:r>
                    <w:rPr>
                      <w:rFonts w:hint="eastAsia"/>
                    </w:rPr>
                    <w:t>产出量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PU漆</w:t>
                  </w:r>
                </w:p>
              </w:tc>
              <w:tc>
                <w:tcPr>
                  <w:tcW w:w="539" w:type="pct"/>
                  <w:noWrap/>
                  <w:vAlign w:val="center"/>
                </w:tcPr>
                <w:p>
                  <w:pPr>
                    <w:spacing w:line="340" w:lineRule="exact"/>
                    <w:jc w:val="center"/>
                  </w:pPr>
                  <w:r>
                    <w:rPr>
                      <w:rFonts w:hint="eastAsia"/>
                    </w:rPr>
                    <w:t>3.73</w:t>
                  </w:r>
                </w:p>
              </w:tc>
              <w:tc>
                <w:tcPr>
                  <w:tcW w:w="998" w:type="pct"/>
                  <w:noWrap/>
                  <w:vAlign w:val="center"/>
                </w:tcPr>
                <w:p>
                  <w:pPr>
                    <w:spacing w:line="340" w:lineRule="exact"/>
                    <w:jc w:val="center"/>
                  </w:pPr>
                  <w:r>
                    <w:rPr>
                      <w:rFonts w:hint="eastAsia"/>
                    </w:rPr>
                    <w:t>进入产品</w:t>
                  </w:r>
                </w:p>
              </w:tc>
              <w:tc>
                <w:tcPr>
                  <w:tcW w:w="1578" w:type="pct"/>
                  <w:gridSpan w:val="3"/>
                  <w:noWrap/>
                  <w:vAlign w:val="center"/>
                </w:tcPr>
                <w:p>
                  <w:pPr>
                    <w:spacing w:line="340" w:lineRule="exact"/>
                    <w:jc w:val="center"/>
                  </w:pPr>
                  <w:r>
                    <w:rPr>
                      <w:rFonts w:hint="eastAsia"/>
                    </w:rPr>
                    <w:t>附着工件</w:t>
                  </w:r>
                </w:p>
              </w:tc>
              <w:tc>
                <w:tcPr>
                  <w:tcW w:w="747" w:type="pct"/>
                  <w:noWrap/>
                  <w:vAlign w:val="center"/>
                </w:tcPr>
                <w:p>
                  <w:pPr>
                    <w:spacing w:line="340" w:lineRule="exact"/>
                    <w:jc w:val="center"/>
                  </w:pPr>
                  <w:r>
                    <w:rPr>
                      <w:rFonts w:hint="eastAsia"/>
                    </w:rPr>
                    <w:t>1.23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PU稀释剂</w:t>
                  </w:r>
                </w:p>
              </w:tc>
              <w:tc>
                <w:tcPr>
                  <w:tcW w:w="539" w:type="pct"/>
                  <w:noWrap/>
                  <w:vAlign w:val="center"/>
                </w:tcPr>
                <w:p>
                  <w:pPr>
                    <w:spacing w:line="340" w:lineRule="exact"/>
                    <w:jc w:val="center"/>
                  </w:pPr>
                  <w:r>
                    <w:rPr>
                      <w:rFonts w:hint="eastAsia"/>
                    </w:rPr>
                    <w:t>1.5</w:t>
                  </w:r>
                </w:p>
              </w:tc>
              <w:tc>
                <w:tcPr>
                  <w:tcW w:w="998" w:type="pct"/>
                  <w:vMerge w:val="restart"/>
                  <w:vAlign w:val="center"/>
                </w:tcPr>
                <w:p>
                  <w:pPr>
                    <w:spacing w:line="340" w:lineRule="exact"/>
                    <w:jc w:val="center"/>
                  </w:pPr>
                  <w:r>
                    <w:rPr>
                      <w:rFonts w:hint="eastAsia"/>
                    </w:rPr>
                    <w:t>排气筒排放</w:t>
                  </w:r>
                </w:p>
              </w:tc>
              <w:tc>
                <w:tcPr>
                  <w:tcW w:w="1578" w:type="pct"/>
                  <w:gridSpan w:val="3"/>
                  <w:noWrap/>
                  <w:vAlign w:val="center"/>
                </w:tcPr>
                <w:p>
                  <w:pPr>
                    <w:spacing w:line="340" w:lineRule="exact"/>
                    <w:jc w:val="center"/>
                  </w:pPr>
                  <w:r>
                    <w:rPr>
                      <w:rFonts w:hint="eastAsia"/>
                    </w:rPr>
                    <w:t>漆雾</w:t>
                  </w:r>
                </w:p>
              </w:tc>
              <w:tc>
                <w:tcPr>
                  <w:tcW w:w="747" w:type="pct"/>
                  <w:noWrap/>
                  <w:vAlign w:val="center"/>
                </w:tcPr>
                <w:p>
                  <w:pPr>
                    <w:spacing w:line="340" w:lineRule="exact"/>
                    <w:jc w:val="center"/>
                  </w:pPr>
                  <w:r>
                    <w:rPr>
                      <w:rFonts w:hint="eastAsia"/>
                    </w:rPr>
                    <w:t>0.0477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1578" w:type="pct"/>
                  <w:gridSpan w:val="3"/>
                  <w:noWrap/>
                  <w:vAlign w:val="center"/>
                </w:tcPr>
                <w:p>
                  <w:pPr>
                    <w:spacing w:line="340" w:lineRule="exact"/>
                    <w:jc w:val="center"/>
                  </w:pPr>
                  <w:r>
                    <w:rPr>
                      <w:rFonts w:hint="eastAsia"/>
                    </w:rPr>
                    <w:t>TVOC</w:t>
                  </w:r>
                </w:p>
              </w:tc>
              <w:tc>
                <w:tcPr>
                  <w:tcW w:w="747" w:type="pct"/>
                  <w:noWrap/>
                  <w:vAlign w:val="center"/>
                </w:tcPr>
                <w:p>
                  <w:pPr>
                    <w:spacing w:line="340" w:lineRule="exact"/>
                    <w:jc w:val="center"/>
                    <w:rPr>
                      <w:rFonts w:hint="default" w:eastAsia="宋体"/>
                      <w:lang w:val="en-US" w:eastAsia="zh-CN"/>
                    </w:rPr>
                  </w:pPr>
                  <w:r>
                    <w:rPr>
                      <w:rFonts w:hint="eastAsia"/>
                      <w:lang w:val="en-US" w:eastAsia="zh-CN"/>
                    </w:rPr>
                    <w:t>1.56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748" w:type="pct"/>
                  <w:gridSpan w:val="2"/>
                  <w:vMerge w:val="restart"/>
                  <w:noWrap/>
                  <w:vAlign w:val="center"/>
                </w:tcPr>
                <w:p>
                  <w:pPr>
                    <w:spacing w:line="340" w:lineRule="exact"/>
                    <w:jc w:val="center"/>
                  </w:pPr>
                  <w:r>
                    <w:rPr>
                      <w:rFonts w:hint="eastAsia"/>
                    </w:rPr>
                    <w:t>其中</w:t>
                  </w:r>
                </w:p>
              </w:tc>
              <w:tc>
                <w:tcPr>
                  <w:tcW w:w="829" w:type="pct"/>
                  <w:vMerge w:val="restart"/>
                  <w:vAlign w:val="center"/>
                </w:tcPr>
                <w:p>
                  <w:pPr>
                    <w:spacing w:line="340" w:lineRule="exact"/>
                    <w:jc w:val="center"/>
                  </w:pPr>
                  <w:r>
                    <w:rPr>
                      <w:rFonts w:hint="eastAsia"/>
                    </w:rPr>
                    <w:t>甲苯及二甲苯</w:t>
                  </w:r>
                </w:p>
              </w:tc>
              <w:tc>
                <w:tcPr>
                  <w:tcW w:w="747" w:type="pct"/>
                  <w:vMerge w:val="restart"/>
                  <w:noWrap/>
                  <w:vAlign w:val="center"/>
                </w:tcPr>
                <w:p>
                  <w:pPr>
                    <w:spacing w:line="340" w:lineRule="exact"/>
                    <w:jc w:val="center"/>
                    <w:rPr>
                      <w:rFonts w:hint="default" w:eastAsia="宋体"/>
                      <w:lang w:val="en-US" w:eastAsia="zh-CN"/>
                    </w:rPr>
                  </w:pPr>
                  <w:r>
                    <w:rPr>
                      <w:rFonts w:hint="eastAsia"/>
                      <w:lang w:val="en-US" w:eastAsia="zh-CN"/>
                    </w:rPr>
                    <w:t>0.375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748" w:type="pct"/>
                  <w:gridSpan w:val="2"/>
                  <w:vMerge w:val="continue"/>
                  <w:noWrap/>
                  <w:vAlign w:val="center"/>
                </w:tcPr>
                <w:p>
                  <w:pPr>
                    <w:spacing w:line="340" w:lineRule="exact"/>
                    <w:jc w:val="center"/>
                  </w:pPr>
                </w:p>
              </w:tc>
              <w:tc>
                <w:tcPr>
                  <w:tcW w:w="829" w:type="pct"/>
                  <w:vMerge w:val="continue"/>
                  <w:vAlign w:val="center"/>
                </w:tcPr>
                <w:p>
                  <w:pPr>
                    <w:spacing w:line="340" w:lineRule="exact"/>
                    <w:jc w:val="center"/>
                  </w:pPr>
                </w:p>
              </w:tc>
              <w:tc>
                <w:tcPr>
                  <w:tcW w:w="747" w:type="pct"/>
                  <w:vMerge w:val="continue"/>
                  <w:noWrap/>
                  <w:vAlign w:val="center"/>
                </w:tcPr>
                <w:p>
                  <w:pPr>
                    <w:spacing w:line="34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restart"/>
                  <w:noWrap/>
                  <w:vAlign w:val="center"/>
                </w:tcPr>
                <w:p>
                  <w:pPr>
                    <w:spacing w:line="340" w:lineRule="exact"/>
                    <w:jc w:val="center"/>
                  </w:pPr>
                  <w:r>
                    <w:rPr>
                      <w:rFonts w:hint="eastAsia"/>
                    </w:rPr>
                    <w:t>车间无组织排放</w:t>
                  </w:r>
                </w:p>
              </w:tc>
              <w:tc>
                <w:tcPr>
                  <w:tcW w:w="1578" w:type="pct"/>
                  <w:gridSpan w:val="3"/>
                  <w:noWrap/>
                  <w:vAlign w:val="center"/>
                </w:tcPr>
                <w:p>
                  <w:pPr>
                    <w:spacing w:line="340" w:lineRule="exact"/>
                    <w:jc w:val="center"/>
                  </w:pPr>
                  <w:r>
                    <w:rPr>
                      <w:rFonts w:hint="eastAsia"/>
                    </w:rPr>
                    <w:t>漆雾</w:t>
                  </w:r>
                </w:p>
              </w:tc>
              <w:tc>
                <w:tcPr>
                  <w:tcW w:w="747" w:type="pct"/>
                  <w:noWrap/>
                  <w:vAlign w:val="center"/>
                </w:tcPr>
                <w:p>
                  <w:pPr>
                    <w:spacing w:line="340" w:lineRule="exact"/>
                    <w:jc w:val="center"/>
                  </w:pPr>
                  <w:r>
                    <w:rPr>
                      <w:rFonts w:hint="eastAsia"/>
                    </w:rPr>
                    <w:t>0.053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1578" w:type="pct"/>
                  <w:gridSpan w:val="3"/>
                  <w:noWrap/>
                  <w:vAlign w:val="center"/>
                </w:tcPr>
                <w:p>
                  <w:pPr>
                    <w:spacing w:line="340" w:lineRule="exact"/>
                    <w:jc w:val="center"/>
                  </w:pPr>
                  <w:r>
                    <w:rPr>
                      <w:rFonts w:hint="eastAsia"/>
                    </w:rPr>
                    <w:t>TVOC</w:t>
                  </w:r>
                </w:p>
              </w:tc>
              <w:tc>
                <w:tcPr>
                  <w:tcW w:w="747" w:type="pct"/>
                  <w:noWrap/>
                  <w:vAlign w:val="center"/>
                </w:tcPr>
                <w:p>
                  <w:pPr>
                    <w:spacing w:line="340" w:lineRule="exact"/>
                    <w:jc w:val="center"/>
                  </w:pPr>
                  <w:r>
                    <w:rPr>
                      <w:rFonts w:hint="eastAsia"/>
                    </w:rPr>
                    <w:t>0.347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748" w:type="pct"/>
                  <w:gridSpan w:val="2"/>
                  <w:vMerge w:val="restart"/>
                  <w:noWrap/>
                  <w:vAlign w:val="center"/>
                </w:tcPr>
                <w:p>
                  <w:pPr>
                    <w:spacing w:line="340" w:lineRule="exact"/>
                    <w:jc w:val="center"/>
                  </w:pPr>
                  <w:r>
                    <w:rPr>
                      <w:rFonts w:hint="eastAsia"/>
                    </w:rPr>
                    <w:t>其中</w:t>
                  </w:r>
                </w:p>
              </w:tc>
              <w:tc>
                <w:tcPr>
                  <w:tcW w:w="829" w:type="pct"/>
                  <w:vMerge w:val="restart"/>
                  <w:vAlign w:val="center"/>
                </w:tcPr>
                <w:p>
                  <w:pPr>
                    <w:spacing w:line="340" w:lineRule="exact"/>
                    <w:jc w:val="center"/>
                  </w:pPr>
                  <w:r>
                    <w:rPr>
                      <w:rFonts w:hint="eastAsia"/>
                    </w:rPr>
                    <w:t>甲苯及二甲苯</w:t>
                  </w:r>
                </w:p>
              </w:tc>
              <w:tc>
                <w:tcPr>
                  <w:tcW w:w="747" w:type="pct"/>
                  <w:vMerge w:val="restart"/>
                  <w:noWrap/>
                  <w:vAlign w:val="center"/>
                </w:tcPr>
                <w:p>
                  <w:pPr>
                    <w:spacing w:line="340" w:lineRule="exact"/>
                    <w:jc w:val="center"/>
                  </w:pPr>
                  <w:r>
                    <w:rPr>
                      <w:rFonts w:hint="eastAsia"/>
                    </w:rPr>
                    <w:t>0.084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tcBorders>
                    <w:bottom w:val="single" w:color="auto" w:sz="4" w:space="0"/>
                  </w:tcBorders>
                  <w:vAlign w:val="center"/>
                </w:tcPr>
                <w:p>
                  <w:pPr>
                    <w:spacing w:line="340" w:lineRule="exact"/>
                    <w:jc w:val="center"/>
                  </w:pPr>
                </w:p>
              </w:tc>
              <w:tc>
                <w:tcPr>
                  <w:tcW w:w="748" w:type="pct"/>
                  <w:gridSpan w:val="2"/>
                  <w:vMerge w:val="continue"/>
                  <w:noWrap/>
                  <w:vAlign w:val="center"/>
                </w:tcPr>
                <w:p>
                  <w:pPr>
                    <w:spacing w:line="340" w:lineRule="exact"/>
                    <w:jc w:val="center"/>
                  </w:pPr>
                </w:p>
              </w:tc>
              <w:tc>
                <w:tcPr>
                  <w:tcW w:w="829" w:type="pct"/>
                  <w:vMerge w:val="continue"/>
                  <w:vAlign w:val="center"/>
                </w:tcPr>
                <w:p>
                  <w:pPr>
                    <w:spacing w:line="340" w:lineRule="exact"/>
                    <w:jc w:val="center"/>
                  </w:pPr>
                </w:p>
              </w:tc>
              <w:tc>
                <w:tcPr>
                  <w:tcW w:w="747" w:type="pct"/>
                  <w:vMerge w:val="continue"/>
                  <w:noWrap/>
                  <w:vAlign w:val="center"/>
                </w:tcPr>
                <w:p>
                  <w:pPr>
                    <w:spacing w:line="34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tcBorders>
                    <w:top w:val="single" w:color="auto" w:sz="4" w:space="0"/>
                  </w:tcBorders>
                  <w:noWrap/>
                  <w:vAlign w:val="center"/>
                </w:tcPr>
                <w:p>
                  <w:pPr>
                    <w:spacing w:line="340" w:lineRule="exact"/>
                    <w:jc w:val="center"/>
                  </w:pPr>
                  <w:r>
                    <w:rPr>
                      <w:rFonts w:hint="eastAsia"/>
                    </w:rPr>
                    <w:t>固废</w:t>
                  </w:r>
                </w:p>
              </w:tc>
              <w:tc>
                <w:tcPr>
                  <w:tcW w:w="1578" w:type="pct"/>
                  <w:gridSpan w:val="3"/>
                  <w:noWrap/>
                  <w:vAlign w:val="center"/>
                </w:tcPr>
                <w:p>
                  <w:pPr>
                    <w:spacing w:line="340" w:lineRule="exact"/>
                    <w:jc w:val="center"/>
                  </w:pPr>
                  <w:r>
                    <w:rPr>
                      <w:rFonts w:hint="eastAsia"/>
                    </w:rPr>
                    <w:t>收集的漆渣</w:t>
                  </w:r>
                </w:p>
              </w:tc>
              <w:tc>
                <w:tcPr>
                  <w:tcW w:w="747" w:type="pct"/>
                  <w:noWrap/>
                  <w:vAlign w:val="center"/>
                </w:tcPr>
                <w:p>
                  <w:pPr>
                    <w:spacing w:line="340" w:lineRule="exact"/>
                    <w:jc w:val="center"/>
                    <w:rPr>
                      <w:rFonts w:hint="default" w:eastAsia="宋体"/>
                      <w:lang w:val="en-US" w:eastAsia="zh-CN"/>
                    </w:rPr>
                  </w:pPr>
                  <w:r>
                    <w:rPr>
                      <w:rFonts w:hint="eastAsia"/>
                    </w:rPr>
                    <w:t>0.4</w:t>
                  </w:r>
                  <w:r>
                    <w:rPr>
                      <w:rFonts w:hint="eastAsia"/>
                      <w:lang w:val="en-US" w:eastAsia="zh-CN"/>
                    </w:rPr>
                    <w:t>323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restart"/>
                  <w:vAlign w:val="center"/>
                </w:tcPr>
                <w:p>
                  <w:pPr>
                    <w:spacing w:line="340" w:lineRule="exact"/>
                    <w:jc w:val="center"/>
                  </w:pPr>
                  <w:r>
                    <w:rPr>
                      <w:rFonts w:hint="eastAsia"/>
                    </w:rPr>
                    <w:t>二级活性炭处理量</w:t>
                  </w:r>
                </w:p>
              </w:tc>
              <w:tc>
                <w:tcPr>
                  <w:tcW w:w="1578" w:type="pct"/>
                  <w:gridSpan w:val="3"/>
                  <w:noWrap/>
                  <w:vAlign w:val="center"/>
                </w:tcPr>
                <w:p>
                  <w:pPr>
                    <w:spacing w:line="340" w:lineRule="exact"/>
                    <w:jc w:val="center"/>
                  </w:pPr>
                  <w:r>
                    <w:rPr>
                      <w:rFonts w:hint="eastAsia"/>
                    </w:rPr>
                    <w:t>TVOC</w:t>
                  </w:r>
                </w:p>
              </w:tc>
              <w:tc>
                <w:tcPr>
                  <w:tcW w:w="747" w:type="pct"/>
                  <w:noWrap/>
                  <w:vAlign w:val="center"/>
                </w:tcPr>
                <w:p>
                  <w:pPr>
                    <w:spacing w:line="340" w:lineRule="exact"/>
                    <w:jc w:val="center"/>
                    <w:rPr>
                      <w:rFonts w:hint="default" w:eastAsia="宋体"/>
                      <w:lang w:val="en-US" w:eastAsia="zh-CN"/>
                    </w:rPr>
                  </w:pPr>
                  <w:r>
                    <w:rPr>
                      <w:rFonts w:hint="eastAsia"/>
                      <w:lang w:val="en-US" w:eastAsia="zh-CN"/>
                    </w:rPr>
                    <w:t>1.56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695" w:type="pct"/>
                  <w:vMerge w:val="restart"/>
                  <w:noWrap/>
                  <w:vAlign w:val="center"/>
                </w:tcPr>
                <w:p>
                  <w:pPr>
                    <w:spacing w:line="340" w:lineRule="exact"/>
                    <w:jc w:val="center"/>
                  </w:pPr>
                  <w:r>
                    <w:rPr>
                      <w:rFonts w:hint="eastAsia"/>
                    </w:rPr>
                    <w:t>其中</w:t>
                  </w:r>
                </w:p>
              </w:tc>
              <w:tc>
                <w:tcPr>
                  <w:tcW w:w="882" w:type="pct"/>
                  <w:gridSpan w:val="2"/>
                  <w:vMerge w:val="restart"/>
                  <w:vAlign w:val="center"/>
                </w:tcPr>
                <w:p>
                  <w:pPr>
                    <w:spacing w:line="340" w:lineRule="exact"/>
                    <w:jc w:val="center"/>
                  </w:pPr>
                  <w:r>
                    <w:rPr>
                      <w:rFonts w:hint="eastAsia"/>
                    </w:rPr>
                    <w:t>甲苯及二甲苯</w:t>
                  </w:r>
                </w:p>
              </w:tc>
              <w:tc>
                <w:tcPr>
                  <w:tcW w:w="747" w:type="pct"/>
                  <w:vMerge w:val="restart"/>
                  <w:noWrap/>
                  <w:vAlign w:val="center"/>
                </w:tcPr>
                <w:p>
                  <w:pPr>
                    <w:spacing w:line="340" w:lineRule="exact"/>
                    <w:jc w:val="center"/>
                    <w:rPr>
                      <w:rFonts w:hint="default" w:eastAsia="宋体"/>
                      <w:lang w:val="en-US" w:eastAsia="zh-CN"/>
                    </w:rPr>
                  </w:pPr>
                  <w:r>
                    <w:rPr>
                      <w:rFonts w:hint="eastAsia"/>
                      <w:lang w:val="en-US" w:eastAsia="zh-CN"/>
                    </w:rPr>
                    <w:t>0.379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w:t>
                  </w:r>
                </w:p>
              </w:tc>
              <w:tc>
                <w:tcPr>
                  <w:tcW w:w="539" w:type="pct"/>
                  <w:noWrap/>
                  <w:vAlign w:val="center"/>
                </w:tcPr>
                <w:p>
                  <w:pPr>
                    <w:spacing w:line="340" w:lineRule="exact"/>
                    <w:jc w:val="center"/>
                  </w:pPr>
                  <w:r>
                    <w:rPr>
                      <w:rFonts w:hint="eastAsia"/>
                    </w:rPr>
                    <w:t>/</w:t>
                  </w:r>
                </w:p>
              </w:tc>
              <w:tc>
                <w:tcPr>
                  <w:tcW w:w="998" w:type="pct"/>
                  <w:vMerge w:val="continue"/>
                  <w:vAlign w:val="center"/>
                </w:tcPr>
                <w:p>
                  <w:pPr>
                    <w:spacing w:line="340" w:lineRule="exact"/>
                    <w:jc w:val="center"/>
                  </w:pPr>
                </w:p>
              </w:tc>
              <w:tc>
                <w:tcPr>
                  <w:tcW w:w="695" w:type="pct"/>
                  <w:vMerge w:val="continue"/>
                  <w:noWrap/>
                  <w:vAlign w:val="center"/>
                </w:tcPr>
                <w:p>
                  <w:pPr>
                    <w:spacing w:line="340" w:lineRule="exact"/>
                    <w:jc w:val="center"/>
                  </w:pPr>
                </w:p>
              </w:tc>
              <w:tc>
                <w:tcPr>
                  <w:tcW w:w="882" w:type="pct"/>
                  <w:gridSpan w:val="2"/>
                  <w:vMerge w:val="continue"/>
                  <w:vAlign w:val="center"/>
                </w:tcPr>
                <w:p>
                  <w:pPr>
                    <w:spacing w:line="340" w:lineRule="exact"/>
                    <w:jc w:val="center"/>
                  </w:pPr>
                </w:p>
              </w:tc>
              <w:tc>
                <w:tcPr>
                  <w:tcW w:w="747" w:type="pct"/>
                  <w:vMerge w:val="continue"/>
                  <w:noWrap/>
                  <w:vAlign w:val="center"/>
                </w:tcPr>
                <w:p>
                  <w:pPr>
                    <w:spacing w:line="34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6" w:type="pct"/>
                  <w:noWrap/>
                  <w:vAlign w:val="center"/>
                </w:tcPr>
                <w:p>
                  <w:pPr>
                    <w:spacing w:line="340" w:lineRule="exact"/>
                    <w:jc w:val="center"/>
                  </w:pPr>
                  <w:r>
                    <w:rPr>
                      <w:rFonts w:hint="eastAsia"/>
                    </w:rPr>
                    <w:t>合计</w:t>
                  </w:r>
                </w:p>
              </w:tc>
              <w:tc>
                <w:tcPr>
                  <w:tcW w:w="539" w:type="pct"/>
                  <w:noWrap/>
                  <w:vAlign w:val="center"/>
                </w:tcPr>
                <w:p>
                  <w:pPr>
                    <w:spacing w:line="340" w:lineRule="exact"/>
                    <w:jc w:val="center"/>
                  </w:pPr>
                  <w:r>
                    <w:rPr>
                      <w:rFonts w:hint="eastAsia"/>
                    </w:rPr>
                    <w:t>5.23</w:t>
                  </w:r>
                </w:p>
              </w:tc>
              <w:tc>
                <w:tcPr>
                  <w:tcW w:w="2576" w:type="pct"/>
                  <w:gridSpan w:val="4"/>
                  <w:noWrap/>
                  <w:vAlign w:val="center"/>
                </w:tcPr>
                <w:p>
                  <w:pPr>
                    <w:spacing w:line="340" w:lineRule="exact"/>
                    <w:jc w:val="center"/>
                  </w:pPr>
                  <w:r>
                    <w:rPr>
                      <w:rFonts w:hint="eastAsia"/>
                    </w:rPr>
                    <w:t>合计</w:t>
                  </w:r>
                </w:p>
              </w:tc>
              <w:tc>
                <w:tcPr>
                  <w:tcW w:w="747" w:type="pct"/>
                  <w:noWrap/>
                  <w:vAlign w:val="center"/>
                </w:tcPr>
                <w:p>
                  <w:pPr>
                    <w:spacing w:line="340" w:lineRule="exact"/>
                    <w:jc w:val="center"/>
                  </w:pPr>
                  <w:r>
                    <w:rPr>
                      <w:rFonts w:hint="eastAsia"/>
                    </w:rPr>
                    <w:t>5.23</w:t>
                  </w:r>
                </w:p>
              </w:tc>
            </w:tr>
          </w:tbl>
          <w:p>
            <w:pPr>
              <w:spacing w:after="120" w:afterLines="50"/>
              <w:ind w:firstLine="420" w:firstLineChars="200"/>
            </w:pPr>
            <w:r>
              <w:rPr>
                <w:rFonts w:hint="eastAsia"/>
              </w:rPr>
              <w:t>注：TVOC、甲苯及二甲苯按全部挥发计。</w:t>
            </w:r>
          </w:p>
          <w:p>
            <w:pPr>
              <w:pStyle w:val="10"/>
            </w:pPr>
            <w:r>
              <w:rPr>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1270</wp:posOffset>
                      </wp:positionV>
                      <wp:extent cx="4916170" cy="1692910"/>
                      <wp:effectExtent l="0" t="0" r="0" b="0"/>
                      <wp:wrapNone/>
                      <wp:docPr id="25" name="文本框 25"/>
                      <wp:cNvGraphicFramePr/>
                      <a:graphic xmlns:a="http://schemas.openxmlformats.org/drawingml/2006/main">
                        <a:graphicData uri="http://schemas.microsoft.com/office/word/2010/wordprocessingShape">
                          <wps:wsp>
                            <wps:cNvSpPr txBox="1"/>
                            <wps:spPr>
                              <a:xfrm>
                                <a:off x="1165225" y="1109345"/>
                                <a:ext cx="4916170" cy="169291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1pt;height:133.3pt;width:387.1pt;z-index:251667456;mso-width-relative:page;mso-height-relative:page;" filled="f" stroked="f" coordsize="21600,21600" o:gfxdata="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He7+NHWAAAABQEAAA8AAAAAAAAAAQAgAAAAIgAAAGRy&#10;cy9kb3ducmV2LnhtbFBLAQIUABQAAAAIAIdO4kDgeoHEsgIAAF0FAAAOAAAAAAAAAAEAIAAAACUB&#10;AABkcnMvZTJvRG9jLnhtbFBLBQYAAAAABgAGAFkBAABJBgAAAAA=&#10;">
                      <v:fill on="f" focussize="0,0"/>
                      <v:stroke on="f" weight="0.5pt"/>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1231900</wp:posOffset>
                      </wp:positionV>
                      <wp:extent cx="475615" cy="209550"/>
                      <wp:effectExtent l="0" t="0" r="635" b="0"/>
                      <wp:wrapNone/>
                      <wp:docPr id="21" name="文本框 21"/>
                      <wp:cNvGraphicFramePr/>
                      <a:graphic xmlns:a="http://schemas.openxmlformats.org/drawingml/2006/main">
                        <a:graphicData uri="http://schemas.microsoft.com/office/word/2010/wordprocessingShape">
                          <wps:wsp>
                            <wps:cNvSpPr txBox="1"/>
                            <wps:spPr>
                              <a:xfrm>
                                <a:off x="0" y="0"/>
                                <a:ext cx="47561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val="en-US" w:eastAsia="zh-CN"/>
                                    </w:rPr>
                                    <w:t>0.379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45pt;margin-top:97pt;height:16.5pt;width:37.45pt;z-index:251663360;mso-width-relative:page;mso-height-relative:page;" fillcolor="#FFFFFF [3201]" filled="t" stroked="f" coordsize="21600,21600" o:gfxdata="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DkUCPVAAAACwEAAA8AAAAA&#10;AAAAAQAgAAAAIgAAAGRycy9kb3ducmV2LnhtbFBLAQIUABQAAAAIAIdO4kDMfJjeUAIAAJAEAAAO&#10;AAAAAAAAAAEAIAAAACQBAABkcnMvZTJvRG9jLnhtbFBLBQYAAAAABgAGAFkBAADmBQAAAAA=&#10;">
                      <v:fill on="t"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0.379</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3173095</wp:posOffset>
                      </wp:positionH>
                      <wp:positionV relativeFrom="paragraph">
                        <wp:posOffset>1211580</wp:posOffset>
                      </wp:positionV>
                      <wp:extent cx="475615" cy="209550"/>
                      <wp:effectExtent l="0" t="0" r="635" b="0"/>
                      <wp:wrapNone/>
                      <wp:docPr id="20" name="文本框 20"/>
                      <wp:cNvGraphicFramePr/>
                      <a:graphic xmlns:a="http://schemas.openxmlformats.org/drawingml/2006/main">
                        <a:graphicData uri="http://schemas.microsoft.com/office/word/2010/wordprocessingShape">
                          <wps:wsp>
                            <wps:cNvSpPr txBox="1"/>
                            <wps:spPr>
                              <a:xfrm>
                                <a:off x="4374515" y="2304415"/>
                                <a:ext cx="47561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val="en-US" w:eastAsia="zh-CN"/>
                                    </w:rPr>
                                    <w:t>0.375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85pt;margin-top:95.4pt;height:16.5pt;width:37.45pt;z-index:251660288;mso-width-relative:page;mso-height-relative:page;" fillcolor="#FFFFFF [3201]" filled="t" stroked="f" coordsize="21600,21600" o:gfxdata="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ZGkI/WAAAA&#10;CwEAAA8AAAAAAAAAAQAgAAAAIgAAAGRycy9kb3ducmV2LnhtbFBLAQIUABQAAAAIAIdO4kCx7iMm&#10;WAIAAJwEAAAOAAAAAAAAAAEAIAAAACUBAABkcnMvZTJvRG9jLnhtbFBLBQYAAAAABgAGAFkBAADv&#10;BQAAAAA=&#10;">
                      <v:fill on="t"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0.375</w:t>
                            </w:r>
                          </w:p>
                        </w:txbxContent>
                      </v:textbox>
                    </v:shape>
                  </w:pict>
                </mc:Fallback>
              </mc:AlternateContent>
            </w:r>
            <w:r>
              <w:drawing>
                <wp:inline distT="0" distB="0" distL="114300" distR="114300">
                  <wp:extent cx="4933950" cy="1695450"/>
                  <wp:effectExtent l="0" t="0" r="0" b="0"/>
                  <wp:docPr id="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pic:cNvPicPr>
                            <a:picLocks noChangeAspect="1"/>
                          </pic:cNvPicPr>
                        </pic:nvPicPr>
                        <pic:blipFill>
                          <a:blip r:embed="rId18"/>
                          <a:stretch>
                            <a:fillRect/>
                          </a:stretch>
                        </pic:blipFill>
                        <pic:spPr>
                          <a:xfrm>
                            <a:off x="0" y="0"/>
                            <a:ext cx="4933950" cy="1695450"/>
                          </a:xfrm>
                          <a:prstGeom prst="rect">
                            <a:avLst/>
                          </a:prstGeom>
                          <a:noFill/>
                          <a:ln>
                            <a:noFill/>
                          </a:ln>
                        </pic:spPr>
                      </pic:pic>
                    </a:graphicData>
                  </a:graphic>
                </wp:inline>
              </w:drawing>
            </w:r>
          </w:p>
          <w:p>
            <w:pPr>
              <w:pStyle w:val="149"/>
              <w:spacing w:line="360" w:lineRule="auto"/>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图</w:t>
            </w:r>
            <w:r>
              <w:rPr>
                <w:rFonts w:hint="eastAsia"/>
                <w:b w:val="0"/>
                <w:bCs/>
                <w:color w:val="000000" w:themeColor="text1"/>
                <w:sz w:val="24"/>
                <w:lang w:val="en-US"/>
                <w14:textFill>
                  <w14:solidFill>
                    <w14:schemeClr w14:val="tx1"/>
                  </w14:solidFill>
                </w14:textFill>
              </w:rPr>
              <w:t>4-1  甲苯及二甲苯</w:t>
            </w:r>
            <w:r>
              <w:rPr>
                <w:b w:val="0"/>
                <w:bCs/>
                <w:color w:val="000000" w:themeColor="text1"/>
                <w:sz w:val="24"/>
                <w14:textFill>
                  <w14:solidFill>
                    <w14:schemeClr w14:val="tx1"/>
                  </w14:solidFill>
                </w14:textFill>
              </w:rPr>
              <w:t>平衡 单位：t/a</w:t>
            </w:r>
          </w:p>
          <w:p>
            <w:pPr>
              <w:pStyle w:val="149"/>
              <w:rPr>
                <w:color w:val="000000" w:themeColor="text1"/>
                <w14:textFill>
                  <w14:solidFill>
                    <w14:schemeClr w14:val="tx1"/>
                  </w14:solidFill>
                </w14:textFill>
              </w:rPr>
            </w:pPr>
            <w:r>
              <w:rPr>
                <w:sz w:val="21"/>
              </w:rPr>
              <mc:AlternateContent>
                <mc:Choice Requires="wps">
                  <w:drawing>
                    <wp:anchor distT="0" distB="0" distL="114300" distR="114300" simplePos="0" relativeHeight="251666432" behindDoc="0" locked="0" layoutInCell="1" allowOverlap="1">
                      <wp:simplePos x="0" y="0"/>
                      <wp:positionH relativeFrom="column">
                        <wp:posOffset>432435</wp:posOffset>
                      </wp:positionH>
                      <wp:positionV relativeFrom="paragraph">
                        <wp:posOffset>147320</wp:posOffset>
                      </wp:positionV>
                      <wp:extent cx="4520565" cy="1678305"/>
                      <wp:effectExtent l="0" t="0" r="0" b="0"/>
                      <wp:wrapNone/>
                      <wp:docPr id="24" name="文本框 24"/>
                      <wp:cNvGraphicFramePr/>
                      <a:graphic xmlns:a="http://schemas.openxmlformats.org/drawingml/2006/main">
                        <a:graphicData uri="http://schemas.microsoft.com/office/word/2010/wordprocessingShape">
                          <wps:wsp>
                            <wps:cNvSpPr txBox="1"/>
                            <wps:spPr>
                              <a:xfrm>
                                <a:off x="1597660" y="3231515"/>
                                <a:ext cx="4520565" cy="167830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5pt;margin-top:11.6pt;height:132.15pt;width:355.95pt;z-index:251666432;mso-width-relative:page;mso-height-relative:page;" filled="f" stroked="f" coordsize="21600,21600" o:gfxdata="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PV66s2gAAAAkBAAAPAAAAAAAAAAEAIAAA&#10;ACIAAABkcnMvZG93bnJldi54bWxQSwECFAAUAAAACACHTuJADe0cX7UCAABdBQAADgAAAAAAAAAB&#10;ACAAAAApAQAAZHJzL2Uyb0RvYy54bWxQSwUGAAAAAAYABgBZAQAAUAYAAAAA&#10;">
                      <v:fill on="f" focussize="0,0"/>
                      <v:stroke on="f" weight="0.5pt"/>
                      <v:imagedata o:title=""/>
                      <o:lock v:ext="edit" aspectratio="f"/>
                      <v:textbox>
                        <w:txbxContent>
                          <w:p/>
                        </w:txbxContent>
                      </v:textbox>
                    </v:shape>
                  </w:pict>
                </mc:Fallback>
              </mc:AlternateContent>
            </w:r>
          </w:p>
          <w:p>
            <w:pPr>
              <w:pStyle w:val="149"/>
              <w:rPr>
                <w:color w:val="000000" w:themeColor="text1"/>
                <w14:textFill>
                  <w14:solidFill>
                    <w14:schemeClr w14:val="tx1"/>
                  </w14:solidFill>
                </w14:textFill>
              </w:rPr>
            </w:pPr>
            <w:r>
              <w:rPr>
                <w:sz w:val="21"/>
              </w:rPr>
              <mc:AlternateContent>
                <mc:Choice Requires="wps">
                  <w:drawing>
                    <wp:anchor distT="0" distB="0" distL="114300" distR="114300" simplePos="0" relativeHeight="251665408" behindDoc="0" locked="0" layoutInCell="1" allowOverlap="1">
                      <wp:simplePos x="0" y="0"/>
                      <wp:positionH relativeFrom="column">
                        <wp:posOffset>3251200</wp:posOffset>
                      </wp:positionH>
                      <wp:positionV relativeFrom="paragraph">
                        <wp:posOffset>1136650</wp:posOffset>
                      </wp:positionV>
                      <wp:extent cx="430530" cy="210185"/>
                      <wp:effectExtent l="0" t="0" r="7620" b="18415"/>
                      <wp:wrapNone/>
                      <wp:docPr id="23" name="文本框 23"/>
                      <wp:cNvGraphicFramePr/>
                      <a:graphic xmlns:a="http://schemas.openxmlformats.org/drawingml/2006/main">
                        <a:graphicData uri="http://schemas.microsoft.com/office/word/2010/wordprocessingShape">
                          <wps:wsp>
                            <wps:cNvSpPr txBox="1"/>
                            <wps:spPr>
                              <a:xfrm>
                                <a:off x="0" y="0"/>
                                <a:ext cx="430530" cy="2101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5"/>
                                      <w:szCs w:val="15"/>
                                      <w:lang w:val="en-US" w:eastAsia="zh-CN"/>
                                    </w:rPr>
                                  </w:pPr>
                                  <w:r>
                                    <w:rPr>
                                      <w:rFonts w:hint="eastAsia"/>
                                      <w:sz w:val="15"/>
                                      <w:szCs w:val="15"/>
                                      <w:lang w:val="en-US" w:eastAsia="zh-CN"/>
                                    </w:rPr>
                                    <w:t>1.56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pt;margin-top:89.5pt;height:16.55pt;width:33.9pt;z-index:251665408;mso-width-relative:page;mso-height-relative:page;" fillcolor="#FFFFFF [3201]" filled="t" stroked="f" coordsize="21600,21600" o:gfxdata="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W+dUF1gAAAAsBAAAPAAAA&#10;AAAAAAEAIAAAACIAAABkcnMvZG93bnJldi54bWxQSwECFAAUAAAACACHTuJAOmYQT1ACAACQBAAA&#10;DgAAAAAAAAABACAAAAAlAQAAZHJzL2Uyb0RvYy54bWxQSwUGAAAAAAYABgBZAQAA5wUAAAAA&#10;">
                      <v:fill on="t" focussize="0,0"/>
                      <v:stroke on="f" weight="0.5pt"/>
                      <v:imagedata o:title=""/>
                      <o:lock v:ext="edit" aspectratio="f"/>
                      <v:textbox>
                        <w:txbxContent>
                          <w:p>
                            <w:pPr>
                              <w:rPr>
                                <w:rFonts w:hint="default" w:eastAsia="宋体"/>
                                <w:sz w:val="15"/>
                                <w:szCs w:val="15"/>
                                <w:lang w:val="en-US" w:eastAsia="zh-CN"/>
                              </w:rPr>
                            </w:pPr>
                            <w:r>
                              <w:rPr>
                                <w:rFonts w:hint="eastAsia"/>
                                <w:sz w:val="15"/>
                                <w:szCs w:val="15"/>
                                <w:lang w:val="en-US" w:eastAsia="zh-CN"/>
                              </w:rPr>
                              <w:t>1.56</w:t>
                            </w:r>
                          </w:p>
                        </w:txbxContent>
                      </v:textbox>
                    </v:shape>
                  </w:pict>
                </mc:Fallback>
              </mc:AlternateContent>
            </w:r>
            <w:r>
              <w:rPr>
                <w:color w:val="000000" w:themeColor="text1"/>
                <w14:textFill>
                  <w14:solidFill>
                    <w14:schemeClr w14:val="tx1"/>
                  </w14:solidFill>
                </w14:textFill>
              </w:rPr>
              <w:drawing>
                <wp:inline distT="0" distB="0" distL="114300" distR="114300">
                  <wp:extent cx="4505325" cy="1685925"/>
                  <wp:effectExtent l="0" t="0" r="9525" b="9525"/>
                  <wp:docPr id="1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1"/>
                          <pic:cNvPicPr>
                            <a:picLocks noChangeAspect="1"/>
                          </pic:cNvPicPr>
                        </pic:nvPicPr>
                        <pic:blipFill>
                          <a:blip r:embed="rId19"/>
                          <a:stretch>
                            <a:fillRect/>
                          </a:stretch>
                        </pic:blipFill>
                        <pic:spPr>
                          <a:xfrm>
                            <a:off x="0" y="0"/>
                            <a:ext cx="4505325" cy="1685925"/>
                          </a:xfrm>
                          <a:prstGeom prst="rect">
                            <a:avLst/>
                          </a:prstGeom>
                          <a:noFill/>
                          <a:ln>
                            <a:noFill/>
                          </a:ln>
                        </pic:spPr>
                      </pic:pic>
                    </a:graphicData>
                  </a:graphic>
                </wp:inline>
              </w:drawing>
            </w:r>
            <w:r>
              <w:rPr>
                <w:sz w:val="21"/>
              </w:rPr>
              <mc:AlternateContent>
                <mc:Choice Requires="wps">
                  <w:drawing>
                    <wp:anchor distT="0" distB="0" distL="114300" distR="114300" simplePos="0" relativeHeight="251664384" behindDoc="0" locked="0" layoutInCell="1" allowOverlap="1">
                      <wp:simplePos x="0" y="0"/>
                      <wp:positionH relativeFrom="column">
                        <wp:posOffset>2600960</wp:posOffset>
                      </wp:positionH>
                      <wp:positionV relativeFrom="paragraph">
                        <wp:posOffset>984250</wp:posOffset>
                      </wp:positionV>
                      <wp:extent cx="379095" cy="209550"/>
                      <wp:effectExtent l="0" t="0" r="1905" b="0"/>
                      <wp:wrapNone/>
                      <wp:docPr id="22" name="文本框 22"/>
                      <wp:cNvGraphicFramePr/>
                      <a:graphic xmlns:a="http://schemas.openxmlformats.org/drawingml/2006/main">
                        <a:graphicData uri="http://schemas.microsoft.com/office/word/2010/wordprocessingShape">
                          <wps:wsp>
                            <wps:cNvSpPr txBox="1"/>
                            <wps:spPr>
                              <a:xfrm>
                                <a:off x="3780790" y="4243070"/>
                                <a:ext cx="37909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5"/>
                                      <w:szCs w:val="15"/>
                                      <w:lang w:val="en-US" w:eastAsia="zh-CN"/>
                                    </w:rPr>
                                  </w:pPr>
                                  <w:r>
                                    <w:rPr>
                                      <w:rFonts w:hint="eastAsia"/>
                                      <w:sz w:val="15"/>
                                      <w:szCs w:val="15"/>
                                      <w:lang w:val="en-US" w:eastAsia="zh-CN"/>
                                    </w:rPr>
                                    <w:t>1.56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8pt;margin-top:77.5pt;height:16.5pt;width:29.85pt;z-index:251664384;mso-width-relative:page;mso-height-relative:page;" fillcolor="#FFFFFF [3201]" filled="t" stroked="f" coordsize="21600,21600" o:gfxdata="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NzLZdYA&#10;AAALAQAADwAAAAAAAAABACAAAAAiAAAAZHJzL2Rvd25yZXYueG1sUEsBAhQAFAAAAAgAh07iQNbw&#10;DJBaAgAAnAQAAA4AAAAAAAAAAQAgAAAAJQEAAGRycy9lMm9Eb2MueG1sUEsFBgAAAAAGAAYAWQEA&#10;APEFAAAAAA==&#10;">
                      <v:fill on="t" focussize="0,0"/>
                      <v:stroke on="f" weight="0.5pt"/>
                      <v:imagedata o:title=""/>
                      <o:lock v:ext="edit" aspectratio="f"/>
                      <v:textbox>
                        <w:txbxContent>
                          <w:p>
                            <w:pPr>
                              <w:rPr>
                                <w:rFonts w:hint="default" w:eastAsia="宋体"/>
                                <w:sz w:val="15"/>
                                <w:szCs w:val="15"/>
                                <w:lang w:val="en-US" w:eastAsia="zh-CN"/>
                              </w:rPr>
                            </w:pPr>
                            <w:r>
                              <w:rPr>
                                <w:rFonts w:hint="eastAsia"/>
                                <w:sz w:val="15"/>
                                <w:szCs w:val="15"/>
                                <w:lang w:val="en-US" w:eastAsia="zh-CN"/>
                              </w:rPr>
                              <w:t>1.56</w:t>
                            </w:r>
                          </w:p>
                        </w:txbxContent>
                      </v:textbox>
                    </v:shape>
                  </w:pict>
                </mc:Fallback>
              </mc:AlternateContent>
            </w:r>
          </w:p>
          <w:p>
            <w:pPr>
              <w:pStyle w:val="149"/>
              <w:spacing w:line="360" w:lineRule="auto"/>
              <w:rPr>
                <w:color w:val="000000" w:themeColor="text1"/>
                <w14:textFill>
                  <w14:solidFill>
                    <w14:schemeClr w14:val="tx1"/>
                  </w14:solidFill>
                </w14:textFill>
              </w:rPr>
            </w:pPr>
            <w:r>
              <w:rPr>
                <w:b w:val="0"/>
                <w:bCs/>
                <w:color w:val="000000" w:themeColor="text1"/>
                <w:sz w:val="24"/>
                <w14:textFill>
                  <w14:solidFill>
                    <w14:schemeClr w14:val="tx1"/>
                  </w14:solidFill>
                </w14:textFill>
              </w:rPr>
              <w:t>图</w:t>
            </w:r>
            <w:r>
              <w:rPr>
                <w:rFonts w:hint="eastAsia"/>
                <w:b w:val="0"/>
                <w:bCs/>
                <w:color w:val="000000" w:themeColor="text1"/>
                <w:sz w:val="24"/>
                <w:lang w:val="en-US"/>
                <w14:textFill>
                  <w14:solidFill>
                    <w14:schemeClr w14:val="tx1"/>
                  </w14:solidFill>
                </w14:textFill>
              </w:rPr>
              <w:t>4-2  TVOC</w:t>
            </w:r>
            <w:r>
              <w:rPr>
                <w:b w:val="0"/>
                <w:bCs/>
                <w:color w:val="000000" w:themeColor="text1"/>
                <w:sz w:val="24"/>
                <w14:textFill>
                  <w14:solidFill>
                    <w14:schemeClr w14:val="tx1"/>
                  </w14:solidFill>
                </w14:textFill>
              </w:rPr>
              <w:t>平衡 单位：t/a</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因项目调漆、喷漆、晾干、喷枪清洗均位于喷漆房，因此，项目调漆废气、喷枪清洗废气、晾干废气统一并入喷漆房内计算。</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由表4-</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可知，项目3个喷漆房TVOC产生总量为3.467t/a、甲苯及二甲苯产生总量为0.83</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t/a、漆雾产生总量为0.53t/a。</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喷漆房在建设过程中墙体要求密闭、坚固、耐用、保温性能好，因此喷漆房在使用过程中处于密闭、微负压状态，仅在家具进、出的短暂时间内会有少量的无组织废气逸散出。</w:t>
            </w:r>
            <w:r>
              <w:rPr>
                <w:rFonts w:hint="eastAsia"/>
                <w:color w:val="0000FF"/>
                <w:sz w:val="24"/>
              </w:rPr>
              <w:t>根据《江西省生态环境厅关于做好2021年主要大气污染物总量减排》（赣环大气</w:t>
            </w:r>
            <w:r>
              <w:rPr>
                <w:rFonts w:hint="eastAsia" w:ascii="宋体" w:hAnsi="宋体"/>
                <w:color w:val="0000FF"/>
                <w:sz w:val="24"/>
              </w:rPr>
              <w:t>〔</w:t>
            </w:r>
            <w:r>
              <w:rPr>
                <w:rFonts w:hint="eastAsia"/>
                <w:color w:val="0000FF"/>
                <w:sz w:val="24"/>
              </w:rPr>
              <w:t>2021</w:t>
            </w:r>
            <w:r>
              <w:rPr>
                <w:rFonts w:hint="eastAsia" w:ascii="宋体" w:hAnsi="宋体"/>
                <w:color w:val="0000FF"/>
                <w:sz w:val="24"/>
              </w:rPr>
              <w:t>〕</w:t>
            </w:r>
            <w:r>
              <w:rPr>
                <w:rFonts w:hint="eastAsia"/>
                <w:color w:val="0000FF"/>
                <w:sz w:val="24"/>
              </w:rPr>
              <w:t>24号，密闭空间内负压收集效率为90%，</w:t>
            </w:r>
            <w:r>
              <w:rPr>
                <w:rFonts w:hint="eastAsia"/>
                <w:color w:val="000000" w:themeColor="text1"/>
                <w:sz w:val="24"/>
                <w14:textFill>
                  <w14:solidFill>
                    <w14:schemeClr w14:val="tx1"/>
                  </w14:solidFill>
                </w14:textFill>
              </w:rPr>
              <w:t>则喷漆房收集TVOC、甲苯及二甲苯、漆雾分别为3.12t/a、0.754t/a、</w:t>
            </w:r>
            <w:r>
              <w:rPr>
                <w:rFonts w:hint="eastAsia"/>
                <w:color w:val="0000FF"/>
                <w:sz w:val="24"/>
                <w:lang w:val="en-US" w:eastAsia="zh-CN"/>
              </w:rPr>
              <w:t>0.477</w:t>
            </w:r>
            <w:r>
              <w:rPr>
                <w:rFonts w:hint="eastAsia"/>
                <w:color w:val="0000FF"/>
                <w:sz w:val="24"/>
              </w:rPr>
              <w:t>t/a，</w:t>
            </w:r>
            <w:r>
              <w:rPr>
                <w:rFonts w:hint="eastAsia"/>
                <w:color w:val="000000" w:themeColor="text1"/>
                <w:sz w:val="24"/>
                <w14:textFill>
                  <w14:solidFill>
                    <w14:schemeClr w14:val="tx1"/>
                  </w14:solidFill>
                </w14:textFill>
              </w:rPr>
              <w:t>其余未收集部分TVOC、甲苯及二甲苯、漆雾以无组织形式排放，排放量分别为0.347t/a、0.084t/a、0.053t/a。</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其中有组织废气：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喷漆房：3个喷漆房均采取手动喷漆，喷漆房设计要求应满足《家具制造业手动喷漆房通风设施技术规程》（AQ/T4275-2016)相关规范下送上排单向流组织时，上送风的气流应垂直向上；手动喷漆房应采取均流措施，宜通过静压仓等装置保证气流的均匀性，送入静压仓的空气流速宜为2~3m/s，不能大于5.0m/s。喷漆房换气次数为30~40次/h。</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本项目喷漆房换气次数按照车间空间体积和40次/小时换气次数计算新风量，以有组织排放的实际风量与车间所需新风量的比值作为废气收集率。</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sz w:val="24"/>
                <w14:textFill>
                  <w14:solidFill>
                    <w14:schemeClr w14:val="tx1"/>
                  </w14:solidFill>
                </w14:textFill>
              </w:rPr>
              <w:t xml:space="preserve"> 项目有机废气产生源风量设置情况见</w:t>
            </w:r>
            <w:r>
              <w:rPr>
                <w:rFonts w:hint="eastAsia"/>
                <w:color w:val="000000" w:themeColor="text1"/>
                <w:sz w:val="24"/>
                <w:lang w:eastAsia="zh-CN"/>
                <w14:textFill>
                  <w14:solidFill>
                    <w14:schemeClr w14:val="tx1"/>
                  </w14:solidFill>
                </w14:textFill>
              </w:rPr>
              <w:t>表</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表4-6  各有机废气产生源风量设置情况表</w:t>
            </w:r>
          </w:p>
          <w:tbl>
            <w:tblPr>
              <w:tblStyle w:val="3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77"/>
              <w:gridCol w:w="1315"/>
              <w:gridCol w:w="920"/>
              <w:gridCol w:w="1284"/>
              <w:gridCol w:w="1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3"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产生源</w:t>
                  </w:r>
                </w:p>
              </w:tc>
              <w:tc>
                <w:tcPr>
                  <w:tcW w:w="1477" w:type="dxa"/>
                  <w:tcBorders>
                    <w:tl2br w:val="nil"/>
                    <w:tr2bl w:val="nil"/>
                  </w:tcBorders>
                  <w:vAlign w:val="center"/>
                </w:tcPr>
                <w:p>
                  <w:pPr>
                    <w:spacing w:line="340" w:lineRule="exact"/>
                    <w:jc w:val="center"/>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面积</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p>
              </w:tc>
              <w:tc>
                <w:tcPr>
                  <w:tcW w:w="1315" w:type="dxa"/>
                  <w:tcBorders>
                    <w:tl2br w:val="nil"/>
                    <w:tr2bl w:val="nil"/>
                  </w:tcBorders>
                  <w:vAlign w:val="center"/>
                </w:tcPr>
                <w:p>
                  <w:pPr>
                    <w:spacing w:line="340" w:lineRule="exact"/>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高度</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m</w:t>
                  </w:r>
                  <w:r>
                    <w:rPr>
                      <w:rFonts w:hint="eastAsia"/>
                      <w:color w:val="000000" w:themeColor="text1"/>
                      <w:lang w:eastAsia="zh-CN"/>
                      <w14:textFill>
                        <w14:solidFill>
                          <w14:schemeClr w14:val="tx1"/>
                        </w14:solidFill>
                      </w14:textFill>
                    </w:rPr>
                    <w:t>）</w:t>
                  </w:r>
                </w:p>
              </w:tc>
              <w:tc>
                <w:tcPr>
                  <w:tcW w:w="920" w:type="dxa"/>
                  <w:tcBorders>
                    <w:tl2br w:val="nil"/>
                    <w:tr2bl w:val="nil"/>
                  </w:tcBorders>
                  <w:vAlign w:val="center"/>
                </w:tcPr>
                <w:p>
                  <w:pPr>
                    <w:spacing w:line="340" w:lineRule="exact"/>
                    <w:jc w:val="center"/>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换气次数</w:t>
                  </w:r>
                  <w:r>
                    <w:rPr>
                      <w:rFonts w:hint="eastAsia"/>
                      <w:color w:val="000000" w:themeColor="text1"/>
                      <w:lang w:eastAsia="zh-CN"/>
                      <w14:textFill>
                        <w14:solidFill>
                          <w14:schemeClr w14:val="tx1"/>
                        </w14:solidFill>
                      </w14:textFill>
                    </w:rPr>
                    <w:t>（次）</w:t>
                  </w:r>
                </w:p>
              </w:tc>
              <w:tc>
                <w:tcPr>
                  <w:tcW w:w="1284" w:type="dxa"/>
                  <w:tcBorders>
                    <w:tl2br w:val="nil"/>
                    <w:tr2bl w:val="nil"/>
                  </w:tcBorders>
                  <w:vAlign w:val="center"/>
                </w:tcPr>
                <w:p>
                  <w:pPr>
                    <w:spacing w:line="340" w:lineRule="exact"/>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风量</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/h</w:t>
                  </w:r>
                  <w:r>
                    <w:rPr>
                      <w:rFonts w:hint="eastAsia"/>
                      <w:color w:val="000000" w:themeColor="text1"/>
                      <w:sz w:val="21"/>
                      <w:szCs w:val="21"/>
                      <w:lang w:eastAsia="zh-CN"/>
                      <w14:textFill>
                        <w14:solidFill>
                          <w14:schemeClr w14:val="tx1"/>
                        </w14:solidFill>
                      </w14:textFill>
                    </w:rPr>
                    <w:t>）</w:t>
                  </w:r>
                </w:p>
              </w:tc>
              <w:tc>
                <w:tcPr>
                  <w:tcW w:w="1062"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风量设计</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/h</w:t>
                  </w:r>
                  <w:r>
                    <w:rPr>
                      <w:rFonts w:hint="eastAsia"/>
                      <w:color w:val="000000" w:themeColor="text1"/>
                      <w:sz w:val="21"/>
                      <w:szCs w:val="21"/>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3"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喷漆房1</w:t>
                  </w:r>
                </w:p>
              </w:tc>
              <w:tc>
                <w:tcPr>
                  <w:tcW w:w="1477" w:type="dxa"/>
                  <w:tcBorders>
                    <w:tl2br w:val="nil"/>
                    <w:tr2bl w:val="nil"/>
                  </w:tcBorders>
                  <w:vAlign w:val="center"/>
                </w:tcPr>
                <w:p>
                  <w:pPr>
                    <w:spacing w:line="34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1315"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920"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284"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12100</w:t>
                  </w:r>
                </w:p>
              </w:tc>
              <w:tc>
                <w:tcPr>
                  <w:tcW w:w="1062"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3"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sz w:val="21"/>
                      <w14:textFill>
                        <w14:solidFill>
                          <w14:schemeClr w14:val="tx1"/>
                        </w14:solidFill>
                      </w14:textFill>
                    </w:rPr>
                    <w:t>喷漆房2</w:t>
                  </w:r>
                </w:p>
              </w:tc>
              <w:tc>
                <w:tcPr>
                  <w:tcW w:w="1477"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1315"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920"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284"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12100</w:t>
                  </w:r>
                </w:p>
              </w:tc>
              <w:tc>
                <w:tcPr>
                  <w:tcW w:w="1062"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3"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sz w:val="21"/>
                      <w14:textFill>
                        <w14:solidFill>
                          <w14:schemeClr w14:val="tx1"/>
                        </w14:solidFill>
                      </w14:textFill>
                    </w:rPr>
                    <w:t>喷漆房3</w:t>
                  </w:r>
                </w:p>
              </w:tc>
              <w:tc>
                <w:tcPr>
                  <w:tcW w:w="1477"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1315"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920"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284"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12100</w:t>
                  </w:r>
                </w:p>
              </w:tc>
              <w:tc>
                <w:tcPr>
                  <w:tcW w:w="1062" w:type="dxa"/>
                  <w:tcBorders>
                    <w:tl2br w:val="nil"/>
                    <w:tr2bl w:val="nil"/>
                  </w:tcBorders>
                  <w:vAlign w:val="center"/>
                </w:tcPr>
                <w:p>
                  <w:pPr>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12100</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按上表计算所需每个喷漆房新风量12100m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根据业主提供资料，3个喷漆房</w:t>
            </w:r>
            <w:r>
              <w:rPr>
                <w:color w:val="000000" w:themeColor="text1"/>
                <w:sz w:val="24"/>
                <w14:textFill>
                  <w14:solidFill>
                    <w14:schemeClr w14:val="tx1"/>
                  </w14:solidFill>
                </w14:textFill>
              </w:rPr>
              <w:t>有机溶剂</w:t>
            </w:r>
            <w:r>
              <w:rPr>
                <w:rFonts w:hint="eastAsia"/>
                <w:color w:val="000000" w:themeColor="text1"/>
                <w:sz w:val="24"/>
                <w14:textFill>
                  <w14:solidFill>
                    <w14:schemeClr w14:val="tx1"/>
                  </w14:solidFill>
                </w14:textFill>
              </w:rPr>
              <w:t>使用量按照一致计算，3个喷漆房</w:t>
            </w:r>
            <w:r>
              <w:rPr>
                <w:color w:val="000000" w:themeColor="text1"/>
                <w:sz w:val="24"/>
                <w14:textFill>
                  <w14:solidFill>
                    <w14:schemeClr w14:val="tx1"/>
                  </w14:solidFill>
                </w14:textFill>
              </w:rPr>
              <w:t>排出的有机废气</w:t>
            </w:r>
            <w:r>
              <w:rPr>
                <w:rFonts w:hint="eastAsia"/>
                <w:color w:val="000000" w:themeColor="text1"/>
                <w:sz w:val="24"/>
                <w14:textFill>
                  <w14:solidFill>
                    <w14:schemeClr w14:val="tx1"/>
                  </w14:solidFill>
                </w14:textFill>
              </w:rPr>
              <w:t>分别</w:t>
            </w:r>
            <w:r>
              <w:rPr>
                <w:color w:val="000000" w:themeColor="text1"/>
                <w:sz w:val="24"/>
                <w14:textFill>
                  <w14:solidFill>
                    <w14:schemeClr w14:val="tx1"/>
                  </w14:solidFill>
                </w14:textFill>
              </w:rPr>
              <w:t>进入</w:t>
            </w:r>
            <w:r>
              <w:rPr>
                <w:rFonts w:hint="eastAsia"/>
                <w:color w:val="000000" w:themeColor="text1"/>
                <w:sz w:val="24"/>
                <w14:textFill>
                  <w14:solidFill>
                    <w14:schemeClr w14:val="tx1"/>
                  </w14:solidFill>
                </w14:textFill>
              </w:rPr>
              <w:t>3套</w:t>
            </w:r>
            <w:r>
              <w:rPr>
                <w:color w:val="000000" w:themeColor="text1"/>
                <w:sz w:val="24"/>
                <w14:textFill>
                  <w14:solidFill>
                    <w14:schemeClr w14:val="tx1"/>
                  </w14:solidFill>
                </w14:textFill>
              </w:rPr>
              <w:t>水帘柜+</w:t>
            </w:r>
            <w:r>
              <w:rPr>
                <w:rFonts w:hint="eastAsia"/>
                <w:color w:val="000000" w:themeColor="text1"/>
                <w:sz w:val="24"/>
                <w14:textFill>
                  <w14:solidFill>
                    <w14:schemeClr w14:val="tx1"/>
                  </w14:solidFill>
                </w14:textFill>
              </w:rPr>
              <w:t>二级</w:t>
            </w:r>
            <w:r>
              <w:rPr>
                <w:color w:val="000000" w:themeColor="text1"/>
                <w:sz w:val="24"/>
                <w14:textFill>
                  <w14:solidFill>
                    <w14:schemeClr w14:val="tx1"/>
                  </w14:solidFill>
                </w14:textFill>
              </w:rPr>
              <w:t>活性炭吸附装置</w:t>
            </w:r>
            <w:r>
              <w:rPr>
                <w:rFonts w:hint="eastAsia"/>
                <w:color w:val="000000" w:themeColor="text1"/>
                <w:sz w:val="24"/>
                <w14:textFill>
                  <w14:solidFill>
                    <w14:schemeClr w14:val="tx1"/>
                  </w14:solidFill>
                </w14:textFill>
              </w:rPr>
              <w:t>+15m高排气筒（DA002~DA004）排放</w:t>
            </w:r>
            <w:r>
              <w:rPr>
                <w:color w:val="000000" w:themeColor="text1"/>
                <w:sz w:val="24"/>
                <w14:textFill>
                  <w14:solidFill>
                    <w14:schemeClr w14:val="tx1"/>
                  </w14:solidFill>
                </w14:textFill>
              </w:rPr>
              <w:t>。</w:t>
            </w:r>
            <w:r>
              <w:rPr>
                <w:color w:val="0000FF"/>
                <w:sz w:val="24"/>
              </w:rPr>
              <w:t>水帘柜+</w:t>
            </w:r>
            <w:r>
              <w:rPr>
                <w:rFonts w:hint="eastAsia"/>
                <w:color w:val="0000FF"/>
                <w:sz w:val="24"/>
              </w:rPr>
              <w:t>二级</w:t>
            </w:r>
            <w:r>
              <w:rPr>
                <w:color w:val="0000FF"/>
                <w:sz w:val="24"/>
              </w:rPr>
              <w:t>活性炭吸附装置对TVOC、甲苯及二甲苯的处理效率为</w:t>
            </w:r>
            <w:r>
              <w:rPr>
                <w:rFonts w:hint="eastAsia"/>
                <w:color w:val="0000FF"/>
                <w:sz w:val="24"/>
              </w:rPr>
              <w:t>50</w:t>
            </w:r>
            <w:r>
              <w:rPr>
                <w:color w:val="0000FF"/>
                <w:sz w:val="24"/>
              </w:rPr>
              <w:t>%，</w:t>
            </w:r>
            <w:r>
              <w:rPr>
                <w:color w:val="000000" w:themeColor="text1"/>
                <w:sz w:val="24"/>
                <w14:textFill>
                  <w14:solidFill>
                    <w14:schemeClr w14:val="tx1"/>
                  </w14:solidFill>
                </w14:textFill>
              </w:rPr>
              <w:t>对漆雾因子的处理效率为90%（其中水帘柜处理效率为90%）。</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由此可计算出进入水帘柜+</w:t>
            </w:r>
            <w:r>
              <w:rPr>
                <w:rFonts w:hint="eastAsia"/>
                <w:color w:val="000000" w:themeColor="text1"/>
                <w:sz w:val="24"/>
                <w14:textFill>
                  <w14:solidFill>
                    <w14:schemeClr w14:val="tx1"/>
                  </w14:solidFill>
                </w14:textFill>
              </w:rPr>
              <w:t>二级</w:t>
            </w:r>
            <w:r>
              <w:rPr>
                <w:color w:val="000000" w:themeColor="text1"/>
                <w:sz w:val="24"/>
                <w14:textFill>
                  <w14:solidFill>
                    <w14:schemeClr w14:val="tx1"/>
                  </w14:solidFill>
                </w14:textFill>
              </w:rPr>
              <w:t>活性炭吸附装置前</w:t>
            </w:r>
            <w:r>
              <w:rPr>
                <w:rFonts w:hint="eastAsia"/>
                <w:color w:val="000000" w:themeColor="text1"/>
                <w:sz w:val="24"/>
                <w14:textFill>
                  <w14:solidFill>
                    <w14:schemeClr w14:val="tx1"/>
                  </w14:solidFill>
                </w14:textFill>
              </w:rPr>
              <w:t>每个喷漆</w:t>
            </w:r>
            <w:r>
              <w:rPr>
                <w:color w:val="000000" w:themeColor="text1"/>
                <w:sz w:val="24"/>
                <w14:textFill>
                  <w14:solidFill>
                    <w14:schemeClr w14:val="tx1"/>
                  </w14:solidFill>
                </w14:textFill>
              </w:rPr>
              <w:t>车间TVOC、甲苯、二甲苯及漆雾的产生浓度、产生速率。</w:t>
            </w:r>
          </w:p>
          <w:p>
            <w:pPr>
              <w:tabs>
                <w:tab w:val="left" w:pos="180"/>
              </w:tabs>
              <w:spacing w:before="120" w:beforeLines="5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表4-7   项目喷漆房1有组织废气产生情况一览表</w:t>
            </w:r>
          </w:p>
          <w:tbl>
            <w:tblPr>
              <w:tblStyle w:val="34"/>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829"/>
              <w:gridCol w:w="1872"/>
              <w:gridCol w:w="1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pPr>
                  <w:r>
                    <w:rPr>
                      <w:rFonts w:hint="eastAsia"/>
                    </w:rPr>
                    <w:t>污染物</w:t>
                  </w:r>
                </w:p>
              </w:tc>
              <w:tc>
                <w:tcPr>
                  <w:tcW w:w="1937" w:type="dxa"/>
                  <w:tcBorders>
                    <w:tl2br w:val="nil"/>
                    <w:tr2bl w:val="nil"/>
                  </w:tcBorders>
                  <w:vAlign w:val="center"/>
                </w:tcPr>
                <w:p>
                  <w:pPr>
                    <w:spacing w:line="340" w:lineRule="exact"/>
                    <w:jc w:val="center"/>
                  </w:pPr>
                  <w:r>
                    <w:rPr>
                      <w:rFonts w:hint="eastAsia"/>
                    </w:rPr>
                    <w:t>产生浓度（mg/m</w:t>
                  </w:r>
                  <w:r>
                    <w:rPr>
                      <w:rFonts w:hint="eastAsia"/>
                      <w:vertAlign w:val="superscript"/>
                    </w:rPr>
                    <w:t>3</w:t>
                  </w:r>
                  <w:r>
                    <w:rPr>
                      <w:rFonts w:hint="eastAsia"/>
                    </w:rPr>
                    <w:t>）</w:t>
                  </w:r>
                </w:p>
              </w:tc>
              <w:tc>
                <w:tcPr>
                  <w:tcW w:w="1983" w:type="dxa"/>
                  <w:tcBorders>
                    <w:tl2br w:val="nil"/>
                    <w:tr2bl w:val="nil"/>
                  </w:tcBorders>
                  <w:vAlign w:val="center"/>
                </w:tcPr>
                <w:p>
                  <w:pPr>
                    <w:spacing w:line="340" w:lineRule="exact"/>
                    <w:jc w:val="center"/>
                  </w:pPr>
                  <w:r>
                    <w:rPr>
                      <w:rFonts w:hint="eastAsia"/>
                    </w:rPr>
                    <w:t>产生速率（kg/h）</w:t>
                  </w:r>
                </w:p>
              </w:tc>
              <w:tc>
                <w:tcPr>
                  <w:tcW w:w="2029" w:type="dxa"/>
                  <w:tcBorders>
                    <w:tl2br w:val="nil"/>
                    <w:tr2bl w:val="nil"/>
                  </w:tcBorders>
                  <w:vAlign w:val="center"/>
                </w:tcPr>
                <w:p>
                  <w:pPr>
                    <w:spacing w:line="340" w:lineRule="exact"/>
                    <w:jc w:val="center"/>
                  </w:pPr>
                  <w:r>
                    <w:rPr>
                      <w:rFonts w:hint="eastAsia"/>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pPr>
                  <w:r>
                    <w:rPr>
                      <w:rFonts w:hint="eastAsia"/>
                    </w:rPr>
                    <w:t>TVOC</w:t>
                  </w:r>
                </w:p>
              </w:tc>
              <w:tc>
                <w:tcPr>
                  <w:tcW w:w="1937" w:type="dxa"/>
                  <w:tcBorders>
                    <w:tl2br w:val="nil"/>
                    <w:tr2bl w:val="nil"/>
                  </w:tcBorders>
                  <w:vAlign w:val="center"/>
                </w:tcPr>
                <w:p>
                  <w:pPr>
                    <w:spacing w:line="340" w:lineRule="exact"/>
                    <w:jc w:val="center"/>
                  </w:pPr>
                  <w:r>
                    <w:rPr>
                      <w:rFonts w:hint="eastAsia"/>
                    </w:rPr>
                    <w:t>35.8</w:t>
                  </w:r>
                </w:p>
              </w:tc>
              <w:tc>
                <w:tcPr>
                  <w:tcW w:w="1983" w:type="dxa"/>
                  <w:tcBorders>
                    <w:tl2br w:val="nil"/>
                    <w:tr2bl w:val="nil"/>
                  </w:tcBorders>
                  <w:vAlign w:val="center"/>
                </w:tcPr>
                <w:p>
                  <w:pPr>
                    <w:spacing w:line="340" w:lineRule="exact"/>
                    <w:jc w:val="center"/>
                  </w:pPr>
                  <w:r>
                    <w:rPr>
                      <w:rFonts w:hint="eastAsia"/>
                    </w:rPr>
                    <w:t>0.43</w:t>
                  </w:r>
                </w:p>
              </w:tc>
              <w:tc>
                <w:tcPr>
                  <w:tcW w:w="2029" w:type="dxa"/>
                  <w:tcBorders>
                    <w:tl2br w:val="nil"/>
                    <w:tr2bl w:val="nil"/>
                  </w:tcBorders>
                  <w:vAlign w:val="center"/>
                </w:tcPr>
                <w:p>
                  <w:pPr>
                    <w:spacing w:line="340" w:lineRule="exact"/>
                    <w:jc w:val="center"/>
                  </w:pPr>
                  <w:r>
                    <w:rPr>
                      <w:rFonts w:hint="eastAsia"/>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pPr>
                  <w:r>
                    <w:rPr>
                      <w:rFonts w:hint="eastAsia"/>
                    </w:rPr>
                    <w:t>甲苯及二甲苯</w:t>
                  </w:r>
                </w:p>
              </w:tc>
              <w:tc>
                <w:tcPr>
                  <w:tcW w:w="1937" w:type="dxa"/>
                  <w:tcBorders>
                    <w:tl2br w:val="nil"/>
                    <w:tr2bl w:val="nil"/>
                  </w:tcBorders>
                  <w:vAlign w:val="center"/>
                </w:tcPr>
                <w:p>
                  <w:pPr>
                    <w:spacing w:line="340" w:lineRule="exact"/>
                    <w:jc w:val="center"/>
                  </w:pPr>
                  <w:r>
                    <w:rPr>
                      <w:rFonts w:hint="eastAsia"/>
                    </w:rPr>
                    <w:t>8.6</w:t>
                  </w:r>
                </w:p>
              </w:tc>
              <w:tc>
                <w:tcPr>
                  <w:tcW w:w="1983" w:type="dxa"/>
                  <w:tcBorders>
                    <w:tl2br w:val="nil"/>
                    <w:tr2bl w:val="nil"/>
                  </w:tcBorders>
                  <w:vAlign w:val="center"/>
                </w:tcPr>
                <w:p>
                  <w:pPr>
                    <w:spacing w:line="340" w:lineRule="exact"/>
                    <w:jc w:val="center"/>
                  </w:pPr>
                  <w:r>
                    <w:rPr>
                      <w:rFonts w:hint="eastAsia"/>
                    </w:rPr>
                    <w:t>0.105</w:t>
                  </w:r>
                </w:p>
              </w:tc>
              <w:tc>
                <w:tcPr>
                  <w:tcW w:w="2029" w:type="dxa"/>
                  <w:tcBorders>
                    <w:tl2br w:val="nil"/>
                    <w:tr2bl w:val="nil"/>
                  </w:tcBorders>
                  <w:vAlign w:val="center"/>
                </w:tcPr>
                <w:p>
                  <w:pPr>
                    <w:spacing w:line="340" w:lineRule="exact"/>
                    <w:jc w:val="center"/>
                  </w:pPr>
                  <w:r>
                    <w:rPr>
                      <w:rFonts w:hint="eastAsia"/>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pPr>
                  <w:r>
                    <w:rPr>
                      <w:rFonts w:hint="eastAsia"/>
                    </w:rPr>
                    <w:t>漆雾</w:t>
                  </w:r>
                </w:p>
              </w:tc>
              <w:tc>
                <w:tcPr>
                  <w:tcW w:w="1937" w:type="dxa"/>
                  <w:tcBorders>
                    <w:tl2br w:val="nil"/>
                    <w:tr2bl w:val="nil"/>
                  </w:tcBorders>
                  <w:vAlign w:val="center"/>
                </w:tcPr>
                <w:p>
                  <w:pPr>
                    <w:spacing w:line="340" w:lineRule="exact"/>
                    <w:jc w:val="center"/>
                    <w:rPr>
                      <w:rFonts w:hint="eastAsia" w:eastAsia="宋体"/>
                      <w:lang w:val="en-US" w:eastAsia="zh-CN"/>
                    </w:rPr>
                  </w:pPr>
                  <w:r>
                    <w:rPr>
                      <w:rFonts w:hint="eastAsia"/>
                    </w:rPr>
                    <w:t>5.4</w:t>
                  </w:r>
                  <w:r>
                    <w:rPr>
                      <w:rFonts w:hint="eastAsia"/>
                      <w:lang w:val="en-US" w:eastAsia="zh-CN"/>
                    </w:rPr>
                    <w:t>8</w:t>
                  </w:r>
                </w:p>
              </w:tc>
              <w:tc>
                <w:tcPr>
                  <w:tcW w:w="1983" w:type="dxa"/>
                  <w:tcBorders>
                    <w:tl2br w:val="nil"/>
                    <w:tr2bl w:val="nil"/>
                  </w:tcBorders>
                  <w:vAlign w:val="center"/>
                </w:tcPr>
                <w:p>
                  <w:pPr>
                    <w:spacing w:line="340" w:lineRule="exact"/>
                    <w:jc w:val="center"/>
                  </w:pPr>
                  <w:r>
                    <w:rPr>
                      <w:rFonts w:hint="eastAsia"/>
                    </w:rPr>
                    <w:t>0.066</w:t>
                  </w:r>
                </w:p>
              </w:tc>
              <w:tc>
                <w:tcPr>
                  <w:tcW w:w="2029" w:type="dxa"/>
                  <w:tcBorders>
                    <w:tl2br w:val="nil"/>
                    <w:tr2bl w:val="nil"/>
                  </w:tcBorders>
                  <w:vAlign w:val="center"/>
                </w:tcPr>
                <w:p>
                  <w:pPr>
                    <w:spacing w:line="340" w:lineRule="exact"/>
                    <w:jc w:val="center"/>
                  </w:pPr>
                  <w:r>
                    <w:rPr>
                      <w:rFonts w:hint="eastAsia"/>
                    </w:rPr>
                    <w:t>0.159</w:t>
                  </w:r>
                </w:p>
              </w:tc>
            </w:tr>
          </w:tbl>
          <w:p>
            <w:pPr>
              <w:pStyle w:val="148"/>
              <w:spacing w:before="120" w:beforeLines="50" w:line="240" w:lineRule="auto"/>
              <w:ind w:firstLine="0"/>
              <w:jc w:val="center"/>
              <w:rPr>
                <w:rFonts w:hint="eastAsia" w:ascii="Times New Roman" w:hAnsi="Times New Roman" w:eastAsia="黑体"/>
              </w:rPr>
            </w:pPr>
          </w:p>
          <w:p>
            <w:pPr>
              <w:pStyle w:val="148"/>
              <w:spacing w:before="120" w:beforeLines="50" w:line="240" w:lineRule="auto"/>
              <w:ind w:firstLine="0"/>
              <w:jc w:val="center"/>
              <w:rPr>
                <w:rFonts w:hint="eastAsia" w:ascii="Times New Roman" w:hAnsi="Times New Roman" w:eastAsia="黑体"/>
              </w:rPr>
            </w:pPr>
          </w:p>
          <w:p>
            <w:pPr>
              <w:pStyle w:val="148"/>
              <w:spacing w:before="120" w:beforeLines="50" w:line="240" w:lineRule="auto"/>
              <w:ind w:firstLine="0"/>
              <w:jc w:val="center"/>
              <w:rPr>
                <w:rFonts w:hint="eastAsia" w:ascii="Times New Roman" w:hAnsi="Times New Roman" w:eastAsia="黑体"/>
              </w:rPr>
            </w:pPr>
          </w:p>
          <w:p>
            <w:pPr>
              <w:pStyle w:val="148"/>
              <w:spacing w:before="120" w:beforeLines="50" w:line="240" w:lineRule="auto"/>
              <w:ind w:firstLine="0"/>
              <w:jc w:val="center"/>
              <w:rPr>
                <w:rFonts w:hint="eastAsia" w:ascii="Times New Roman" w:hAnsi="Times New Roman" w:eastAsia="黑体"/>
              </w:rPr>
            </w:pPr>
          </w:p>
          <w:p>
            <w:pPr>
              <w:pStyle w:val="148"/>
              <w:spacing w:before="120" w:beforeLines="50" w:line="240" w:lineRule="auto"/>
              <w:ind w:firstLine="0"/>
              <w:jc w:val="center"/>
              <w:rPr>
                <w:rFonts w:hint="eastAsia" w:ascii="Times New Roman" w:hAnsi="Times New Roman" w:eastAsia="黑体"/>
              </w:rPr>
            </w:pPr>
          </w:p>
          <w:p>
            <w:pPr>
              <w:pStyle w:val="148"/>
              <w:spacing w:before="120" w:beforeLines="50" w:line="240" w:lineRule="auto"/>
              <w:ind w:firstLine="0"/>
              <w:jc w:val="center"/>
              <w:rPr>
                <w:rFonts w:hint="eastAsia" w:ascii="Times New Roman" w:hAnsi="Times New Roman" w:eastAsia="黑体"/>
              </w:rPr>
            </w:pPr>
          </w:p>
          <w:p>
            <w:pPr>
              <w:pStyle w:val="148"/>
              <w:spacing w:before="120" w:beforeLines="50" w:line="240" w:lineRule="auto"/>
              <w:ind w:firstLine="0"/>
              <w:jc w:val="center"/>
              <w:rPr>
                <w:rFonts w:ascii="Times New Roman" w:hAnsi="Times New Roman" w:eastAsia="黑体"/>
              </w:rPr>
            </w:pPr>
            <w:r>
              <w:rPr>
                <w:rFonts w:hint="eastAsia" w:ascii="Times New Roman" w:hAnsi="Times New Roman" w:eastAsia="黑体"/>
              </w:rPr>
              <w:t>表4-8   项目喷漆房2有组织废气产生情况一览表</w:t>
            </w:r>
          </w:p>
          <w:tbl>
            <w:tblPr>
              <w:tblStyle w:val="34"/>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1860"/>
              <w:gridCol w:w="1882"/>
              <w:gridCol w:w="19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污染物</w:t>
                  </w:r>
                </w:p>
              </w:tc>
              <w:tc>
                <w:tcPr>
                  <w:tcW w:w="1860" w:type="dxa"/>
                  <w:tcBorders>
                    <w:tl2br w:val="nil"/>
                    <w:tr2bl w:val="nil"/>
                  </w:tcBorders>
                  <w:vAlign w:val="center"/>
                </w:tcPr>
                <w:p>
                  <w:pPr>
                    <w:spacing w:line="340" w:lineRule="exact"/>
                    <w:jc w:val="center"/>
                  </w:pPr>
                  <w:r>
                    <w:rPr>
                      <w:rFonts w:hint="eastAsia"/>
                    </w:rPr>
                    <w:t>产生浓度（mg/m</w:t>
                  </w:r>
                  <w:r>
                    <w:rPr>
                      <w:rFonts w:hint="eastAsia"/>
                      <w:vertAlign w:val="superscript"/>
                    </w:rPr>
                    <w:t>3</w:t>
                  </w:r>
                  <w:r>
                    <w:rPr>
                      <w:rFonts w:hint="eastAsia"/>
                    </w:rPr>
                    <w:t>）</w:t>
                  </w:r>
                </w:p>
              </w:tc>
              <w:tc>
                <w:tcPr>
                  <w:tcW w:w="1882" w:type="dxa"/>
                  <w:tcBorders>
                    <w:tl2br w:val="nil"/>
                    <w:tr2bl w:val="nil"/>
                  </w:tcBorders>
                  <w:vAlign w:val="center"/>
                </w:tcPr>
                <w:p>
                  <w:pPr>
                    <w:spacing w:line="340" w:lineRule="exact"/>
                    <w:jc w:val="center"/>
                  </w:pPr>
                  <w:r>
                    <w:rPr>
                      <w:rFonts w:hint="eastAsia"/>
                    </w:rPr>
                    <w:t>产生速率（kg/h）</w:t>
                  </w:r>
                </w:p>
              </w:tc>
              <w:tc>
                <w:tcPr>
                  <w:tcW w:w="1924" w:type="dxa"/>
                  <w:tcBorders>
                    <w:tl2br w:val="nil"/>
                    <w:tr2bl w:val="nil"/>
                  </w:tcBorders>
                  <w:vAlign w:val="center"/>
                </w:tcPr>
                <w:p>
                  <w:pPr>
                    <w:spacing w:line="340" w:lineRule="exact"/>
                    <w:jc w:val="center"/>
                  </w:pPr>
                  <w:r>
                    <w:rPr>
                      <w:rFonts w:hint="eastAsia"/>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TVOC</w:t>
                  </w:r>
                </w:p>
              </w:tc>
              <w:tc>
                <w:tcPr>
                  <w:tcW w:w="1860" w:type="dxa"/>
                  <w:tcBorders>
                    <w:tl2br w:val="nil"/>
                    <w:tr2bl w:val="nil"/>
                  </w:tcBorders>
                  <w:vAlign w:val="center"/>
                </w:tcPr>
                <w:p>
                  <w:pPr>
                    <w:spacing w:line="340" w:lineRule="exact"/>
                    <w:jc w:val="center"/>
                  </w:pPr>
                  <w:r>
                    <w:rPr>
                      <w:rFonts w:hint="eastAsia"/>
                    </w:rPr>
                    <w:t>35.8</w:t>
                  </w:r>
                </w:p>
              </w:tc>
              <w:tc>
                <w:tcPr>
                  <w:tcW w:w="1882" w:type="dxa"/>
                  <w:tcBorders>
                    <w:tl2br w:val="nil"/>
                    <w:tr2bl w:val="nil"/>
                  </w:tcBorders>
                  <w:vAlign w:val="center"/>
                </w:tcPr>
                <w:p>
                  <w:pPr>
                    <w:spacing w:line="340" w:lineRule="exact"/>
                    <w:jc w:val="center"/>
                  </w:pPr>
                  <w:r>
                    <w:rPr>
                      <w:rFonts w:hint="eastAsia"/>
                    </w:rPr>
                    <w:t>0.43</w:t>
                  </w:r>
                </w:p>
              </w:tc>
              <w:tc>
                <w:tcPr>
                  <w:tcW w:w="1924" w:type="dxa"/>
                  <w:tcBorders>
                    <w:tl2br w:val="nil"/>
                    <w:tr2bl w:val="nil"/>
                  </w:tcBorders>
                  <w:vAlign w:val="center"/>
                </w:tcPr>
                <w:p>
                  <w:pPr>
                    <w:spacing w:line="340" w:lineRule="exact"/>
                    <w:jc w:val="center"/>
                  </w:pPr>
                  <w:r>
                    <w:rPr>
                      <w:rFonts w:hint="eastAsia"/>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甲苯及二甲苯</w:t>
                  </w:r>
                </w:p>
              </w:tc>
              <w:tc>
                <w:tcPr>
                  <w:tcW w:w="1860" w:type="dxa"/>
                  <w:tcBorders>
                    <w:tl2br w:val="nil"/>
                    <w:tr2bl w:val="nil"/>
                  </w:tcBorders>
                  <w:vAlign w:val="center"/>
                </w:tcPr>
                <w:p>
                  <w:pPr>
                    <w:spacing w:line="340" w:lineRule="exact"/>
                    <w:jc w:val="center"/>
                  </w:pPr>
                  <w:r>
                    <w:rPr>
                      <w:rFonts w:hint="eastAsia"/>
                    </w:rPr>
                    <w:t>8.6</w:t>
                  </w:r>
                </w:p>
              </w:tc>
              <w:tc>
                <w:tcPr>
                  <w:tcW w:w="1882" w:type="dxa"/>
                  <w:tcBorders>
                    <w:tl2br w:val="nil"/>
                    <w:tr2bl w:val="nil"/>
                  </w:tcBorders>
                  <w:vAlign w:val="center"/>
                </w:tcPr>
                <w:p>
                  <w:pPr>
                    <w:spacing w:line="340" w:lineRule="exact"/>
                    <w:jc w:val="center"/>
                  </w:pPr>
                  <w:r>
                    <w:rPr>
                      <w:rFonts w:hint="eastAsia"/>
                    </w:rPr>
                    <w:t>0.105</w:t>
                  </w:r>
                </w:p>
              </w:tc>
              <w:tc>
                <w:tcPr>
                  <w:tcW w:w="1924" w:type="dxa"/>
                  <w:tcBorders>
                    <w:tl2br w:val="nil"/>
                    <w:tr2bl w:val="nil"/>
                  </w:tcBorders>
                  <w:vAlign w:val="center"/>
                </w:tcPr>
                <w:p>
                  <w:pPr>
                    <w:spacing w:line="340" w:lineRule="exact"/>
                    <w:jc w:val="center"/>
                  </w:pPr>
                  <w:r>
                    <w:rPr>
                      <w:rFonts w:hint="eastAsia"/>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漆雾</w:t>
                  </w:r>
                </w:p>
              </w:tc>
              <w:tc>
                <w:tcPr>
                  <w:tcW w:w="1860" w:type="dxa"/>
                  <w:tcBorders>
                    <w:tl2br w:val="nil"/>
                    <w:tr2bl w:val="nil"/>
                  </w:tcBorders>
                  <w:vAlign w:val="center"/>
                </w:tcPr>
                <w:p>
                  <w:pPr>
                    <w:spacing w:line="340" w:lineRule="exact"/>
                    <w:jc w:val="center"/>
                  </w:pPr>
                  <w:r>
                    <w:rPr>
                      <w:rFonts w:hint="eastAsia"/>
                    </w:rPr>
                    <w:t>5.4</w:t>
                  </w:r>
                  <w:r>
                    <w:rPr>
                      <w:rFonts w:hint="eastAsia"/>
                      <w:lang w:val="en-US" w:eastAsia="zh-CN"/>
                    </w:rPr>
                    <w:t>8</w:t>
                  </w:r>
                </w:p>
              </w:tc>
              <w:tc>
                <w:tcPr>
                  <w:tcW w:w="1882" w:type="dxa"/>
                  <w:tcBorders>
                    <w:tl2br w:val="nil"/>
                    <w:tr2bl w:val="nil"/>
                  </w:tcBorders>
                  <w:vAlign w:val="center"/>
                </w:tcPr>
                <w:p>
                  <w:pPr>
                    <w:spacing w:line="340" w:lineRule="exact"/>
                    <w:jc w:val="center"/>
                  </w:pPr>
                  <w:r>
                    <w:rPr>
                      <w:rFonts w:hint="eastAsia"/>
                    </w:rPr>
                    <w:t>0.066</w:t>
                  </w:r>
                </w:p>
              </w:tc>
              <w:tc>
                <w:tcPr>
                  <w:tcW w:w="1924" w:type="dxa"/>
                  <w:tcBorders>
                    <w:tl2br w:val="nil"/>
                    <w:tr2bl w:val="nil"/>
                  </w:tcBorders>
                  <w:vAlign w:val="center"/>
                </w:tcPr>
                <w:p>
                  <w:pPr>
                    <w:spacing w:line="340" w:lineRule="exact"/>
                    <w:jc w:val="center"/>
                  </w:pPr>
                  <w:r>
                    <w:rPr>
                      <w:rFonts w:hint="eastAsia"/>
                    </w:rPr>
                    <w:t>0.159</w:t>
                  </w:r>
                </w:p>
              </w:tc>
            </w:tr>
          </w:tbl>
          <w:p>
            <w:pPr>
              <w:pStyle w:val="148"/>
              <w:spacing w:before="120" w:beforeLines="50" w:line="240" w:lineRule="auto"/>
              <w:ind w:firstLine="0"/>
              <w:jc w:val="center"/>
              <w:rPr>
                <w:rFonts w:ascii="Times New Roman" w:hAnsi="Times New Roman" w:eastAsia="黑体"/>
              </w:rPr>
            </w:pPr>
            <w:r>
              <w:rPr>
                <w:rFonts w:hint="eastAsia" w:ascii="Times New Roman" w:hAnsi="Times New Roman" w:eastAsia="黑体"/>
              </w:rPr>
              <w:t>表4-9   项目喷漆房3有组织废气产生情况一览表</w:t>
            </w:r>
          </w:p>
          <w:tbl>
            <w:tblPr>
              <w:tblStyle w:val="34"/>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1860"/>
              <w:gridCol w:w="1882"/>
              <w:gridCol w:w="19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污染物</w:t>
                  </w:r>
                </w:p>
              </w:tc>
              <w:tc>
                <w:tcPr>
                  <w:tcW w:w="1860" w:type="dxa"/>
                  <w:tcBorders>
                    <w:tl2br w:val="nil"/>
                    <w:tr2bl w:val="nil"/>
                  </w:tcBorders>
                  <w:vAlign w:val="center"/>
                </w:tcPr>
                <w:p>
                  <w:pPr>
                    <w:spacing w:line="340" w:lineRule="exact"/>
                    <w:jc w:val="center"/>
                  </w:pPr>
                  <w:r>
                    <w:rPr>
                      <w:rFonts w:hint="eastAsia"/>
                    </w:rPr>
                    <w:t>产生浓度（mg/m</w:t>
                  </w:r>
                  <w:r>
                    <w:rPr>
                      <w:rFonts w:hint="eastAsia"/>
                      <w:vertAlign w:val="superscript"/>
                    </w:rPr>
                    <w:t>3</w:t>
                  </w:r>
                  <w:r>
                    <w:rPr>
                      <w:rFonts w:hint="eastAsia"/>
                    </w:rPr>
                    <w:t>）</w:t>
                  </w:r>
                </w:p>
              </w:tc>
              <w:tc>
                <w:tcPr>
                  <w:tcW w:w="1882" w:type="dxa"/>
                  <w:tcBorders>
                    <w:tl2br w:val="nil"/>
                    <w:tr2bl w:val="nil"/>
                  </w:tcBorders>
                  <w:vAlign w:val="center"/>
                </w:tcPr>
                <w:p>
                  <w:pPr>
                    <w:spacing w:line="340" w:lineRule="exact"/>
                    <w:jc w:val="center"/>
                  </w:pPr>
                  <w:r>
                    <w:rPr>
                      <w:rFonts w:hint="eastAsia"/>
                    </w:rPr>
                    <w:t>产生速率（kg/h）</w:t>
                  </w:r>
                </w:p>
              </w:tc>
              <w:tc>
                <w:tcPr>
                  <w:tcW w:w="1924" w:type="dxa"/>
                  <w:tcBorders>
                    <w:tl2br w:val="nil"/>
                    <w:tr2bl w:val="nil"/>
                  </w:tcBorders>
                  <w:vAlign w:val="center"/>
                </w:tcPr>
                <w:p>
                  <w:pPr>
                    <w:spacing w:line="340" w:lineRule="exact"/>
                    <w:jc w:val="center"/>
                  </w:pPr>
                  <w:r>
                    <w:rPr>
                      <w:rFonts w:hint="eastAsia"/>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TVOC</w:t>
                  </w:r>
                </w:p>
              </w:tc>
              <w:tc>
                <w:tcPr>
                  <w:tcW w:w="1860" w:type="dxa"/>
                  <w:tcBorders>
                    <w:tl2br w:val="nil"/>
                    <w:tr2bl w:val="nil"/>
                  </w:tcBorders>
                  <w:vAlign w:val="center"/>
                </w:tcPr>
                <w:p>
                  <w:pPr>
                    <w:spacing w:line="340" w:lineRule="exact"/>
                    <w:jc w:val="center"/>
                  </w:pPr>
                  <w:r>
                    <w:rPr>
                      <w:rFonts w:hint="eastAsia"/>
                    </w:rPr>
                    <w:t>35.8</w:t>
                  </w:r>
                </w:p>
              </w:tc>
              <w:tc>
                <w:tcPr>
                  <w:tcW w:w="1882" w:type="dxa"/>
                  <w:tcBorders>
                    <w:tl2br w:val="nil"/>
                    <w:tr2bl w:val="nil"/>
                  </w:tcBorders>
                  <w:vAlign w:val="center"/>
                </w:tcPr>
                <w:p>
                  <w:pPr>
                    <w:spacing w:line="340" w:lineRule="exact"/>
                    <w:jc w:val="center"/>
                  </w:pPr>
                  <w:r>
                    <w:rPr>
                      <w:rFonts w:hint="eastAsia"/>
                    </w:rPr>
                    <w:t>0.43</w:t>
                  </w:r>
                </w:p>
              </w:tc>
              <w:tc>
                <w:tcPr>
                  <w:tcW w:w="1924" w:type="dxa"/>
                  <w:tcBorders>
                    <w:tl2br w:val="nil"/>
                    <w:tr2bl w:val="nil"/>
                  </w:tcBorders>
                  <w:vAlign w:val="center"/>
                </w:tcPr>
                <w:p>
                  <w:pPr>
                    <w:spacing w:line="340" w:lineRule="exact"/>
                    <w:jc w:val="center"/>
                  </w:pPr>
                  <w:r>
                    <w:rPr>
                      <w:rFonts w:hint="eastAsia"/>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甲苯及二甲苯</w:t>
                  </w:r>
                </w:p>
              </w:tc>
              <w:tc>
                <w:tcPr>
                  <w:tcW w:w="1860" w:type="dxa"/>
                  <w:tcBorders>
                    <w:tl2br w:val="nil"/>
                    <w:tr2bl w:val="nil"/>
                  </w:tcBorders>
                  <w:vAlign w:val="center"/>
                </w:tcPr>
                <w:p>
                  <w:pPr>
                    <w:spacing w:line="340" w:lineRule="exact"/>
                    <w:jc w:val="center"/>
                  </w:pPr>
                  <w:r>
                    <w:rPr>
                      <w:rFonts w:hint="eastAsia"/>
                    </w:rPr>
                    <w:t>8.6</w:t>
                  </w:r>
                </w:p>
              </w:tc>
              <w:tc>
                <w:tcPr>
                  <w:tcW w:w="1882" w:type="dxa"/>
                  <w:tcBorders>
                    <w:tl2br w:val="nil"/>
                    <w:tr2bl w:val="nil"/>
                  </w:tcBorders>
                  <w:vAlign w:val="center"/>
                </w:tcPr>
                <w:p>
                  <w:pPr>
                    <w:spacing w:line="340" w:lineRule="exact"/>
                    <w:jc w:val="center"/>
                  </w:pPr>
                  <w:r>
                    <w:rPr>
                      <w:rFonts w:hint="eastAsia"/>
                    </w:rPr>
                    <w:t>0.105</w:t>
                  </w:r>
                </w:p>
              </w:tc>
              <w:tc>
                <w:tcPr>
                  <w:tcW w:w="1924" w:type="dxa"/>
                  <w:tcBorders>
                    <w:tl2br w:val="nil"/>
                    <w:tr2bl w:val="nil"/>
                  </w:tcBorders>
                  <w:vAlign w:val="center"/>
                </w:tcPr>
                <w:p>
                  <w:pPr>
                    <w:spacing w:line="340" w:lineRule="exact"/>
                    <w:jc w:val="center"/>
                  </w:pPr>
                  <w:r>
                    <w:rPr>
                      <w:rFonts w:hint="eastAsia"/>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8" w:type="dxa"/>
                  <w:tcBorders>
                    <w:tl2br w:val="nil"/>
                    <w:tr2bl w:val="nil"/>
                  </w:tcBorders>
                  <w:vAlign w:val="center"/>
                </w:tcPr>
                <w:p>
                  <w:pPr>
                    <w:spacing w:line="340" w:lineRule="exact"/>
                    <w:jc w:val="center"/>
                  </w:pPr>
                  <w:r>
                    <w:rPr>
                      <w:rFonts w:hint="eastAsia"/>
                    </w:rPr>
                    <w:t>漆雾</w:t>
                  </w:r>
                </w:p>
              </w:tc>
              <w:tc>
                <w:tcPr>
                  <w:tcW w:w="1860" w:type="dxa"/>
                  <w:tcBorders>
                    <w:tl2br w:val="nil"/>
                    <w:tr2bl w:val="nil"/>
                  </w:tcBorders>
                  <w:vAlign w:val="center"/>
                </w:tcPr>
                <w:p>
                  <w:pPr>
                    <w:spacing w:line="340" w:lineRule="exact"/>
                    <w:jc w:val="center"/>
                  </w:pPr>
                  <w:r>
                    <w:rPr>
                      <w:rFonts w:hint="eastAsia"/>
                    </w:rPr>
                    <w:t>5.4</w:t>
                  </w:r>
                  <w:r>
                    <w:rPr>
                      <w:rFonts w:hint="eastAsia"/>
                      <w:lang w:val="en-US" w:eastAsia="zh-CN"/>
                    </w:rPr>
                    <w:t>8</w:t>
                  </w:r>
                </w:p>
              </w:tc>
              <w:tc>
                <w:tcPr>
                  <w:tcW w:w="1882" w:type="dxa"/>
                  <w:tcBorders>
                    <w:tl2br w:val="nil"/>
                    <w:tr2bl w:val="nil"/>
                  </w:tcBorders>
                  <w:vAlign w:val="center"/>
                </w:tcPr>
                <w:p>
                  <w:pPr>
                    <w:spacing w:line="340" w:lineRule="exact"/>
                    <w:jc w:val="center"/>
                  </w:pPr>
                  <w:r>
                    <w:rPr>
                      <w:rFonts w:hint="eastAsia"/>
                    </w:rPr>
                    <w:t>0.066</w:t>
                  </w:r>
                </w:p>
              </w:tc>
              <w:tc>
                <w:tcPr>
                  <w:tcW w:w="1924" w:type="dxa"/>
                  <w:tcBorders>
                    <w:tl2br w:val="nil"/>
                    <w:tr2bl w:val="nil"/>
                  </w:tcBorders>
                  <w:vAlign w:val="center"/>
                </w:tcPr>
                <w:p>
                  <w:pPr>
                    <w:spacing w:line="340" w:lineRule="exact"/>
                    <w:jc w:val="center"/>
                  </w:pPr>
                  <w:r>
                    <w:rPr>
                      <w:rFonts w:hint="eastAsia"/>
                    </w:rPr>
                    <w:t>0.159</w:t>
                  </w:r>
                </w:p>
              </w:tc>
            </w:tr>
          </w:tbl>
          <w:p>
            <w:pPr>
              <w:spacing w:line="360" w:lineRule="auto"/>
              <w:ind w:firstLine="480" w:firstLineChars="200"/>
              <w:rPr>
                <w:sz w:val="24"/>
                <w:highlight w:val="none"/>
              </w:rPr>
            </w:pPr>
            <w:r>
              <w:rPr>
                <w:rFonts w:hint="eastAsia"/>
                <w:sz w:val="24"/>
                <w:highlight w:val="none"/>
              </w:rPr>
              <w:t>各</w:t>
            </w:r>
            <w:r>
              <w:rPr>
                <w:rFonts w:hint="eastAsia"/>
                <w:sz w:val="24"/>
                <w:highlight w:val="none"/>
                <w:lang w:eastAsia="zh-CN"/>
              </w:rPr>
              <w:t>喷漆房</w:t>
            </w:r>
            <w:r>
              <w:rPr>
                <w:rFonts w:hint="eastAsia"/>
                <w:sz w:val="24"/>
                <w:highlight w:val="none"/>
              </w:rPr>
              <w:t>废气经水帘柜+二级活性炭吸附装置处理后，每个喷漆房TVOC、甲苯及二甲苯和漆雾的排放量、排放速率及排放浓度见下表。</w:t>
            </w:r>
          </w:p>
          <w:p>
            <w:pPr>
              <w:pStyle w:val="148"/>
              <w:spacing w:before="120" w:beforeLines="50" w:line="240" w:lineRule="auto"/>
              <w:ind w:firstLine="0"/>
              <w:jc w:val="center"/>
              <w:rPr>
                <w:rFonts w:ascii="Times New Roman" w:hAnsi="Times New Roman" w:eastAsia="黑体"/>
                <w:highlight w:val="none"/>
              </w:rPr>
            </w:pPr>
            <w:r>
              <w:rPr>
                <w:rFonts w:hint="eastAsia" w:ascii="Times New Roman" w:hAnsi="Times New Roman" w:eastAsia="黑体"/>
                <w:highlight w:val="none"/>
              </w:rPr>
              <w:t>表4-10  项目喷漆房1有组织废气排放情况一览表</w:t>
            </w:r>
          </w:p>
          <w:tbl>
            <w:tblPr>
              <w:tblStyle w:val="34"/>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829"/>
              <w:gridCol w:w="1872"/>
              <w:gridCol w:w="1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rPr>
                      <w:highlight w:val="none"/>
                    </w:rPr>
                  </w:pPr>
                  <w:r>
                    <w:rPr>
                      <w:rFonts w:hint="eastAsia"/>
                      <w:highlight w:val="none"/>
                    </w:rPr>
                    <w:t>污染物</w:t>
                  </w:r>
                </w:p>
              </w:tc>
              <w:tc>
                <w:tcPr>
                  <w:tcW w:w="1937" w:type="dxa"/>
                  <w:tcBorders>
                    <w:tl2br w:val="nil"/>
                    <w:tr2bl w:val="nil"/>
                  </w:tcBorders>
                  <w:vAlign w:val="center"/>
                </w:tcPr>
                <w:p>
                  <w:pPr>
                    <w:spacing w:line="340" w:lineRule="exact"/>
                    <w:jc w:val="center"/>
                    <w:rPr>
                      <w:highlight w:val="none"/>
                    </w:rPr>
                  </w:pPr>
                  <w:r>
                    <w:rPr>
                      <w:rFonts w:hint="eastAsia"/>
                      <w:highlight w:val="none"/>
                    </w:rPr>
                    <w:t>排放浓度（mg/m</w:t>
                  </w:r>
                  <w:r>
                    <w:rPr>
                      <w:rFonts w:hint="eastAsia"/>
                      <w:highlight w:val="none"/>
                      <w:vertAlign w:val="superscript"/>
                    </w:rPr>
                    <w:t>3</w:t>
                  </w:r>
                  <w:r>
                    <w:rPr>
                      <w:rFonts w:hint="eastAsia"/>
                      <w:highlight w:val="none"/>
                    </w:rPr>
                    <w:t>）</w:t>
                  </w:r>
                </w:p>
              </w:tc>
              <w:tc>
                <w:tcPr>
                  <w:tcW w:w="1983" w:type="dxa"/>
                  <w:tcBorders>
                    <w:tl2br w:val="nil"/>
                    <w:tr2bl w:val="nil"/>
                  </w:tcBorders>
                  <w:vAlign w:val="center"/>
                </w:tcPr>
                <w:p>
                  <w:pPr>
                    <w:spacing w:line="340" w:lineRule="exact"/>
                    <w:jc w:val="center"/>
                    <w:rPr>
                      <w:highlight w:val="none"/>
                    </w:rPr>
                  </w:pPr>
                  <w:r>
                    <w:rPr>
                      <w:rFonts w:hint="eastAsia"/>
                      <w:highlight w:val="none"/>
                    </w:rPr>
                    <w:t>排放速率（kg/h）</w:t>
                  </w:r>
                </w:p>
              </w:tc>
              <w:tc>
                <w:tcPr>
                  <w:tcW w:w="2029" w:type="dxa"/>
                  <w:tcBorders>
                    <w:tl2br w:val="nil"/>
                    <w:tr2bl w:val="nil"/>
                  </w:tcBorders>
                  <w:vAlign w:val="center"/>
                </w:tcPr>
                <w:p>
                  <w:pPr>
                    <w:spacing w:line="340" w:lineRule="exact"/>
                    <w:jc w:val="center"/>
                    <w:rPr>
                      <w:highlight w:val="none"/>
                    </w:rPr>
                  </w:pPr>
                  <w:r>
                    <w:rPr>
                      <w:rFonts w:hint="eastAsia"/>
                      <w:highlight w:val="none"/>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rPr>
                      <w:highlight w:val="none"/>
                    </w:rPr>
                  </w:pPr>
                  <w:r>
                    <w:rPr>
                      <w:rFonts w:hint="eastAsia"/>
                      <w:highlight w:val="none"/>
                    </w:rPr>
                    <w:t>TVOC</w:t>
                  </w:r>
                </w:p>
              </w:tc>
              <w:tc>
                <w:tcPr>
                  <w:tcW w:w="1937" w:type="dxa"/>
                  <w:tcBorders>
                    <w:tl2br w:val="nil"/>
                    <w:tr2bl w:val="nil"/>
                  </w:tcBorders>
                  <w:vAlign w:val="center"/>
                </w:tcPr>
                <w:p>
                  <w:pPr>
                    <w:spacing w:line="340" w:lineRule="exact"/>
                    <w:jc w:val="center"/>
                    <w:rPr>
                      <w:rFonts w:hint="default"/>
                      <w:highlight w:val="none"/>
                    </w:rPr>
                  </w:pPr>
                  <w:r>
                    <w:rPr>
                      <w:rFonts w:hint="eastAsia"/>
                      <w:highlight w:val="none"/>
                      <w:lang w:eastAsia="zh-CN"/>
                    </w:rPr>
                    <w:t>1</w:t>
                  </w:r>
                  <w:r>
                    <w:rPr>
                      <w:rFonts w:hint="eastAsia"/>
                      <w:highlight w:val="none"/>
                      <w:lang w:val="en-US" w:eastAsia="zh-CN"/>
                    </w:rPr>
                    <w:t>7.9</w:t>
                  </w:r>
                </w:p>
              </w:tc>
              <w:tc>
                <w:tcPr>
                  <w:tcW w:w="1983" w:type="dxa"/>
                  <w:tcBorders>
                    <w:tl2br w:val="nil"/>
                    <w:tr2bl w:val="nil"/>
                  </w:tcBorders>
                  <w:vAlign w:val="center"/>
                </w:tcPr>
                <w:p>
                  <w:pPr>
                    <w:spacing w:line="340" w:lineRule="exact"/>
                    <w:jc w:val="center"/>
                    <w:rPr>
                      <w:rFonts w:hint="default"/>
                      <w:highlight w:val="none"/>
                      <w:lang w:val="en-US"/>
                    </w:rPr>
                  </w:pPr>
                  <w:r>
                    <w:rPr>
                      <w:rFonts w:hint="eastAsia"/>
                      <w:highlight w:val="none"/>
                      <w:lang w:eastAsia="zh-CN"/>
                    </w:rPr>
                    <w:t>0</w:t>
                  </w:r>
                  <w:r>
                    <w:rPr>
                      <w:rFonts w:hint="eastAsia"/>
                      <w:highlight w:val="none"/>
                      <w:lang w:val="en-US" w:eastAsia="zh-CN"/>
                    </w:rPr>
                    <w:t>.217</w:t>
                  </w:r>
                </w:p>
              </w:tc>
              <w:tc>
                <w:tcPr>
                  <w:tcW w:w="2029" w:type="dxa"/>
                  <w:tcBorders>
                    <w:tl2br w:val="nil"/>
                    <w:tr2bl w:val="nil"/>
                  </w:tcBorders>
                  <w:vAlign w:val="center"/>
                </w:tcPr>
                <w:p>
                  <w:pPr>
                    <w:spacing w:line="340" w:lineRule="exact"/>
                    <w:jc w:val="center"/>
                    <w:rPr>
                      <w:rFonts w:hint="default"/>
                      <w:highlight w:val="none"/>
                    </w:rPr>
                  </w:pPr>
                  <w:r>
                    <w:rPr>
                      <w:rFonts w:hint="eastAsia"/>
                      <w:highlight w:val="none"/>
                    </w:rPr>
                    <w:t>0.</w:t>
                  </w:r>
                  <w:r>
                    <w:rPr>
                      <w:rFonts w:hint="eastAsia"/>
                      <w:highlight w:val="none"/>
                      <w:lang w:eastAsia="zh-CN"/>
                    </w:rPr>
                    <w:t>5</w:t>
                  </w:r>
                  <w:r>
                    <w:rPr>
                      <w:rFonts w:hint="eastAsia"/>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rPr>
                      <w:highlight w:val="none"/>
                    </w:rPr>
                  </w:pPr>
                  <w:r>
                    <w:rPr>
                      <w:rFonts w:hint="eastAsia"/>
                      <w:highlight w:val="none"/>
                    </w:rPr>
                    <w:t>甲苯及二甲苯</w:t>
                  </w:r>
                </w:p>
              </w:tc>
              <w:tc>
                <w:tcPr>
                  <w:tcW w:w="1937" w:type="dxa"/>
                  <w:tcBorders>
                    <w:tl2br w:val="nil"/>
                    <w:tr2bl w:val="nil"/>
                  </w:tcBorders>
                  <w:vAlign w:val="center"/>
                </w:tcPr>
                <w:p>
                  <w:pPr>
                    <w:spacing w:line="340" w:lineRule="exact"/>
                    <w:jc w:val="center"/>
                    <w:rPr>
                      <w:rFonts w:hint="default"/>
                      <w:highlight w:val="none"/>
                    </w:rPr>
                  </w:pPr>
                  <w:r>
                    <w:rPr>
                      <w:rFonts w:hint="eastAsia"/>
                      <w:highlight w:val="none"/>
                      <w:lang w:eastAsia="zh-CN"/>
                    </w:rPr>
                    <w:t>4</w:t>
                  </w:r>
                  <w:r>
                    <w:rPr>
                      <w:rFonts w:hint="eastAsia"/>
                      <w:highlight w:val="none"/>
                      <w:lang w:val="en-US" w:eastAsia="zh-CN"/>
                    </w:rPr>
                    <w:t>.3</w:t>
                  </w:r>
                </w:p>
              </w:tc>
              <w:tc>
                <w:tcPr>
                  <w:tcW w:w="1983" w:type="dxa"/>
                  <w:tcBorders>
                    <w:tl2br w:val="nil"/>
                    <w:tr2bl w:val="nil"/>
                  </w:tcBorders>
                  <w:vAlign w:val="center"/>
                </w:tcPr>
                <w:p>
                  <w:pPr>
                    <w:spacing w:line="340" w:lineRule="exact"/>
                    <w:jc w:val="center"/>
                    <w:rPr>
                      <w:rFonts w:hint="default"/>
                      <w:highlight w:val="none"/>
                    </w:rPr>
                  </w:pPr>
                  <w:r>
                    <w:rPr>
                      <w:rFonts w:hint="eastAsia"/>
                      <w:highlight w:val="none"/>
                    </w:rPr>
                    <w:t>0.0</w:t>
                  </w:r>
                  <w:r>
                    <w:rPr>
                      <w:rFonts w:hint="eastAsia"/>
                      <w:highlight w:val="none"/>
                      <w:lang w:eastAsia="zh-CN"/>
                    </w:rPr>
                    <w:t>5</w:t>
                  </w:r>
                  <w:r>
                    <w:rPr>
                      <w:rFonts w:hint="eastAsia"/>
                      <w:highlight w:val="none"/>
                      <w:lang w:val="en-US" w:eastAsia="zh-CN"/>
                    </w:rPr>
                    <w:t>2</w:t>
                  </w:r>
                </w:p>
              </w:tc>
              <w:tc>
                <w:tcPr>
                  <w:tcW w:w="2029" w:type="dxa"/>
                  <w:tcBorders>
                    <w:tl2br w:val="nil"/>
                    <w:tr2bl w:val="nil"/>
                  </w:tcBorders>
                  <w:vAlign w:val="center"/>
                </w:tcPr>
                <w:p>
                  <w:pPr>
                    <w:spacing w:line="340" w:lineRule="exact"/>
                    <w:jc w:val="center"/>
                    <w:rPr>
                      <w:rFonts w:hint="default"/>
                      <w:highlight w:val="none"/>
                      <w:lang w:val="en-US"/>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tcBorders>
                    <w:tl2br w:val="nil"/>
                    <w:tr2bl w:val="nil"/>
                  </w:tcBorders>
                  <w:vAlign w:val="center"/>
                </w:tcPr>
                <w:p>
                  <w:pPr>
                    <w:spacing w:line="340" w:lineRule="exact"/>
                    <w:jc w:val="center"/>
                    <w:rPr>
                      <w:highlight w:val="none"/>
                    </w:rPr>
                  </w:pPr>
                  <w:r>
                    <w:rPr>
                      <w:rFonts w:hint="eastAsia"/>
                      <w:highlight w:val="none"/>
                    </w:rPr>
                    <w:t>漆雾</w:t>
                  </w:r>
                </w:p>
              </w:tc>
              <w:tc>
                <w:tcPr>
                  <w:tcW w:w="1937" w:type="dxa"/>
                  <w:tcBorders>
                    <w:tl2br w:val="nil"/>
                    <w:tr2bl w:val="nil"/>
                  </w:tcBorders>
                  <w:vAlign w:val="center"/>
                </w:tcPr>
                <w:p>
                  <w:pPr>
                    <w:spacing w:line="340" w:lineRule="exact"/>
                    <w:jc w:val="center"/>
                    <w:rPr>
                      <w:highlight w:val="none"/>
                    </w:rPr>
                  </w:pPr>
                  <w:r>
                    <w:rPr>
                      <w:rFonts w:hint="eastAsia"/>
                      <w:highlight w:val="none"/>
                    </w:rPr>
                    <w:t>0.55</w:t>
                  </w:r>
                </w:p>
              </w:tc>
              <w:tc>
                <w:tcPr>
                  <w:tcW w:w="1983" w:type="dxa"/>
                  <w:tcBorders>
                    <w:tl2br w:val="nil"/>
                    <w:tr2bl w:val="nil"/>
                  </w:tcBorders>
                  <w:vAlign w:val="center"/>
                </w:tcPr>
                <w:p>
                  <w:pPr>
                    <w:spacing w:line="340" w:lineRule="exact"/>
                    <w:jc w:val="center"/>
                    <w:rPr>
                      <w:highlight w:val="none"/>
                    </w:rPr>
                  </w:pPr>
                  <w:r>
                    <w:rPr>
                      <w:rFonts w:hint="eastAsia"/>
                      <w:highlight w:val="none"/>
                    </w:rPr>
                    <w:t>0.0066</w:t>
                  </w:r>
                </w:p>
              </w:tc>
              <w:tc>
                <w:tcPr>
                  <w:tcW w:w="2029" w:type="dxa"/>
                  <w:tcBorders>
                    <w:tl2br w:val="nil"/>
                    <w:tr2bl w:val="nil"/>
                  </w:tcBorders>
                  <w:vAlign w:val="center"/>
                </w:tcPr>
                <w:p>
                  <w:pPr>
                    <w:spacing w:line="340" w:lineRule="exact"/>
                    <w:jc w:val="center"/>
                    <w:rPr>
                      <w:highlight w:val="none"/>
                    </w:rPr>
                  </w:pPr>
                  <w:r>
                    <w:rPr>
                      <w:rFonts w:hint="eastAsia"/>
                      <w:highlight w:val="none"/>
                    </w:rPr>
                    <w:t>0.0159</w:t>
                  </w:r>
                </w:p>
              </w:tc>
            </w:tr>
          </w:tbl>
          <w:p>
            <w:pPr>
              <w:pStyle w:val="148"/>
              <w:spacing w:before="120" w:beforeLines="50" w:line="240" w:lineRule="auto"/>
              <w:ind w:firstLine="0"/>
              <w:jc w:val="center"/>
              <w:rPr>
                <w:rFonts w:ascii="Times New Roman" w:hAnsi="Times New Roman" w:eastAsia="黑体"/>
                <w:highlight w:val="none"/>
              </w:rPr>
            </w:pPr>
            <w:r>
              <w:rPr>
                <w:rFonts w:hint="eastAsia" w:ascii="Times New Roman" w:hAnsi="Times New Roman" w:eastAsia="黑体"/>
                <w:highlight w:val="none"/>
              </w:rPr>
              <w:t>表4-11  项目喷漆房2有组织废气排放情况一览表</w:t>
            </w:r>
          </w:p>
          <w:tbl>
            <w:tblPr>
              <w:tblStyle w:val="34"/>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50"/>
              <w:gridCol w:w="1865"/>
              <w:gridCol w:w="1884"/>
              <w:gridCol w:w="1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污染物</w:t>
                  </w:r>
                </w:p>
              </w:tc>
              <w:tc>
                <w:tcPr>
                  <w:tcW w:w="1877" w:type="dxa"/>
                  <w:tcBorders>
                    <w:tl2br w:val="nil"/>
                    <w:tr2bl w:val="nil"/>
                  </w:tcBorders>
                  <w:vAlign w:val="center"/>
                </w:tcPr>
                <w:p>
                  <w:pPr>
                    <w:spacing w:line="340" w:lineRule="exact"/>
                    <w:jc w:val="center"/>
                    <w:rPr>
                      <w:highlight w:val="none"/>
                    </w:rPr>
                  </w:pPr>
                  <w:r>
                    <w:rPr>
                      <w:rFonts w:hint="eastAsia"/>
                      <w:highlight w:val="none"/>
                    </w:rPr>
                    <w:t>排放浓度（mg/m</w:t>
                  </w:r>
                  <w:r>
                    <w:rPr>
                      <w:rFonts w:hint="eastAsia"/>
                      <w:highlight w:val="none"/>
                      <w:vertAlign w:val="superscript"/>
                    </w:rPr>
                    <w:t>3</w:t>
                  </w:r>
                  <w:r>
                    <w:rPr>
                      <w:rFonts w:hint="eastAsia"/>
                      <w:highlight w:val="none"/>
                    </w:rPr>
                    <w:t>）</w:t>
                  </w:r>
                </w:p>
              </w:tc>
              <w:tc>
                <w:tcPr>
                  <w:tcW w:w="1896" w:type="dxa"/>
                  <w:tcBorders>
                    <w:tl2br w:val="nil"/>
                    <w:tr2bl w:val="nil"/>
                  </w:tcBorders>
                  <w:vAlign w:val="center"/>
                </w:tcPr>
                <w:p>
                  <w:pPr>
                    <w:spacing w:line="340" w:lineRule="exact"/>
                    <w:jc w:val="center"/>
                    <w:rPr>
                      <w:highlight w:val="none"/>
                    </w:rPr>
                  </w:pPr>
                  <w:r>
                    <w:rPr>
                      <w:rFonts w:hint="eastAsia"/>
                      <w:highlight w:val="none"/>
                    </w:rPr>
                    <w:t>排放速率（kg/h）</w:t>
                  </w:r>
                </w:p>
              </w:tc>
              <w:tc>
                <w:tcPr>
                  <w:tcW w:w="1926" w:type="dxa"/>
                  <w:tcBorders>
                    <w:tl2br w:val="nil"/>
                    <w:tr2bl w:val="nil"/>
                  </w:tcBorders>
                  <w:vAlign w:val="center"/>
                </w:tcPr>
                <w:p>
                  <w:pPr>
                    <w:spacing w:line="340" w:lineRule="exact"/>
                    <w:jc w:val="center"/>
                    <w:rPr>
                      <w:highlight w:val="none"/>
                    </w:rPr>
                  </w:pPr>
                  <w:r>
                    <w:rPr>
                      <w:rFonts w:hint="eastAsia"/>
                      <w:highlight w:val="none"/>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TVOC</w:t>
                  </w:r>
                </w:p>
              </w:tc>
              <w:tc>
                <w:tcPr>
                  <w:tcW w:w="1877"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189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192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甲苯及二甲苯</w:t>
                  </w:r>
                </w:p>
              </w:tc>
              <w:tc>
                <w:tcPr>
                  <w:tcW w:w="1877"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189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192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漆雾</w:t>
                  </w:r>
                </w:p>
              </w:tc>
              <w:tc>
                <w:tcPr>
                  <w:tcW w:w="1877" w:type="dxa"/>
                  <w:tcBorders>
                    <w:tl2br w:val="nil"/>
                    <w:tr2bl w:val="nil"/>
                  </w:tcBorders>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1896" w:type="dxa"/>
                  <w:tcBorders>
                    <w:tl2br w:val="nil"/>
                    <w:tr2bl w:val="nil"/>
                  </w:tcBorders>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1926" w:type="dxa"/>
                  <w:tcBorders>
                    <w:tl2br w:val="nil"/>
                    <w:tr2bl w:val="nil"/>
                  </w:tcBorders>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r>
          </w:tbl>
          <w:p>
            <w:pPr>
              <w:pStyle w:val="148"/>
              <w:spacing w:before="120" w:beforeLines="50" w:line="240" w:lineRule="auto"/>
              <w:ind w:firstLine="0"/>
              <w:jc w:val="center"/>
              <w:rPr>
                <w:rFonts w:ascii="Times New Roman" w:hAnsi="Times New Roman" w:eastAsia="黑体"/>
                <w:highlight w:val="none"/>
              </w:rPr>
            </w:pPr>
            <w:r>
              <w:rPr>
                <w:rFonts w:hint="eastAsia" w:ascii="Times New Roman" w:hAnsi="Times New Roman" w:eastAsia="黑体"/>
                <w:highlight w:val="none"/>
              </w:rPr>
              <w:t>表4-12  项目喷漆房3有组织废气排放情况一览表</w:t>
            </w:r>
          </w:p>
          <w:tbl>
            <w:tblPr>
              <w:tblStyle w:val="34"/>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50"/>
              <w:gridCol w:w="1865"/>
              <w:gridCol w:w="1884"/>
              <w:gridCol w:w="1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污染物</w:t>
                  </w:r>
                </w:p>
              </w:tc>
              <w:tc>
                <w:tcPr>
                  <w:tcW w:w="1877" w:type="dxa"/>
                  <w:tcBorders>
                    <w:tl2br w:val="nil"/>
                    <w:tr2bl w:val="nil"/>
                  </w:tcBorders>
                  <w:vAlign w:val="center"/>
                </w:tcPr>
                <w:p>
                  <w:pPr>
                    <w:spacing w:line="340" w:lineRule="exact"/>
                    <w:jc w:val="center"/>
                    <w:rPr>
                      <w:highlight w:val="none"/>
                    </w:rPr>
                  </w:pPr>
                  <w:r>
                    <w:rPr>
                      <w:rFonts w:hint="eastAsia"/>
                      <w:highlight w:val="none"/>
                    </w:rPr>
                    <w:t>排放浓度（mg/m</w:t>
                  </w:r>
                  <w:r>
                    <w:rPr>
                      <w:rFonts w:hint="eastAsia"/>
                      <w:highlight w:val="none"/>
                      <w:vertAlign w:val="superscript"/>
                    </w:rPr>
                    <w:t>3</w:t>
                  </w:r>
                  <w:r>
                    <w:rPr>
                      <w:rFonts w:hint="eastAsia"/>
                      <w:highlight w:val="none"/>
                    </w:rPr>
                    <w:t>）</w:t>
                  </w:r>
                </w:p>
              </w:tc>
              <w:tc>
                <w:tcPr>
                  <w:tcW w:w="1896" w:type="dxa"/>
                  <w:tcBorders>
                    <w:tl2br w:val="nil"/>
                    <w:tr2bl w:val="nil"/>
                  </w:tcBorders>
                  <w:vAlign w:val="center"/>
                </w:tcPr>
                <w:p>
                  <w:pPr>
                    <w:spacing w:line="340" w:lineRule="exact"/>
                    <w:jc w:val="center"/>
                    <w:rPr>
                      <w:highlight w:val="none"/>
                    </w:rPr>
                  </w:pPr>
                  <w:r>
                    <w:rPr>
                      <w:rFonts w:hint="eastAsia"/>
                      <w:highlight w:val="none"/>
                    </w:rPr>
                    <w:t>排放速率（kg/h）</w:t>
                  </w:r>
                </w:p>
              </w:tc>
              <w:tc>
                <w:tcPr>
                  <w:tcW w:w="1926" w:type="dxa"/>
                  <w:tcBorders>
                    <w:tl2br w:val="nil"/>
                    <w:tr2bl w:val="nil"/>
                  </w:tcBorders>
                  <w:vAlign w:val="center"/>
                </w:tcPr>
                <w:p>
                  <w:pPr>
                    <w:spacing w:line="340" w:lineRule="exact"/>
                    <w:jc w:val="center"/>
                    <w:rPr>
                      <w:highlight w:val="none"/>
                    </w:rPr>
                  </w:pPr>
                  <w:r>
                    <w:rPr>
                      <w:rFonts w:hint="eastAsia"/>
                      <w:highlight w:val="none"/>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TVOC</w:t>
                  </w:r>
                </w:p>
              </w:tc>
              <w:tc>
                <w:tcPr>
                  <w:tcW w:w="1877"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189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192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甲苯及二甲苯</w:t>
                  </w:r>
                </w:p>
              </w:tc>
              <w:tc>
                <w:tcPr>
                  <w:tcW w:w="1877"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189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1926" w:type="dxa"/>
                  <w:tcBorders>
                    <w:tl2br w:val="nil"/>
                    <w:tr2bl w:val="nil"/>
                  </w:tcBorders>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8" w:type="dxa"/>
                  <w:tcBorders>
                    <w:tl2br w:val="nil"/>
                    <w:tr2bl w:val="nil"/>
                  </w:tcBorders>
                  <w:vAlign w:val="center"/>
                </w:tcPr>
                <w:p>
                  <w:pPr>
                    <w:spacing w:line="340" w:lineRule="exact"/>
                    <w:jc w:val="center"/>
                    <w:rPr>
                      <w:highlight w:val="none"/>
                    </w:rPr>
                  </w:pPr>
                  <w:r>
                    <w:rPr>
                      <w:rFonts w:hint="eastAsia"/>
                      <w:highlight w:val="none"/>
                    </w:rPr>
                    <w:t>漆雾</w:t>
                  </w:r>
                </w:p>
              </w:tc>
              <w:tc>
                <w:tcPr>
                  <w:tcW w:w="1877" w:type="dxa"/>
                  <w:tcBorders>
                    <w:tl2br w:val="nil"/>
                    <w:tr2bl w:val="nil"/>
                  </w:tcBorders>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1896" w:type="dxa"/>
                  <w:tcBorders>
                    <w:tl2br w:val="nil"/>
                    <w:tr2bl w:val="nil"/>
                  </w:tcBorders>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1926" w:type="dxa"/>
                  <w:tcBorders>
                    <w:tl2br w:val="nil"/>
                    <w:tr2bl w:val="nil"/>
                  </w:tcBorders>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r>
          </w:tbl>
          <w:p>
            <w:pPr>
              <w:spacing w:line="360" w:lineRule="auto"/>
              <w:ind w:firstLine="480" w:firstLineChars="200"/>
              <w:rPr>
                <w:sz w:val="24"/>
                <w:highlight w:val="none"/>
              </w:rPr>
            </w:pPr>
            <w:r>
              <w:rPr>
                <w:rFonts w:hint="eastAsia"/>
                <w:sz w:val="24"/>
                <w:highlight w:val="none"/>
              </w:rPr>
              <w:t>无组织废气：</w:t>
            </w:r>
          </w:p>
          <w:p>
            <w:pPr>
              <w:spacing w:line="360" w:lineRule="auto"/>
              <w:ind w:firstLine="480" w:firstLineChars="200"/>
              <w:rPr>
                <w:sz w:val="24"/>
              </w:rPr>
            </w:pPr>
            <w:r>
              <w:rPr>
                <w:rFonts w:hint="eastAsia"/>
                <w:sz w:val="24"/>
              </w:rPr>
              <w:t>未经收集的为无组织废气，废气收集效率为90%，则项目喷漆房无组织TVOC、甲苯、二甲苯及漆雾的排放量、排放速率见下表。</w:t>
            </w:r>
          </w:p>
          <w:p>
            <w:pPr>
              <w:pStyle w:val="148"/>
              <w:spacing w:before="120" w:beforeLines="50" w:line="240" w:lineRule="auto"/>
              <w:ind w:firstLine="0"/>
              <w:jc w:val="center"/>
              <w:rPr>
                <w:rFonts w:ascii="Times New Roman" w:hAnsi="Times New Roman" w:eastAsia="黑体"/>
              </w:rPr>
            </w:pPr>
            <w:r>
              <w:rPr>
                <w:rFonts w:hint="eastAsia" w:ascii="Times New Roman" w:hAnsi="Times New Roman" w:eastAsia="黑体"/>
              </w:rPr>
              <w:t>表4-13 项目喷漆房无组织废气排放情况一览表</w:t>
            </w:r>
          </w:p>
          <w:tbl>
            <w:tblPr>
              <w:tblStyle w:val="34"/>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20"/>
              <w:gridCol w:w="2378"/>
              <w:gridCol w:w="24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53" w:type="dxa"/>
                  <w:tcBorders>
                    <w:tl2br w:val="nil"/>
                    <w:tr2bl w:val="nil"/>
                  </w:tcBorders>
                  <w:vAlign w:val="center"/>
                </w:tcPr>
                <w:p>
                  <w:pPr>
                    <w:spacing w:line="340" w:lineRule="exact"/>
                    <w:jc w:val="center"/>
                  </w:pPr>
                  <w:r>
                    <w:rPr>
                      <w:rFonts w:hint="eastAsia"/>
                    </w:rPr>
                    <w:t>污染物</w:t>
                  </w:r>
                </w:p>
              </w:tc>
              <w:tc>
                <w:tcPr>
                  <w:tcW w:w="3836" w:type="dxa"/>
                  <w:tcBorders>
                    <w:tl2br w:val="nil"/>
                    <w:tr2bl w:val="nil"/>
                  </w:tcBorders>
                  <w:vAlign w:val="center"/>
                </w:tcPr>
                <w:p>
                  <w:pPr>
                    <w:spacing w:line="340" w:lineRule="exact"/>
                    <w:jc w:val="center"/>
                  </w:pPr>
                  <w:r>
                    <w:rPr>
                      <w:rFonts w:hint="eastAsia"/>
                    </w:rPr>
                    <w:t>排放速率（kg/h）</w:t>
                  </w:r>
                </w:p>
              </w:tc>
              <w:tc>
                <w:tcPr>
                  <w:tcW w:w="3925" w:type="dxa"/>
                  <w:tcBorders>
                    <w:tl2br w:val="nil"/>
                    <w:tr2bl w:val="nil"/>
                  </w:tcBorders>
                  <w:vAlign w:val="center"/>
                </w:tcPr>
                <w:p>
                  <w:pPr>
                    <w:spacing w:line="340" w:lineRule="exact"/>
                    <w:jc w:val="center"/>
                  </w:pPr>
                  <w:r>
                    <w:rPr>
                      <w:rFonts w:hint="eastAsia"/>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53" w:type="dxa"/>
                  <w:tcBorders>
                    <w:tl2br w:val="nil"/>
                    <w:tr2bl w:val="nil"/>
                  </w:tcBorders>
                  <w:vAlign w:val="center"/>
                </w:tcPr>
                <w:p>
                  <w:pPr>
                    <w:spacing w:line="340" w:lineRule="exact"/>
                    <w:jc w:val="center"/>
                  </w:pPr>
                  <w:r>
                    <w:rPr>
                      <w:rFonts w:hint="eastAsia"/>
                    </w:rPr>
                    <w:t>TVOC</w:t>
                  </w:r>
                </w:p>
              </w:tc>
              <w:tc>
                <w:tcPr>
                  <w:tcW w:w="3836" w:type="dxa"/>
                  <w:tcBorders>
                    <w:tl2br w:val="nil"/>
                    <w:tr2bl w:val="nil"/>
                  </w:tcBorders>
                  <w:vAlign w:val="center"/>
                </w:tcPr>
                <w:p>
                  <w:pPr>
                    <w:spacing w:line="340" w:lineRule="exact"/>
                    <w:jc w:val="center"/>
                    <w:rPr>
                      <w:rFonts w:hint="default" w:eastAsia="宋体"/>
                      <w:lang w:val="en-US" w:eastAsia="zh-CN"/>
                    </w:rPr>
                  </w:pPr>
                  <w:r>
                    <w:rPr>
                      <w:rFonts w:hint="eastAsia"/>
                    </w:rPr>
                    <w:t>0.</w:t>
                  </w:r>
                  <w:r>
                    <w:rPr>
                      <w:rFonts w:hint="eastAsia"/>
                      <w:lang w:val="en-US" w:eastAsia="zh-CN"/>
                    </w:rPr>
                    <w:t>145</w:t>
                  </w:r>
                </w:p>
              </w:tc>
              <w:tc>
                <w:tcPr>
                  <w:tcW w:w="3925" w:type="dxa"/>
                  <w:tcBorders>
                    <w:tl2br w:val="nil"/>
                    <w:tr2bl w:val="nil"/>
                  </w:tcBorders>
                  <w:vAlign w:val="center"/>
                </w:tcPr>
                <w:p>
                  <w:pPr>
                    <w:spacing w:line="340" w:lineRule="exact"/>
                    <w:jc w:val="center"/>
                    <w:rPr>
                      <w:rFonts w:hint="eastAsia" w:eastAsia="宋体"/>
                      <w:lang w:val="en-US" w:eastAsia="zh-CN"/>
                    </w:rPr>
                  </w:pPr>
                  <w:r>
                    <w:rPr>
                      <w:rFonts w:hint="eastAsia"/>
                    </w:rPr>
                    <w:t>0.34</w:t>
                  </w:r>
                  <w:r>
                    <w:rPr>
                      <w:rFonts w:hint="eastAsia"/>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53" w:type="dxa"/>
                  <w:tcBorders>
                    <w:tl2br w:val="nil"/>
                    <w:tr2bl w:val="nil"/>
                  </w:tcBorders>
                  <w:vAlign w:val="center"/>
                </w:tcPr>
                <w:p>
                  <w:pPr>
                    <w:spacing w:line="340" w:lineRule="exact"/>
                    <w:jc w:val="center"/>
                  </w:pPr>
                  <w:r>
                    <w:rPr>
                      <w:rFonts w:hint="eastAsia"/>
                    </w:rPr>
                    <w:t>甲苯及二甲苯</w:t>
                  </w:r>
                </w:p>
              </w:tc>
              <w:tc>
                <w:tcPr>
                  <w:tcW w:w="3836" w:type="dxa"/>
                  <w:tcBorders>
                    <w:tl2br w:val="nil"/>
                    <w:tr2bl w:val="nil"/>
                  </w:tcBorders>
                  <w:vAlign w:val="center"/>
                </w:tcPr>
                <w:p>
                  <w:pPr>
                    <w:spacing w:line="340" w:lineRule="exact"/>
                    <w:jc w:val="center"/>
                    <w:rPr>
                      <w:rFonts w:hint="default" w:eastAsia="宋体"/>
                      <w:lang w:val="en-US" w:eastAsia="zh-CN"/>
                    </w:rPr>
                  </w:pPr>
                  <w:r>
                    <w:rPr>
                      <w:rFonts w:hint="eastAsia"/>
                    </w:rPr>
                    <w:t>0.0</w:t>
                  </w:r>
                  <w:r>
                    <w:rPr>
                      <w:rFonts w:hint="eastAsia"/>
                      <w:lang w:val="en-US" w:eastAsia="zh-CN"/>
                    </w:rPr>
                    <w:t>35</w:t>
                  </w:r>
                </w:p>
              </w:tc>
              <w:tc>
                <w:tcPr>
                  <w:tcW w:w="3925" w:type="dxa"/>
                  <w:tcBorders>
                    <w:tl2br w:val="nil"/>
                    <w:tr2bl w:val="nil"/>
                  </w:tcBorders>
                  <w:vAlign w:val="center"/>
                </w:tcPr>
                <w:p>
                  <w:pPr>
                    <w:spacing w:line="340" w:lineRule="exact"/>
                    <w:jc w:val="center"/>
                  </w:pPr>
                  <w:r>
                    <w:rPr>
                      <w:rFonts w:hint="eastAsia"/>
                    </w:rPr>
                    <w:t>0.084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53" w:type="dxa"/>
                  <w:tcBorders>
                    <w:tl2br w:val="nil"/>
                    <w:tr2bl w:val="nil"/>
                  </w:tcBorders>
                  <w:vAlign w:val="center"/>
                </w:tcPr>
                <w:p>
                  <w:pPr>
                    <w:spacing w:line="340" w:lineRule="exact"/>
                    <w:jc w:val="center"/>
                  </w:pPr>
                  <w:r>
                    <w:rPr>
                      <w:rFonts w:hint="eastAsia"/>
                    </w:rPr>
                    <w:t>漆雾</w:t>
                  </w:r>
                </w:p>
              </w:tc>
              <w:tc>
                <w:tcPr>
                  <w:tcW w:w="3836" w:type="dxa"/>
                  <w:tcBorders>
                    <w:tl2br w:val="nil"/>
                    <w:tr2bl w:val="nil"/>
                  </w:tcBorders>
                  <w:vAlign w:val="center"/>
                </w:tcPr>
                <w:p>
                  <w:pPr>
                    <w:spacing w:line="340" w:lineRule="exact"/>
                    <w:jc w:val="center"/>
                  </w:pPr>
                  <w:r>
                    <w:rPr>
                      <w:rFonts w:hint="eastAsia"/>
                    </w:rPr>
                    <w:t>0.022</w:t>
                  </w:r>
                </w:p>
              </w:tc>
              <w:tc>
                <w:tcPr>
                  <w:tcW w:w="3925" w:type="dxa"/>
                  <w:tcBorders>
                    <w:tl2br w:val="nil"/>
                    <w:tr2bl w:val="nil"/>
                  </w:tcBorders>
                  <w:vAlign w:val="center"/>
                </w:tcPr>
                <w:p>
                  <w:pPr>
                    <w:spacing w:line="340" w:lineRule="exact"/>
                    <w:jc w:val="center"/>
                  </w:pPr>
                  <w:r>
                    <w:rPr>
                      <w:rFonts w:hint="eastAsia"/>
                    </w:rPr>
                    <w:t>0.053</w:t>
                  </w:r>
                </w:p>
              </w:tc>
            </w:tr>
          </w:tbl>
          <w:p>
            <w:pPr>
              <w:spacing w:line="360" w:lineRule="auto"/>
              <w:ind w:firstLine="480" w:firstLineChars="200"/>
              <w:rPr>
                <w:sz w:val="24"/>
              </w:rPr>
            </w:pPr>
            <w:r>
              <w:rPr>
                <w:rFonts w:hint="eastAsia" w:ascii="宋体" w:hAnsi="宋体" w:cs="宋体"/>
                <w:sz w:val="24"/>
              </w:rPr>
              <w:t>③</w:t>
            </w:r>
            <w:r>
              <w:rPr>
                <w:rFonts w:hint="eastAsia"/>
                <w:sz w:val="24"/>
              </w:rPr>
              <w:t>砂光粉尘</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木材</w:t>
            </w:r>
            <w:r>
              <w:rPr>
                <w:rFonts w:hint="eastAsia"/>
                <w:color w:val="000000" w:themeColor="text1"/>
                <w:sz w:val="24"/>
                <w14:textFill>
                  <w14:solidFill>
                    <w14:schemeClr w14:val="tx1"/>
                  </w14:solidFill>
                </w14:textFill>
              </w:rPr>
              <w:t>砂光</w:t>
            </w:r>
            <w:r>
              <w:rPr>
                <w:color w:val="000000" w:themeColor="text1"/>
                <w:sz w:val="24"/>
                <w14:textFill>
                  <w14:solidFill>
                    <w14:schemeClr w14:val="tx1"/>
                  </w14:solidFill>
                </w14:textFill>
              </w:rPr>
              <w:t>粉尘据查《</w:t>
            </w:r>
            <w:r>
              <w:rPr>
                <w:color w:val="000000" w:themeColor="text1"/>
                <w:kern w:val="0"/>
                <w:sz w:val="24"/>
                <w14:textFill>
                  <w14:solidFill>
                    <w14:schemeClr w14:val="tx1"/>
                  </w14:solidFill>
                </w14:textFill>
              </w:rPr>
              <w:t>排放源统计调查产排污核算方法和系数手</w:t>
            </w:r>
            <w:r>
              <w:rPr>
                <w:color w:val="000000" w:themeColor="text1"/>
                <w:sz w:val="24"/>
                <w14:textFill>
                  <w14:solidFill>
                    <w14:schemeClr w14:val="tx1"/>
                  </w14:solidFill>
                </w14:textFill>
              </w:rPr>
              <w:t>册》中“203木质制品制造行业产污系数表-砂光/打磨”，颗粒物产污系数1.</w:t>
            </w:r>
            <w:r>
              <w:rPr>
                <w:rFonts w:hint="eastAsia"/>
                <w:color w:val="000000" w:themeColor="text1"/>
                <w:sz w:val="24"/>
                <w14:textFill>
                  <w14:solidFill>
                    <w14:schemeClr w14:val="tx1"/>
                  </w14:solidFill>
                </w14:textFill>
              </w:rPr>
              <w:t>60</w:t>
            </w:r>
            <w:r>
              <w:rPr>
                <w:color w:val="000000" w:themeColor="text1"/>
                <w:sz w:val="24"/>
                <w14:textFill>
                  <w14:solidFill>
                    <w14:schemeClr w14:val="tx1"/>
                  </w14:solidFill>
                </w14:textFill>
              </w:rPr>
              <w:t>kg/立方米-产品。本项目木材原料使用量为</w:t>
            </w:r>
            <w:r>
              <w:rPr>
                <w:rFonts w:hint="eastAsia"/>
                <w:color w:val="000000" w:themeColor="text1"/>
                <w:sz w:val="24"/>
                <w14:textFill>
                  <w14:solidFill>
                    <w14:schemeClr w14:val="tx1"/>
                  </w14:solidFill>
                </w14:textFill>
              </w:rPr>
              <w:t>600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/a。则项目木材</w:t>
            </w:r>
            <w:r>
              <w:rPr>
                <w:rFonts w:hint="eastAsia"/>
                <w:color w:val="000000" w:themeColor="text1"/>
                <w:sz w:val="24"/>
                <w14:textFill>
                  <w14:solidFill>
                    <w14:schemeClr w14:val="tx1"/>
                  </w14:solidFill>
                </w14:textFill>
              </w:rPr>
              <w:t>砂光</w:t>
            </w:r>
            <w:r>
              <w:rPr>
                <w:color w:val="000000" w:themeColor="text1"/>
                <w:sz w:val="24"/>
                <w14:textFill>
                  <w14:solidFill>
                    <w14:schemeClr w14:val="tx1"/>
                  </w14:solidFill>
                </w14:textFill>
              </w:rPr>
              <w:t>颗粒物产生量为0.</w:t>
            </w:r>
            <w:r>
              <w:rPr>
                <w:rFonts w:hint="eastAsia"/>
                <w:color w:val="000000" w:themeColor="text1"/>
                <w:sz w:val="24"/>
                <w14:textFill>
                  <w14:solidFill>
                    <w14:schemeClr w14:val="tx1"/>
                  </w14:solidFill>
                </w14:textFill>
              </w:rPr>
              <w:t>96</w:t>
            </w:r>
            <w:r>
              <w:rPr>
                <w:color w:val="000000" w:themeColor="text1"/>
                <w:sz w:val="24"/>
                <w14:textFill>
                  <w14:solidFill>
                    <w14:schemeClr w14:val="tx1"/>
                  </w14:solidFill>
                </w14:textFill>
              </w:rPr>
              <w:t>t/a，产生速率为0.0</w:t>
            </w:r>
            <w:r>
              <w:rPr>
                <w:rFonts w:hint="eastAsia"/>
                <w:color w:val="000000" w:themeColor="text1"/>
                <w:sz w:val="24"/>
                <w14:textFill>
                  <w14:solidFill>
                    <w14:schemeClr w14:val="tx1"/>
                  </w14:solidFill>
                </w14:textFill>
              </w:rPr>
              <w:t>375</w:t>
            </w:r>
            <w:r>
              <w:rPr>
                <w:color w:val="000000" w:themeColor="text1"/>
                <w:sz w:val="24"/>
                <w14:textFill>
                  <w14:solidFill>
                    <w14:schemeClr w14:val="tx1"/>
                  </w14:solidFill>
                </w14:textFill>
              </w:rPr>
              <w:t>kg/h（年生产时间为2400h）。</w:t>
            </w:r>
          </w:p>
          <w:p>
            <w:pPr>
              <w:spacing w:line="360" w:lineRule="auto"/>
              <w:ind w:firstLine="480" w:firstLineChars="200"/>
              <w:rPr>
                <w:color w:val="0000FF"/>
                <w:sz w:val="24"/>
              </w:rPr>
            </w:pPr>
            <w:r>
              <w:rPr>
                <w:rFonts w:hint="eastAsia"/>
                <w:color w:val="000000" w:themeColor="text1"/>
                <w:sz w:val="24"/>
                <w14:textFill>
                  <w14:solidFill>
                    <w14:schemeClr w14:val="tx1"/>
                  </w14:solidFill>
                </w14:textFill>
              </w:rPr>
              <w:t>砂光</w:t>
            </w:r>
            <w:r>
              <w:rPr>
                <w:color w:val="000000" w:themeColor="text1"/>
                <w:sz w:val="24"/>
                <w14:textFill>
                  <w14:solidFill>
                    <w14:schemeClr w14:val="tx1"/>
                  </w14:solidFill>
                </w14:textFill>
              </w:rPr>
              <w:t>粉尘</w:t>
            </w:r>
            <w:r>
              <w:rPr>
                <w:rFonts w:hint="eastAsia"/>
                <w:color w:val="000000" w:themeColor="text1"/>
                <w:sz w:val="24"/>
                <w14:textFill>
                  <w14:solidFill>
                    <w14:schemeClr w14:val="tx1"/>
                  </w14:solidFill>
                </w14:textFill>
              </w:rPr>
              <w:t>经</w:t>
            </w:r>
            <w:r>
              <w:rPr>
                <w:color w:val="000000" w:themeColor="text1"/>
                <w:sz w:val="24"/>
                <w14:textFill>
                  <w14:solidFill>
                    <w14:schemeClr w14:val="tx1"/>
                  </w14:solidFill>
                </w14:textFill>
              </w:rPr>
              <w:t>中央集尘处理</w:t>
            </w:r>
            <w:r>
              <w:rPr>
                <w:rFonts w:hint="eastAsia"/>
                <w:color w:val="000000" w:themeColor="text1"/>
                <w:sz w:val="24"/>
                <w:lang w:eastAsia="zh-CN"/>
                <w14:textFill>
                  <w14:solidFill>
                    <w14:schemeClr w14:val="tx1"/>
                  </w14:solidFill>
                </w14:textFill>
              </w:rPr>
              <w:t>后</w:t>
            </w:r>
            <w:r>
              <w:rPr>
                <w:color w:val="000000" w:themeColor="text1"/>
                <w:sz w:val="24"/>
                <w14:textFill>
                  <w14:solidFill>
                    <w14:schemeClr w14:val="tx1"/>
                  </w14:solidFill>
                </w14:textFill>
              </w:rPr>
              <w:t>通过厂房顶部1根15m高排气筒</w:t>
            </w:r>
            <w:r>
              <w:rPr>
                <w:rFonts w:hint="eastAsia"/>
                <w:color w:val="000000" w:themeColor="text1"/>
                <w:sz w:val="24"/>
                <w14:textFill>
                  <w14:solidFill>
                    <w14:schemeClr w14:val="tx1"/>
                  </w14:solidFill>
                </w14:textFill>
              </w:rPr>
              <w:t>（DA004）</w:t>
            </w:r>
            <w:r>
              <w:rPr>
                <w:color w:val="000000" w:themeColor="text1"/>
                <w:sz w:val="24"/>
                <w14:textFill>
                  <w14:solidFill>
                    <w14:schemeClr w14:val="tx1"/>
                  </w14:solidFill>
                </w14:textFill>
              </w:rPr>
              <w:t>排放，本项目在各粉尘产生点设收尘器（粉尘的有效收集效率为80%）收集，在设计参数合理的情况下，</w:t>
            </w:r>
            <w:r>
              <w:rPr>
                <w:rFonts w:hint="eastAsia"/>
                <w:color w:val="0000FF"/>
                <w:sz w:val="24"/>
              </w:rPr>
              <w:t>中央集尘</w:t>
            </w:r>
            <w:r>
              <w:rPr>
                <w:color w:val="0000FF"/>
                <w:sz w:val="24"/>
              </w:rPr>
              <w:t>对粉尘的处理效率可达98.4%以上。</w:t>
            </w:r>
            <w:r>
              <w:rPr>
                <w:rFonts w:hint="eastAsia"/>
                <w:color w:val="0000FF"/>
                <w:sz w:val="24"/>
              </w:rPr>
              <w:t>风量为5000m</w:t>
            </w:r>
            <w:r>
              <w:rPr>
                <w:rFonts w:hint="eastAsia"/>
                <w:color w:val="0000FF"/>
                <w:sz w:val="24"/>
                <w:vertAlign w:val="superscript"/>
              </w:rPr>
              <w:t>3</w:t>
            </w:r>
            <w:r>
              <w:rPr>
                <w:rFonts w:hint="eastAsia"/>
                <w:color w:val="0000FF"/>
                <w:sz w:val="24"/>
              </w:rPr>
              <w:t>/h。</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收集粉尘量</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768t/a，产生速率0.32kg/h，产生浓度64mg/</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，经中央集尘处理后粉尘有组织排放量为0.012288t/a，排放速率为0.00512kg/h，排放浓度为1.024mg/</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。排放速率和排放量满足《大气污染物综合排放标准》（GB16297-1996）表2中二级标准要求。</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未收集粉尘为无组织排放：粉尘排放量为0.</w:t>
            </w:r>
            <w:r>
              <w:rPr>
                <w:rFonts w:hint="eastAsia"/>
                <w:color w:val="000000" w:themeColor="text1"/>
                <w:sz w:val="24"/>
                <w14:textFill>
                  <w14:solidFill>
                    <w14:schemeClr w14:val="tx1"/>
                  </w14:solidFill>
                </w14:textFill>
              </w:rPr>
              <w:t>192</w:t>
            </w:r>
            <w:r>
              <w:rPr>
                <w:color w:val="000000" w:themeColor="text1"/>
                <w:sz w:val="24"/>
                <w14:textFill>
                  <w14:solidFill>
                    <w14:schemeClr w14:val="tx1"/>
                  </w14:solidFill>
                </w14:textFill>
              </w:rPr>
              <w:t>t/a，排放速率为0.</w:t>
            </w:r>
            <w:r>
              <w:rPr>
                <w:rFonts w:hint="eastAsia"/>
                <w:color w:val="000000" w:themeColor="text1"/>
                <w:sz w:val="24"/>
                <w14:textFill>
                  <w14:solidFill>
                    <w14:schemeClr w14:val="tx1"/>
                  </w14:solidFill>
                </w14:textFill>
              </w:rPr>
              <w:t>08</w:t>
            </w:r>
            <w:r>
              <w:rPr>
                <w:color w:val="000000" w:themeColor="text1"/>
                <w:sz w:val="24"/>
                <w14:textFill>
                  <w14:solidFill>
                    <w14:schemeClr w14:val="tx1"/>
                  </w14:solidFill>
                </w14:textFill>
              </w:rPr>
              <w:t>kg/h。</w:t>
            </w:r>
          </w:p>
          <w:p>
            <w:pPr>
              <w:pStyle w:val="81"/>
              <w:spacing w:before="120"/>
              <w:rPr>
                <w:rFonts w:eastAsia="黑体"/>
                <w:b w:val="0"/>
                <w:bCs/>
                <w:color w:val="000000" w:themeColor="text1"/>
                <w14:textFill>
                  <w14:solidFill>
                    <w14:schemeClr w14:val="tx1"/>
                  </w14:solidFill>
                </w14:textFill>
              </w:rPr>
            </w:pPr>
            <w:r>
              <w:rPr>
                <w:rFonts w:eastAsia="黑体"/>
                <w:b w:val="0"/>
                <w:bCs/>
                <w:color w:val="000000" w:themeColor="text1"/>
                <w14:textFill>
                  <w14:solidFill>
                    <w14:schemeClr w14:val="tx1"/>
                  </w14:solidFill>
                </w14:textFill>
              </w:rPr>
              <w:t>表</w:t>
            </w:r>
            <w:r>
              <w:rPr>
                <w:rFonts w:hint="eastAsia" w:eastAsia="黑体"/>
                <w:b w:val="0"/>
                <w:bCs/>
                <w:color w:val="000000" w:themeColor="text1"/>
                <w14:textFill>
                  <w14:solidFill>
                    <w14:schemeClr w14:val="tx1"/>
                  </w14:solidFill>
                </w14:textFill>
              </w:rPr>
              <w:t>4</w:t>
            </w:r>
            <w:r>
              <w:rPr>
                <w:rFonts w:eastAsia="黑体"/>
                <w:b w:val="0"/>
                <w:bCs/>
                <w:color w:val="000000" w:themeColor="text1"/>
                <w14:textFill>
                  <w14:solidFill>
                    <w14:schemeClr w14:val="tx1"/>
                  </w14:solidFill>
                </w14:textFill>
              </w:rPr>
              <w:t>-</w:t>
            </w:r>
            <w:r>
              <w:rPr>
                <w:rFonts w:hint="eastAsia" w:eastAsia="黑体"/>
                <w:b w:val="0"/>
                <w:bCs/>
                <w:color w:val="000000" w:themeColor="text1"/>
                <w14:textFill>
                  <w14:solidFill>
                    <w14:schemeClr w14:val="tx1"/>
                  </w14:solidFill>
                </w14:textFill>
              </w:rPr>
              <w:t>14</w:t>
            </w:r>
            <w:r>
              <w:rPr>
                <w:rFonts w:eastAsia="黑体"/>
                <w:b w:val="0"/>
                <w:bCs/>
                <w:color w:val="000000" w:themeColor="text1"/>
                <w14:textFill>
                  <w14:solidFill>
                    <w14:schemeClr w14:val="tx1"/>
                  </w14:solidFill>
                </w14:textFill>
              </w:rPr>
              <w:t xml:space="preserve">   项目</w:t>
            </w:r>
            <w:r>
              <w:rPr>
                <w:rFonts w:hint="eastAsia" w:eastAsia="黑体"/>
                <w:b w:val="0"/>
                <w:bCs/>
                <w:color w:val="000000" w:themeColor="text1"/>
                <w14:textFill>
                  <w14:solidFill>
                    <w14:schemeClr w14:val="tx1"/>
                  </w14:solidFill>
                </w14:textFill>
              </w:rPr>
              <w:t>砂光粉尘</w:t>
            </w:r>
            <w:r>
              <w:rPr>
                <w:rFonts w:eastAsia="黑体"/>
                <w:b w:val="0"/>
                <w:bCs/>
                <w:color w:val="000000" w:themeColor="text1"/>
                <w14:textFill>
                  <w14:solidFill>
                    <w14:schemeClr w14:val="tx1"/>
                  </w14:solidFill>
                </w14:textFill>
              </w:rPr>
              <w:t>产生</w:t>
            </w:r>
            <w:r>
              <w:rPr>
                <w:rFonts w:hint="eastAsia" w:eastAsia="黑体"/>
                <w:b w:val="0"/>
                <w:bCs/>
                <w:color w:val="000000" w:themeColor="text1"/>
                <w14:textFill>
                  <w14:solidFill>
                    <w14:schemeClr w14:val="tx1"/>
                  </w14:solidFill>
                </w14:textFill>
              </w:rPr>
              <w:t>排放</w:t>
            </w:r>
            <w:r>
              <w:rPr>
                <w:rFonts w:eastAsia="黑体"/>
                <w:b w:val="0"/>
                <w:bCs/>
                <w:color w:val="000000" w:themeColor="text1"/>
                <w14:textFill>
                  <w14:solidFill>
                    <w14:schemeClr w14:val="tx1"/>
                  </w14:solidFill>
                </w14:textFill>
              </w:rPr>
              <w:t>情况一览表</w:t>
            </w:r>
          </w:p>
          <w:tbl>
            <w:tblPr>
              <w:tblStyle w:val="33"/>
              <w:tblW w:w="494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563"/>
              <w:gridCol w:w="805"/>
              <w:gridCol w:w="945"/>
              <w:gridCol w:w="882"/>
              <w:gridCol w:w="862"/>
              <w:gridCol w:w="778"/>
              <w:gridCol w:w="1166"/>
              <w:gridCol w:w="915"/>
              <w:gridCol w:w="10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435"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污染源</w:t>
                  </w:r>
                </w:p>
              </w:tc>
              <w:tc>
                <w:tcPr>
                  <w:tcW w:w="563"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排放形式</w:t>
                  </w:r>
                </w:p>
              </w:tc>
              <w:tc>
                <w:tcPr>
                  <w:tcW w:w="806"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污染物名称</w:t>
                  </w:r>
                </w:p>
              </w:tc>
              <w:tc>
                <w:tcPr>
                  <w:tcW w:w="2692" w:type="dxa"/>
                  <w:gridSpan w:val="3"/>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产生状况</w:t>
                  </w:r>
                </w:p>
              </w:tc>
              <w:tc>
                <w:tcPr>
                  <w:tcW w:w="779"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集气风量(m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/h)</w:t>
                  </w:r>
                </w:p>
              </w:tc>
              <w:tc>
                <w:tcPr>
                  <w:tcW w:w="3140" w:type="dxa"/>
                  <w:gridSpan w:val="3"/>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435" w:type="dxa"/>
                  <w:vMerge w:val="continue"/>
                  <w:vAlign w:val="center"/>
                </w:tcPr>
                <w:p>
                  <w:pPr>
                    <w:jc w:val="center"/>
                    <w:rPr>
                      <w:color w:val="000000" w:themeColor="text1"/>
                      <w:sz w:val="18"/>
                      <w:szCs w:val="18"/>
                      <w14:textFill>
                        <w14:solidFill>
                          <w14:schemeClr w14:val="tx1"/>
                        </w14:solidFill>
                      </w14:textFill>
                    </w:rPr>
                  </w:pPr>
                </w:p>
              </w:tc>
              <w:tc>
                <w:tcPr>
                  <w:tcW w:w="563" w:type="dxa"/>
                  <w:vMerge w:val="continue"/>
                  <w:vAlign w:val="center"/>
                </w:tcPr>
                <w:p>
                  <w:pPr>
                    <w:jc w:val="center"/>
                    <w:rPr>
                      <w:color w:val="000000" w:themeColor="text1"/>
                      <w:sz w:val="18"/>
                      <w:szCs w:val="18"/>
                      <w14:textFill>
                        <w14:solidFill>
                          <w14:schemeClr w14:val="tx1"/>
                        </w14:solidFill>
                      </w14:textFill>
                    </w:rPr>
                  </w:pPr>
                </w:p>
              </w:tc>
              <w:tc>
                <w:tcPr>
                  <w:tcW w:w="806" w:type="dxa"/>
                  <w:vMerge w:val="continue"/>
                  <w:vAlign w:val="center"/>
                </w:tcPr>
                <w:p>
                  <w:pPr>
                    <w:jc w:val="center"/>
                    <w:rPr>
                      <w:color w:val="000000" w:themeColor="text1"/>
                      <w:sz w:val="18"/>
                      <w:szCs w:val="18"/>
                      <w14:textFill>
                        <w14:solidFill>
                          <w14:schemeClr w14:val="tx1"/>
                        </w14:solidFill>
                      </w14:textFill>
                    </w:rPr>
                  </w:pPr>
                </w:p>
              </w:tc>
              <w:tc>
                <w:tcPr>
                  <w:tcW w:w="9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产生量（t/a）</w:t>
                  </w:r>
                </w:p>
              </w:tc>
              <w:tc>
                <w:tcPr>
                  <w:tcW w:w="88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浓度(mg/m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w:t>
                  </w:r>
                </w:p>
              </w:tc>
              <w:tc>
                <w:tcPr>
                  <w:tcW w:w="86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速率(kg/h)</w:t>
                  </w:r>
                </w:p>
              </w:tc>
              <w:tc>
                <w:tcPr>
                  <w:tcW w:w="779" w:type="dxa"/>
                  <w:vMerge w:val="continue"/>
                  <w:vAlign w:val="center"/>
                </w:tcPr>
                <w:p>
                  <w:pPr>
                    <w:jc w:val="center"/>
                    <w:rPr>
                      <w:color w:val="000000" w:themeColor="text1"/>
                      <w:sz w:val="18"/>
                      <w:szCs w:val="18"/>
                      <w14:textFill>
                        <w14:solidFill>
                          <w14:schemeClr w14:val="tx1"/>
                        </w14:solidFill>
                      </w14:textFill>
                    </w:rPr>
                  </w:pPr>
                </w:p>
              </w:tc>
              <w:tc>
                <w:tcPr>
                  <w:tcW w:w="116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排放量（t/a）</w:t>
                  </w:r>
                </w:p>
              </w:tc>
              <w:tc>
                <w:tcPr>
                  <w:tcW w:w="9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浓度(mg/m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w:t>
                  </w:r>
                </w:p>
              </w:tc>
              <w:tc>
                <w:tcPr>
                  <w:tcW w:w="105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435" w:type="dxa"/>
                  <w:vMerge w:val="restart"/>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砂光</w:t>
                  </w:r>
                </w:p>
              </w:tc>
              <w:tc>
                <w:tcPr>
                  <w:tcW w:w="563"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有组织</w:t>
                  </w:r>
                </w:p>
              </w:tc>
              <w:tc>
                <w:tcPr>
                  <w:tcW w:w="80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粉尘</w:t>
                  </w:r>
                </w:p>
              </w:tc>
              <w:tc>
                <w:tcPr>
                  <w:tcW w:w="94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0.768</w:t>
                  </w:r>
                </w:p>
              </w:tc>
              <w:tc>
                <w:tcPr>
                  <w:tcW w:w="883"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64</w:t>
                  </w:r>
                </w:p>
              </w:tc>
              <w:tc>
                <w:tcPr>
                  <w:tcW w:w="863"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0.32</w:t>
                  </w:r>
                </w:p>
              </w:tc>
              <w:tc>
                <w:tcPr>
                  <w:tcW w:w="77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5000</w:t>
                  </w:r>
                </w:p>
              </w:tc>
              <w:tc>
                <w:tcPr>
                  <w:tcW w:w="116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0.012288</w:t>
                  </w:r>
                </w:p>
              </w:tc>
              <w:tc>
                <w:tcPr>
                  <w:tcW w:w="91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1.024</w:t>
                  </w:r>
                </w:p>
              </w:tc>
              <w:tc>
                <w:tcPr>
                  <w:tcW w:w="105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0.00512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435" w:type="dxa"/>
                  <w:vMerge w:val="continue"/>
                  <w:vAlign w:val="center"/>
                </w:tcPr>
                <w:p>
                  <w:pPr>
                    <w:jc w:val="center"/>
                    <w:rPr>
                      <w:color w:val="000000" w:themeColor="text1"/>
                      <w:sz w:val="18"/>
                      <w:szCs w:val="18"/>
                      <w14:textFill>
                        <w14:solidFill>
                          <w14:schemeClr w14:val="tx1"/>
                        </w14:solidFill>
                      </w14:textFill>
                    </w:rPr>
                  </w:pPr>
                </w:p>
              </w:tc>
              <w:tc>
                <w:tcPr>
                  <w:tcW w:w="563"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无组织</w:t>
                  </w:r>
                </w:p>
              </w:tc>
              <w:tc>
                <w:tcPr>
                  <w:tcW w:w="80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粉尘</w:t>
                  </w:r>
                </w:p>
              </w:tc>
              <w:tc>
                <w:tcPr>
                  <w:tcW w:w="94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0.192</w:t>
                  </w:r>
                </w:p>
              </w:tc>
              <w:tc>
                <w:tcPr>
                  <w:tcW w:w="883"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863"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0.08</w:t>
                  </w:r>
                </w:p>
              </w:tc>
              <w:tc>
                <w:tcPr>
                  <w:tcW w:w="77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116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0.192</w:t>
                  </w:r>
                </w:p>
              </w:tc>
              <w:tc>
                <w:tcPr>
                  <w:tcW w:w="91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105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0.08</w:t>
                  </w:r>
                </w:p>
              </w:tc>
            </w:tr>
          </w:tbl>
          <w:p>
            <w:pPr>
              <w:spacing w:line="360" w:lineRule="auto"/>
              <w:ind w:firstLine="480" w:firstLineChars="200"/>
              <w:rPr>
                <w:sz w:val="24"/>
              </w:rPr>
            </w:pPr>
            <w:r>
              <w:rPr>
                <w:rFonts w:hint="eastAsia" w:ascii="宋体" w:hAnsi="宋体" w:cs="宋体"/>
                <w:sz w:val="24"/>
              </w:rPr>
              <w:t>④</w:t>
            </w:r>
            <w:r>
              <w:rPr>
                <w:rFonts w:hint="eastAsia"/>
                <w:sz w:val="24"/>
              </w:rPr>
              <w:t>UV滚涂工序</w:t>
            </w:r>
            <w:r>
              <w:rPr>
                <w:sz w:val="24"/>
              </w:rPr>
              <w:t>有机废气</w:t>
            </w:r>
          </w:p>
          <w:p>
            <w:pPr>
              <w:spacing w:line="360" w:lineRule="auto"/>
              <w:ind w:firstLine="480" w:firstLineChars="200"/>
              <w:rPr>
                <w:sz w:val="24"/>
                <w:highlight w:val="none"/>
              </w:rPr>
            </w:pPr>
            <w:r>
              <w:rPr>
                <w:rFonts w:hint="eastAsia"/>
                <w:sz w:val="24"/>
                <w:highlight w:val="none"/>
              </w:rPr>
              <w:t>采用</w:t>
            </w:r>
            <w:r>
              <w:rPr>
                <w:sz w:val="24"/>
                <w:highlight w:val="none"/>
              </w:rPr>
              <w:t>UV滚涂</w:t>
            </w:r>
            <w:r>
              <w:rPr>
                <w:rFonts w:hint="eastAsia"/>
                <w:sz w:val="24"/>
                <w:highlight w:val="none"/>
              </w:rPr>
              <w:t>机</w:t>
            </w:r>
            <w:r>
              <w:rPr>
                <w:sz w:val="24"/>
                <w:highlight w:val="none"/>
              </w:rPr>
              <w:t>滚涂UV油漆</w:t>
            </w:r>
            <w:r>
              <w:rPr>
                <w:rFonts w:hint="eastAsia"/>
                <w:sz w:val="24"/>
                <w:highlight w:val="none"/>
              </w:rPr>
              <w:t>过程中会产生有机废气，主要污染物为TVOC，</w:t>
            </w:r>
            <w:r>
              <w:rPr>
                <w:sz w:val="24"/>
                <w:highlight w:val="none"/>
              </w:rPr>
              <w:t>按环评最不利原则，溶剂在滚涂过程中全部挥发计算。UV</w:t>
            </w:r>
            <w:r>
              <w:rPr>
                <w:rFonts w:hint="eastAsia"/>
                <w:sz w:val="24"/>
                <w:highlight w:val="none"/>
              </w:rPr>
              <w:t>滚涂白底使用量为1</w:t>
            </w:r>
            <w:r>
              <w:rPr>
                <w:rFonts w:hint="eastAsia"/>
                <w:sz w:val="24"/>
                <w:highlight w:val="none"/>
                <w:lang w:val="en-US" w:eastAsia="zh-CN"/>
              </w:rPr>
              <w:t>.5</w:t>
            </w:r>
            <w:r>
              <w:rPr>
                <w:rFonts w:hint="eastAsia"/>
                <w:sz w:val="24"/>
                <w:highlight w:val="none"/>
              </w:rPr>
              <w:t>t，TVOC含量为2.389%，</w:t>
            </w:r>
            <w:r>
              <w:rPr>
                <w:sz w:val="24"/>
                <w:highlight w:val="none"/>
              </w:rPr>
              <w:t>UV</w:t>
            </w:r>
            <w:r>
              <w:rPr>
                <w:rFonts w:hint="eastAsia"/>
                <w:sz w:val="24"/>
                <w:highlight w:val="none"/>
              </w:rPr>
              <w:t>滚涂腻子使用量为1</w:t>
            </w:r>
            <w:r>
              <w:rPr>
                <w:rFonts w:hint="eastAsia"/>
                <w:sz w:val="24"/>
                <w:highlight w:val="none"/>
                <w:lang w:val="en-US" w:eastAsia="zh-CN"/>
              </w:rPr>
              <w:t>.5</w:t>
            </w:r>
            <w:r>
              <w:rPr>
                <w:rFonts w:hint="eastAsia"/>
                <w:sz w:val="24"/>
                <w:highlight w:val="none"/>
              </w:rPr>
              <w:t>t，TVOC含量为1.5%，则TVOC产生量为0.0</w:t>
            </w:r>
            <w:r>
              <w:rPr>
                <w:rFonts w:hint="eastAsia"/>
                <w:sz w:val="24"/>
                <w:highlight w:val="none"/>
                <w:lang w:val="en-US" w:eastAsia="zh-CN"/>
              </w:rPr>
              <w:t>583</w:t>
            </w:r>
            <w:r>
              <w:rPr>
                <w:rFonts w:hint="eastAsia"/>
                <w:sz w:val="24"/>
                <w:highlight w:val="none"/>
              </w:rPr>
              <w:t>t/a。</w:t>
            </w:r>
          </w:p>
          <w:p>
            <w:pPr>
              <w:pStyle w:val="15"/>
              <w:spacing w:line="360" w:lineRule="auto"/>
              <w:ind w:firstLine="480" w:firstLineChars="200"/>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根据生态环境部2019年6月印发的《重点行业挥发性有机物综合治理方案》（环大气〔2019〕53号）以及生态环境部2020年6月印发的《关于印发&lt;2020年挥发性有机物治理攻坚方案&gt;的通知》（环大气〔2020〕33号）中均规定：“企业采用符合国家有关低TVOC含量产品规定的涂料、油墨、胶粘剂等，排放浓度稳定达标且排放速率、排放绩效等满足相关规定的，相应生产工序可不要求建设末端治理设施。使用的原辅材料TVOC含量（质量比）低于10%的工序，可不要求采取无组织排放收集措施。”本项目使用的胶黏剂TVOC含量（质量比）低于10%的工序，所以本项目滚涂有机废气无组织排放。</w:t>
            </w:r>
          </w:p>
          <w:p>
            <w:pPr>
              <w:adjustRightInd w:val="0"/>
              <w:spacing w:line="360" w:lineRule="auto"/>
              <w:ind w:firstLine="480" w:firstLineChars="200"/>
              <w:rPr>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无组织排放量为0.0</w:t>
            </w:r>
            <w:r>
              <w:rPr>
                <w:rFonts w:hint="eastAsia"/>
                <w:color w:val="000000" w:themeColor="text1"/>
                <w:sz w:val="24"/>
                <w:highlight w:val="none"/>
                <w:lang w:val="en-US" w:eastAsia="zh-CN"/>
                <w14:textFill>
                  <w14:solidFill>
                    <w14:schemeClr w14:val="tx1"/>
                  </w14:solidFill>
                </w14:textFill>
              </w:rPr>
              <w:t>583</w:t>
            </w:r>
            <w:r>
              <w:rPr>
                <w:color w:val="000000" w:themeColor="text1"/>
                <w:sz w:val="24"/>
                <w:highlight w:val="none"/>
                <w14:textFill>
                  <w14:solidFill>
                    <w14:schemeClr w14:val="tx1"/>
                  </w14:solidFill>
                </w14:textFill>
              </w:rPr>
              <w:t>t/a（0.0</w:t>
            </w:r>
            <w:r>
              <w:rPr>
                <w:rFonts w:hint="eastAsia"/>
                <w:color w:val="000000" w:themeColor="text1"/>
                <w:sz w:val="24"/>
                <w:highlight w:val="none"/>
                <w:lang w:val="en-US" w:eastAsia="zh-CN"/>
                <w14:textFill>
                  <w14:solidFill>
                    <w14:schemeClr w14:val="tx1"/>
                  </w14:solidFill>
                </w14:textFill>
              </w:rPr>
              <w:t>243</w:t>
            </w:r>
            <w:r>
              <w:rPr>
                <w:color w:val="000000" w:themeColor="text1"/>
                <w:sz w:val="24"/>
                <w:highlight w:val="none"/>
                <w14:textFill>
                  <w14:solidFill>
                    <w14:schemeClr w14:val="tx1"/>
                  </w14:solidFill>
                </w14:textFill>
              </w:rPr>
              <w:t>kg/h）。</w:t>
            </w:r>
          </w:p>
          <w:p>
            <w:pPr>
              <w:spacing w:line="360" w:lineRule="auto"/>
              <w:ind w:firstLine="48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⑤</w:t>
            </w:r>
            <w:r>
              <w:rPr>
                <w:rFonts w:hint="eastAsia"/>
                <w:color w:val="000000" w:themeColor="text1"/>
                <w:sz w:val="24"/>
                <w14:textFill>
                  <w14:solidFill>
                    <w14:schemeClr w14:val="tx1"/>
                  </w14:solidFill>
                </w14:textFill>
              </w:rPr>
              <w:t>拼板废气</w:t>
            </w:r>
          </w:p>
          <w:p>
            <w:pPr>
              <w:pStyle w:val="48"/>
              <w:ind w:firstLine="480"/>
              <w:rPr>
                <w:color w:val="000000" w:themeColor="text1"/>
                <w14:textFill>
                  <w14:solidFill>
                    <w14:schemeClr w14:val="tx1"/>
                  </w14:solidFill>
                </w14:textFill>
              </w:rPr>
            </w:pPr>
            <w:r>
              <w:rPr>
                <w:color w:val="000000" w:themeColor="text1"/>
                <w14:textFill>
                  <w14:solidFill>
                    <w14:schemeClr w14:val="tx1"/>
                  </w14:solidFill>
                </w14:textFill>
              </w:rPr>
              <w:t>压合工序</w:t>
            </w:r>
            <w:r>
              <w:rPr>
                <w:rFonts w:hint="eastAsia"/>
                <w:color w:val="000000" w:themeColor="text1"/>
                <w14:textFill>
                  <w14:solidFill>
                    <w14:schemeClr w14:val="tx1"/>
                  </w14:solidFill>
                </w14:textFill>
              </w:rPr>
              <w:t>在木工车间，</w:t>
            </w:r>
            <w:r>
              <w:rPr>
                <w:color w:val="000000" w:themeColor="text1"/>
                <w14:textFill>
                  <w14:solidFill>
                    <w14:schemeClr w14:val="tx1"/>
                  </w14:solidFill>
                </w14:textFill>
              </w:rPr>
              <w:t>会用到</w:t>
            </w:r>
            <w:r>
              <w:rPr>
                <w:rFonts w:hint="eastAsia"/>
                <w:color w:val="000000" w:themeColor="text1"/>
                <w14:textFill>
                  <w14:solidFill>
                    <w14:schemeClr w14:val="tx1"/>
                  </w14:solidFill>
                </w14:textFill>
              </w:rPr>
              <w:t>白乳胶</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原料进行</w:t>
            </w:r>
            <w:r>
              <w:rPr>
                <w:color w:val="000000" w:themeColor="text1"/>
                <w14:textFill>
                  <w14:solidFill>
                    <w14:schemeClr w14:val="tx1"/>
                  </w14:solidFill>
                </w14:textFill>
              </w:rPr>
              <w:t>压合，胶粘剂在使用过程中会挥发有机废气，主要污染物为</w:t>
            </w:r>
            <w:r>
              <w:rPr>
                <w:rFonts w:hint="eastAsia"/>
                <w:color w:val="000000" w:themeColor="text1"/>
                <w14:textFill>
                  <w14:solidFill>
                    <w14:schemeClr w14:val="tx1"/>
                  </w14:solidFill>
                </w14:textFill>
              </w:rPr>
              <w:t>TVOC</w:t>
            </w:r>
            <w:r>
              <w:rPr>
                <w:color w:val="000000" w:themeColor="text1"/>
                <w14:textFill>
                  <w14:solidFill>
                    <w14:schemeClr w14:val="tx1"/>
                  </w14:solidFill>
                </w14:textFill>
              </w:rPr>
              <w:t>。</w:t>
            </w:r>
            <w:r>
              <w:rPr>
                <w:rFonts w:hint="eastAsia" w:ascii="宋体" w:hAnsi="宋体" w:cs="宋体"/>
                <w:color w:val="000000" w:themeColor="text1"/>
                <w:kern w:val="0"/>
                <w:lang w:bidi="ar"/>
                <w14:textFill>
                  <w14:solidFill>
                    <w14:schemeClr w14:val="tx1"/>
                  </w14:solidFill>
                </w14:textFill>
              </w:rPr>
              <w:t>参考《胶粘剂中总有机挥发物含量的测定》（2008年6月化学工程师）可知，白乳胶中总挥发物含量为0.79%。白乳胶使用量为0.5t/a，</w:t>
            </w:r>
            <w:r>
              <w:rPr>
                <w:color w:val="000000" w:themeColor="text1"/>
                <w14:textFill>
                  <w14:solidFill>
                    <w14:schemeClr w14:val="tx1"/>
                  </w14:solidFill>
                </w14:textFill>
              </w:rPr>
              <w:t>则废气产生量为0.</w:t>
            </w:r>
            <w:r>
              <w:rPr>
                <w:rFonts w:hint="eastAsia"/>
                <w:color w:val="000000" w:themeColor="text1"/>
                <w14:textFill>
                  <w14:solidFill>
                    <w14:schemeClr w14:val="tx1"/>
                  </w14:solidFill>
                </w14:textFill>
              </w:rPr>
              <w:t>004t</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运行时间为</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00h/a。</w:t>
            </w:r>
          </w:p>
          <w:p>
            <w:pPr>
              <w:pStyle w:val="15"/>
              <w:spacing w:line="360" w:lineRule="auto"/>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根据生态环境部2019年6月印发的《重点行业挥发性有机物综合治理方案》（环大气〔2019〕53号）以及生态环境部2020年6月印发的《关于印发&lt;2020年挥发性有机物治理攻坚方案&gt;的通知》（环大气〔2020〕33号）中的规定：“企业采用符合国家有关低TVOC含量产品规定的涂料、油墨、胶粘剂等，排放浓度稳定达标且排放速率、排放绩效等满足相关规定的，相应生产工序可不要求建设末端治理设施。使用的原辅材料TVOC含量（质量比）低于10%的工序，可不要求采取无组织排放收集措施。”本项目使用的胶黏剂TVOC含量（质量比）低于10%的工序，所以本项目压合有机废气无组织排放。</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无组织排放量为0.00</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t/a（0.00</w:t>
            </w:r>
            <w:r>
              <w:rPr>
                <w:rFonts w:hint="eastAsia"/>
                <w:color w:val="000000" w:themeColor="text1"/>
                <w:sz w:val="24"/>
                <w14:textFill>
                  <w14:solidFill>
                    <w14:schemeClr w14:val="tx1"/>
                  </w14:solidFill>
                </w14:textFill>
              </w:rPr>
              <w:t>6</w:t>
            </w:r>
            <w:r>
              <w:rPr>
                <w:rFonts w:hint="eastAsia"/>
                <w:color w:val="000000" w:themeColor="text1"/>
                <w:sz w:val="24"/>
                <w:lang w:val="en-US" w:eastAsia="zh-CN"/>
                <w14:textFill>
                  <w14:solidFill>
                    <w14:schemeClr w14:val="tx1"/>
                  </w14:solidFill>
                </w14:textFill>
              </w:rPr>
              <w:t>7</w:t>
            </w:r>
            <w:r>
              <w:rPr>
                <w:color w:val="000000" w:themeColor="text1"/>
                <w:sz w:val="24"/>
                <w14:textFill>
                  <w14:solidFill>
                    <w14:schemeClr w14:val="tx1"/>
                  </w14:solidFill>
                </w14:textFill>
              </w:rPr>
              <w:t>kg/h）。</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综上所述，本项目</w:t>
            </w:r>
            <w:r>
              <w:rPr>
                <w:rFonts w:hint="eastAsia"/>
                <w:color w:val="000000" w:themeColor="text1"/>
                <w:sz w:val="24"/>
                <w14:textFill>
                  <w14:solidFill>
                    <w14:schemeClr w14:val="tx1"/>
                  </w14:solidFill>
                </w14:textFill>
              </w:rPr>
              <w:t>全厂</w:t>
            </w:r>
            <w:r>
              <w:rPr>
                <w:color w:val="000000" w:themeColor="text1"/>
                <w:sz w:val="24"/>
                <w14:textFill>
                  <w14:solidFill>
                    <w14:schemeClr w14:val="tx1"/>
                  </w14:solidFill>
                </w14:textFill>
              </w:rPr>
              <w:t>废气产生、处理及排放情况见表</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15及表4-16。</w:t>
            </w:r>
          </w:p>
          <w:p>
            <w:pPr>
              <w:spacing w:before="120" w:beforeLines="50"/>
              <w:ind w:firstLine="482"/>
              <w:jc w:val="center"/>
              <w:rPr>
                <w:rFonts w:hint="eastAsia" w:eastAsia="黑体"/>
                <w:bCs/>
                <w:snapToGrid w:val="0"/>
                <w:kern w:val="21"/>
                <w:sz w:val="24"/>
              </w:rPr>
            </w:pPr>
          </w:p>
          <w:p>
            <w:pPr>
              <w:spacing w:before="120" w:beforeLines="50"/>
              <w:ind w:firstLine="482"/>
              <w:jc w:val="center"/>
              <w:rPr>
                <w:rFonts w:hint="eastAsia" w:eastAsia="黑体"/>
                <w:bCs/>
                <w:snapToGrid w:val="0"/>
                <w:kern w:val="21"/>
                <w:sz w:val="24"/>
              </w:rPr>
            </w:pPr>
          </w:p>
          <w:p>
            <w:pPr>
              <w:spacing w:before="120" w:beforeLines="50"/>
              <w:jc w:val="both"/>
              <w:rPr>
                <w:rFonts w:hint="eastAsia" w:eastAsia="黑体"/>
                <w:bCs/>
                <w:snapToGrid w:val="0"/>
                <w:kern w:val="21"/>
                <w:sz w:val="24"/>
              </w:rPr>
            </w:pPr>
          </w:p>
          <w:p>
            <w:pPr>
              <w:spacing w:before="120" w:beforeLines="50"/>
              <w:ind w:firstLine="482"/>
              <w:jc w:val="center"/>
              <w:rPr>
                <w:rFonts w:eastAsia="黑体"/>
                <w:bCs/>
                <w:snapToGrid w:val="0"/>
                <w:kern w:val="21"/>
                <w:sz w:val="24"/>
              </w:rPr>
            </w:pPr>
            <w:r>
              <w:rPr>
                <w:rFonts w:hint="eastAsia" w:eastAsia="黑体"/>
                <w:bCs/>
                <w:snapToGrid w:val="0"/>
                <w:kern w:val="21"/>
                <w:sz w:val="24"/>
              </w:rPr>
              <w:t>表</w:t>
            </w:r>
            <w:r>
              <w:rPr>
                <w:rFonts w:eastAsia="黑体"/>
                <w:bCs/>
                <w:snapToGrid w:val="0"/>
                <w:kern w:val="21"/>
                <w:sz w:val="24"/>
              </w:rPr>
              <w:t>4-</w:t>
            </w:r>
            <w:r>
              <w:rPr>
                <w:rFonts w:hint="eastAsia" w:eastAsia="黑体"/>
                <w:bCs/>
                <w:snapToGrid w:val="0"/>
                <w:kern w:val="21"/>
                <w:sz w:val="24"/>
              </w:rPr>
              <w:t>15</w:t>
            </w:r>
            <w:r>
              <w:rPr>
                <w:rFonts w:eastAsia="黑体"/>
                <w:bCs/>
                <w:snapToGrid w:val="0"/>
                <w:kern w:val="21"/>
                <w:sz w:val="24"/>
              </w:rPr>
              <w:t xml:space="preserve"> 项目有组织废气产排情况一览表</w:t>
            </w:r>
          </w:p>
          <w:tbl>
            <w:tblPr>
              <w:tblStyle w:val="33"/>
              <w:tblW w:w="863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43"/>
              <w:gridCol w:w="747"/>
              <w:gridCol w:w="795"/>
              <w:gridCol w:w="782"/>
              <w:gridCol w:w="695"/>
              <w:gridCol w:w="724"/>
              <w:gridCol w:w="755"/>
              <w:gridCol w:w="588"/>
              <w:gridCol w:w="727"/>
              <w:gridCol w:w="946"/>
              <w:gridCol w:w="103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43" w:type="dxa"/>
                  <w:vMerge w:val="restart"/>
                  <w:vAlign w:val="center"/>
                </w:tcPr>
                <w:p>
                  <w:pPr>
                    <w:adjustRightInd w:val="0"/>
                    <w:snapToGrid w:val="0"/>
                    <w:jc w:val="center"/>
                    <w:rPr>
                      <w:kern w:val="0"/>
                      <w:szCs w:val="21"/>
                    </w:rPr>
                  </w:pPr>
                  <w:r>
                    <w:rPr>
                      <w:kern w:val="0"/>
                      <w:szCs w:val="21"/>
                    </w:rPr>
                    <w:t>污染源</w:t>
                  </w:r>
                </w:p>
              </w:tc>
              <w:tc>
                <w:tcPr>
                  <w:tcW w:w="747" w:type="dxa"/>
                  <w:vMerge w:val="restart"/>
                  <w:vAlign w:val="center"/>
                </w:tcPr>
                <w:p>
                  <w:pPr>
                    <w:adjustRightInd w:val="0"/>
                    <w:snapToGrid w:val="0"/>
                    <w:jc w:val="center"/>
                    <w:rPr>
                      <w:kern w:val="0"/>
                      <w:szCs w:val="21"/>
                    </w:rPr>
                  </w:pPr>
                  <w:r>
                    <w:rPr>
                      <w:kern w:val="0"/>
                      <w:szCs w:val="21"/>
                    </w:rPr>
                    <w:t>排气量</w:t>
                  </w:r>
                </w:p>
                <w:p>
                  <w:pPr>
                    <w:adjustRightInd w:val="0"/>
                    <w:snapToGrid w:val="0"/>
                    <w:jc w:val="center"/>
                    <w:rPr>
                      <w:kern w:val="0"/>
                      <w:szCs w:val="21"/>
                    </w:rPr>
                  </w:pPr>
                  <w:r>
                    <w:rPr>
                      <w:kern w:val="0"/>
                      <w:szCs w:val="21"/>
                    </w:rPr>
                    <w:t>m</w:t>
                  </w:r>
                  <w:r>
                    <w:rPr>
                      <w:kern w:val="0"/>
                      <w:szCs w:val="21"/>
                      <w:vertAlign w:val="superscript"/>
                    </w:rPr>
                    <w:t>3</w:t>
                  </w:r>
                  <w:r>
                    <w:rPr>
                      <w:kern w:val="0"/>
                      <w:szCs w:val="21"/>
                    </w:rPr>
                    <w:t>/h</w:t>
                  </w:r>
                </w:p>
              </w:tc>
              <w:tc>
                <w:tcPr>
                  <w:tcW w:w="795" w:type="dxa"/>
                  <w:vMerge w:val="restart"/>
                  <w:vAlign w:val="center"/>
                </w:tcPr>
                <w:p>
                  <w:pPr>
                    <w:adjustRightInd w:val="0"/>
                    <w:snapToGrid w:val="0"/>
                    <w:jc w:val="center"/>
                    <w:rPr>
                      <w:kern w:val="0"/>
                      <w:szCs w:val="21"/>
                    </w:rPr>
                  </w:pPr>
                  <w:r>
                    <w:rPr>
                      <w:kern w:val="0"/>
                      <w:szCs w:val="21"/>
                    </w:rPr>
                    <w:t>污染物名称</w:t>
                  </w:r>
                </w:p>
              </w:tc>
              <w:tc>
                <w:tcPr>
                  <w:tcW w:w="2201" w:type="dxa"/>
                  <w:gridSpan w:val="3"/>
                  <w:vAlign w:val="center"/>
                </w:tcPr>
                <w:p>
                  <w:pPr>
                    <w:adjustRightInd w:val="0"/>
                    <w:snapToGrid w:val="0"/>
                    <w:jc w:val="center"/>
                    <w:rPr>
                      <w:kern w:val="0"/>
                      <w:szCs w:val="21"/>
                    </w:rPr>
                  </w:pPr>
                  <w:r>
                    <w:rPr>
                      <w:kern w:val="0"/>
                      <w:szCs w:val="21"/>
                    </w:rPr>
                    <w:t>产生情况</w:t>
                  </w:r>
                </w:p>
              </w:tc>
              <w:tc>
                <w:tcPr>
                  <w:tcW w:w="755" w:type="dxa"/>
                  <w:vMerge w:val="restart"/>
                  <w:vAlign w:val="center"/>
                </w:tcPr>
                <w:p>
                  <w:pPr>
                    <w:adjustRightInd w:val="0"/>
                    <w:snapToGrid w:val="0"/>
                    <w:jc w:val="center"/>
                    <w:rPr>
                      <w:kern w:val="0"/>
                      <w:szCs w:val="21"/>
                    </w:rPr>
                  </w:pPr>
                  <w:r>
                    <w:rPr>
                      <w:kern w:val="0"/>
                      <w:szCs w:val="21"/>
                    </w:rPr>
                    <w:t>治理措施</w:t>
                  </w:r>
                </w:p>
              </w:tc>
              <w:tc>
                <w:tcPr>
                  <w:tcW w:w="588" w:type="dxa"/>
                  <w:vMerge w:val="restart"/>
                  <w:vAlign w:val="center"/>
                </w:tcPr>
                <w:p>
                  <w:pPr>
                    <w:adjustRightInd w:val="0"/>
                    <w:snapToGrid w:val="0"/>
                    <w:jc w:val="center"/>
                    <w:rPr>
                      <w:kern w:val="0"/>
                      <w:szCs w:val="21"/>
                    </w:rPr>
                  </w:pPr>
                  <w:r>
                    <w:rPr>
                      <w:kern w:val="0"/>
                      <w:szCs w:val="21"/>
                    </w:rPr>
                    <w:t>处理效率</w:t>
                  </w:r>
                </w:p>
              </w:tc>
              <w:tc>
                <w:tcPr>
                  <w:tcW w:w="2708" w:type="dxa"/>
                  <w:gridSpan w:val="3"/>
                  <w:vAlign w:val="center"/>
                </w:tcPr>
                <w:p>
                  <w:pPr>
                    <w:adjustRightInd w:val="0"/>
                    <w:snapToGrid w:val="0"/>
                    <w:jc w:val="center"/>
                    <w:rPr>
                      <w:kern w:val="0"/>
                      <w:szCs w:val="21"/>
                    </w:rPr>
                  </w:pPr>
                  <w:r>
                    <w:rPr>
                      <w:kern w:val="0"/>
                      <w:szCs w:val="21"/>
                    </w:rPr>
                    <w:t>排放情况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843" w:type="dxa"/>
                  <w:vMerge w:val="continue"/>
                  <w:vAlign w:val="center"/>
                </w:tcPr>
                <w:p>
                  <w:pPr>
                    <w:pStyle w:val="87"/>
                    <w:rPr>
                      <w:rFonts w:cs="Times New Roman"/>
                    </w:rPr>
                  </w:pPr>
                </w:p>
              </w:tc>
              <w:tc>
                <w:tcPr>
                  <w:tcW w:w="747" w:type="dxa"/>
                  <w:vMerge w:val="continue"/>
                  <w:vAlign w:val="center"/>
                </w:tcPr>
                <w:p>
                  <w:pPr>
                    <w:pStyle w:val="87"/>
                    <w:rPr>
                      <w:rFonts w:cs="Times New Roman"/>
                    </w:rPr>
                  </w:pPr>
                </w:p>
              </w:tc>
              <w:tc>
                <w:tcPr>
                  <w:tcW w:w="795" w:type="dxa"/>
                  <w:vMerge w:val="continue"/>
                  <w:vAlign w:val="center"/>
                </w:tcPr>
                <w:p>
                  <w:pPr>
                    <w:pStyle w:val="87"/>
                    <w:rPr>
                      <w:rFonts w:cs="Times New Roman"/>
                    </w:rPr>
                  </w:pPr>
                </w:p>
              </w:tc>
              <w:tc>
                <w:tcPr>
                  <w:tcW w:w="782" w:type="dxa"/>
                  <w:vAlign w:val="center"/>
                </w:tcPr>
                <w:p>
                  <w:pPr>
                    <w:adjustRightInd w:val="0"/>
                    <w:snapToGrid w:val="0"/>
                    <w:jc w:val="center"/>
                    <w:rPr>
                      <w:kern w:val="0"/>
                      <w:szCs w:val="21"/>
                    </w:rPr>
                  </w:pPr>
                  <w:r>
                    <w:rPr>
                      <w:kern w:val="0"/>
                      <w:szCs w:val="21"/>
                    </w:rPr>
                    <w:t>浓度</w:t>
                  </w:r>
                </w:p>
                <w:p>
                  <w:pPr>
                    <w:pStyle w:val="87"/>
                    <w:rPr>
                      <w:rFonts w:cs="Times New Roman"/>
                    </w:rPr>
                  </w:pPr>
                  <w:r>
                    <w:rPr>
                      <w:rFonts w:cs="Times New Roman"/>
                      <w:kern w:val="0"/>
                      <w:szCs w:val="21"/>
                    </w:rPr>
                    <w:t>mg/m</w:t>
                  </w:r>
                  <w:r>
                    <w:rPr>
                      <w:rFonts w:cs="Times New Roman"/>
                      <w:kern w:val="0"/>
                      <w:szCs w:val="21"/>
                      <w:vertAlign w:val="superscript"/>
                    </w:rPr>
                    <w:t>3</w:t>
                  </w:r>
                </w:p>
              </w:tc>
              <w:tc>
                <w:tcPr>
                  <w:tcW w:w="695" w:type="dxa"/>
                  <w:vAlign w:val="center"/>
                </w:tcPr>
                <w:p>
                  <w:pPr>
                    <w:adjustRightInd w:val="0"/>
                    <w:snapToGrid w:val="0"/>
                    <w:jc w:val="center"/>
                    <w:rPr>
                      <w:kern w:val="0"/>
                      <w:szCs w:val="21"/>
                    </w:rPr>
                  </w:pPr>
                  <w:r>
                    <w:rPr>
                      <w:kern w:val="0"/>
                      <w:szCs w:val="21"/>
                    </w:rPr>
                    <w:t>速率</w:t>
                  </w:r>
                </w:p>
                <w:p>
                  <w:pPr>
                    <w:pStyle w:val="87"/>
                    <w:rPr>
                      <w:rFonts w:cs="Times New Roman"/>
                    </w:rPr>
                  </w:pPr>
                  <w:r>
                    <w:rPr>
                      <w:rFonts w:cs="Times New Roman"/>
                      <w:kern w:val="0"/>
                      <w:szCs w:val="21"/>
                    </w:rPr>
                    <w:t>kg/h</w:t>
                  </w:r>
                </w:p>
              </w:tc>
              <w:tc>
                <w:tcPr>
                  <w:tcW w:w="724" w:type="dxa"/>
                  <w:vAlign w:val="center"/>
                </w:tcPr>
                <w:p>
                  <w:pPr>
                    <w:pStyle w:val="87"/>
                    <w:rPr>
                      <w:rFonts w:cs="Times New Roman"/>
                    </w:rPr>
                  </w:pPr>
                  <w:r>
                    <w:rPr>
                      <w:rFonts w:cs="Times New Roman"/>
                      <w:kern w:val="0"/>
                      <w:szCs w:val="21"/>
                    </w:rPr>
                    <w:t>产生量t/a</w:t>
                  </w:r>
                </w:p>
              </w:tc>
              <w:tc>
                <w:tcPr>
                  <w:tcW w:w="755" w:type="dxa"/>
                  <w:vMerge w:val="continue"/>
                  <w:vAlign w:val="center"/>
                </w:tcPr>
                <w:p>
                  <w:pPr>
                    <w:pStyle w:val="87"/>
                    <w:rPr>
                      <w:rFonts w:cs="Times New Roman"/>
                    </w:rPr>
                  </w:pPr>
                </w:p>
              </w:tc>
              <w:tc>
                <w:tcPr>
                  <w:tcW w:w="588" w:type="dxa"/>
                  <w:vMerge w:val="continue"/>
                  <w:vAlign w:val="center"/>
                </w:tcPr>
                <w:p>
                  <w:pPr>
                    <w:pStyle w:val="87"/>
                    <w:rPr>
                      <w:rFonts w:cs="Times New Roman"/>
                    </w:rPr>
                  </w:pPr>
                </w:p>
              </w:tc>
              <w:tc>
                <w:tcPr>
                  <w:tcW w:w="727" w:type="dxa"/>
                  <w:vAlign w:val="center"/>
                </w:tcPr>
                <w:p>
                  <w:pPr>
                    <w:adjustRightInd w:val="0"/>
                    <w:snapToGrid w:val="0"/>
                    <w:jc w:val="center"/>
                    <w:rPr>
                      <w:kern w:val="0"/>
                      <w:szCs w:val="21"/>
                    </w:rPr>
                  </w:pPr>
                  <w:r>
                    <w:rPr>
                      <w:kern w:val="0"/>
                      <w:szCs w:val="21"/>
                    </w:rPr>
                    <w:t>浓度</w:t>
                  </w:r>
                </w:p>
                <w:p>
                  <w:pPr>
                    <w:adjustRightInd w:val="0"/>
                    <w:snapToGrid w:val="0"/>
                    <w:jc w:val="center"/>
                    <w:rPr>
                      <w:kern w:val="0"/>
                      <w:szCs w:val="21"/>
                    </w:rPr>
                  </w:pPr>
                  <w:r>
                    <w:rPr>
                      <w:kern w:val="0"/>
                      <w:szCs w:val="21"/>
                    </w:rPr>
                    <w:t>mg/m</w:t>
                  </w:r>
                  <w:r>
                    <w:rPr>
                      <w:kern w:val="0"/>
                      <w:szCs w:val="21"/>
                      <w:vertAlign w:val="superscript"/>
                    </w:rPr>
                    <w:t>3</w:t>
                  </w:r>
                </w:p>
              </w:tc>
              <w:tc>
                <w:tcPr>
                  <w:tcW w:w="946" w:type="dxa"/>
                  <w:vAlign w:val="center"/>
                </w:tcPr>
                <w:p>
                  <w:pPr>
                    <w:adjustRightInd w:val="0"/>
                    <w:snapToGrid w:val="0"/>
                    <w:jc w:val="center"/>
                    <w:rPr>
                      <w:kern w:val="0"/>
                      <w:szCs w:val="21"/>
                    </w:rPr>
                  </w:pPr>
                  <w:r>
                    <w:rPr>
                      <w:kern w:val="0"/>
                      <w:szCs w:val="21"/>
                    </w:rPr>
                    <w:t>速率</w:t>
                  </w:r>
                </w:p>
                <w:p>
                  <w:pPr>
                    <w:adjustRightInd w:val="0"/>
                    <w:snapToGrid w:val="0"/>
                    <w:jc w:val="center"/>
                    <w:rPr>
                      <w:kern w:val="0"/>
                      <w:szCs w:val="21"/>
                    </w:rPr>
                  </w:pPr>
                  <w:r>
                    <w:rPr>
                      <w:kern w:val="0"/>
                      <w:szCs w:val="21"/>
                    </w:rPr>
                    <w:t>kg/h</w:t>
                  </w:r>
                </w:p>
              </w:tc>
              <w:tc>
                <w:tcPr>
                  <w:tcW w:w="1035" w:type="dxa"/>
                  <w:vAlign w:val="center"/>
                </w:tcPr>
                <w:p>
                  <w:pPr>
                    <w:adjustRightInd w:val="0"/>
                    <w:snapToGrid w:val="0"/>
                    <w:jc w:val="center"/>
                    <w:rPr>
                      <w:kern w:val="0"/>
                      <w:szCs w:val="21"/>
                    </w:rPr>
                  </w:pPr>
                  <w:r>
                    <w:rPr>
                      <w:kern w:val="0"/>
                      <w:szCs w:val="21"/>
                    </w:rPr>
                    <w:t>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48" w:hRule="atLeast"/>
                <w:jc w:val="center"/>
              </w:trPr>
              <w:tc>
                <w:tcPr>
                  <w:tcW w:w="843" w:type="dxa"/>
                  <w:shd w:val="clear" w:color="auto" w:fill="auto"/>
                  <w:vAlign w:val="center"/>
                </w:tcPr>
                <w:p>
                  <w:pPr>
                    <w:adjustRightInd w:val="0"/>
                    <w:snapToGrid w:val="0"/>
                    <w:jc w:val="center"/>
                    <w:rPr>
                      <w:kern w:val="0"/>
                      <w:szCs w:val="21"/>
                    </w:rPr>
                  </w:pPr>
                  <w:r>
                    <w:rPr>
                      <w:rFonts w:hint="eastAsia"/>
                      <w:kern w:val="0"/>
                      <w:szCs w:val="21"/>
                    </w:rPr>
                    <w:t>DA001</w:t>
                  </w:r>
                </w:p>
              </w:tc>
              <w:tc>
                <w:tcPr>
                  <w:tcW w:w="747" w:type="dxa"/>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1000</w:t>
                  </w:r>
                </w:p>
              </w:tc>
              <w:tc>
                <w:tcPr>
                  <w:tcW w:w="795" w:type="dxa"/>
                  <w:shd w:val="clear" w:color="auto" w:fill="auto"/>
                  <w:vAlign w:val="center"/>
                </w:tcPr>
                <w:p>
                  <w:pPr>
                    <w:adjustRightInd w:val="0"/>
                    <w:snapToGrid w:val="0"/>
                    <w:jc w:val="center"/>
                    <w:rPr>
                      <w:kern w:val="0"/>
                      <w:szCs w:val="21"/>
                    </w:rPr>
                  </w:pPr>
                  <w:r>
                    <w:rPr>
                      <w:rFonts w:hint="eastAsia"/>
                      <w:kern w:val="0"/>
                      <w:szCs w:val="21"/>
                    </w:rPr>
                    <w:t>粉尘</w:t>
                  </w:r>
                </w:p>
              </w:tc>
              <w:tc>
                <w:tcPr>
                  <w:tcW w:w="782" w:type="dxa"/>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30</w:t>
                  </w:r>
                </w:p>
              </w:tc>
              <w:tc>
                <w:tcPr>
                  <w:tcW w:w="695" w:type="dxa"/>
                  <w:shd w:val="clear" w:color="auto" w:fill="auto"/>
                  <w:vAlign w:val="center"/>
                </w:tcPr>
                <w:p>
                  <w:pPr>
                    <w:adjustRightInd w:val="0"/>
                    <w:snapToGrid w:val="0"/>
                    <w:jc w:val="center"/>
                    <w:rPr>
                      <w:kern w:val="0"/>
                      <w:szCs w:val="21"/>
                    </w:rPr>
                  </w:pPr>
                  <w:r>
                    <w:rPr>
                      <w:rFonts w:hint="eastAsia"/>
                      <w:kern w:val="0"/>
                      <w:szCs w:val="21"/>
                    </w:rPr>
                    <w:t>0.03</w:t>
                  </w:r>
                </w:p>
              </w:tc>
              <w:tc>
                <w:tcPr>
                  <w:tcW w:w="724" w:type="dxa"/>
                  <w:shd w:val="clear" w:color="auto" w:fill="auto"/>
                  <w:vAlign w:val="center"/>
                </w:tcPr>
                <w:p>
                  <w:pPr>
                    <w:adjustRightInd w:val="0"/>
                    <w:snapToGrid w:val="0"/>
                    <w:jc w:val="center"/>
                    <w:rPr>
                      <w:kern w:val="0"/>
                      <w:szCs w:val="21"/>
                    </w:rPr>
                  </w:pPr>
                  <w:r>
                    <w:rPr>
                      <w:rFonts w:hint="eastAsia"/>
                      <w:kern w:val="0"/>
                      <w:szCs w:val="21"/>
                    </w:rPr>
                    <w:t>0.072</w:t>
                  </w:r>
                </w:p>
              </w:tc>
              <w:tc>
                <w:tcPr>
                  <w:tcW w:w="755" w:type="dxa"/>
                  <w:shd w:val="clear" w:color="auto" w:fill="auto"/>
                  <w:vAlign w:val="center"/>
                </w:tcPr>
                <w:p>
                  <w:pPr>
                    <w:adjustRightInd w:val="0"/>
                    <w:snapToGrid w:val="0"/>
                    <w:jc w:val="center"/>
                    <w:rPr>
                      <w:kern w:val="0"/>
                      <w:szCs w:val="21"/>
                    </w:rPr>
                  </w:pPr>
                  <w:r>
                    <w:rPr>
                      <w:rFonts w:hint="eastAsia"/>
                      <w:kern w:val="0"/>
                      <w:szCs w:val="21"/>
                    </w:rPr>
                    <w:t>中央除尘</w:t>
                  </w:r>
                  <w:r>
                    <w:rPr>
                      <w:kern w:val="0"/>
                      <w:szCs w:val="21"/>
                    </w:rPr>
                    <w:t>+</w:t>
                  </w:r>
                  <w:r>
                    <w:rPr>
                      <w:rFonts w:hint="eastAsia"/>
                      <w:kern w:val="0"/>
                      <w:szCs w:val="21"/>
                    </w:rPr>
                    <w:t>1</w:t>
                  </w:r>
                  <w:r>
                    <w:rPr>
                      <w:kern w:val="0"/>
                      <w:szCs w:val="21"/>
                    </w:rPr>
                    <w:t>5m高排气筒</w:t>
                  </w:r>
                </w:p>
              </w:tc>
              <w:tc>
                <w:tcPr>
                  <w:tcW w:w="588" w:type="dxa"/>
                  <w:shd w:val="clear" w:color="auto" w:fill="auto"/>
                  <w:vAlign w:val="center"/>
                </w:tcPr>
                <w:p>
                  <w:pPr>
                    <w:adjustRightInd w:val="0"/>
                    <w:snapToGrid w:val="0"/>
                    <w:jc w:val="center"/>
                    <w:rPr>
                      <w:kern w:val="0"/>
                      <w:szCs w:val="21"/>
                    </w:rPr>
                  </w:pPr>
                  <w:r>
                    <w:rPr>
                      <w:rFonts w:hint="eastAsia"/>
                      <w:kern w:val="0"/>
                      <w:szCs w:val="21"/>
                    </w:rPr>
                    <w:t>98.4</w:t>
                  </w:r>
                </w:p>
              </w:tc>
              <w:tc>
                <w:tcPr>
                  <w:tcW w:w="727" w:type="dxa"/>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rPr>
                    <w:t>0.</w:t>
                  </w:r>
                  <w:r>
                    <w:rPr>
                      <w:rFonts w:hint="eastAsia"/>
                      <w:kern w:val="0"/>
                      <w:szCs w:val="21"/>
                      <w:lang w:val="en-US" w:eastAsia="zh-CN"/>
                    </w:rPr>
                    <w:t>48</w:t>
                  </w:r>
                </w:p>
              </w:tc>
              <w:tc>
                <w:tcPr>
                  <w:tcW w:w="946" w:type="dxa"/>
                  <w:shd w:val="clear" w:color="auto" w:fill="auto"/>
                  <w:vAlign w:val="center"/>
                </w:tcPr>
                <w:p>
                  <w:pPr>
                    <w:adjustRightInd w:val="0"/>
                    <w:snapToGrid w:val="0"/>
                    <w:jc w:val="center"/>
                    <w:rPr>
                      <w:kern w:val="0"/>
                      <w:szCs w:val="21"/>
                    </w:rPr>
                  </w:pPr>
                  <w:r>
                    <w:rPr>
                      <w:rFonts w:hint="eastAsia"/>
                      <w:kern w:val="0"/>
                      <w:szCs w:val="21"/>
                    </w:rPr>
                    <w:t>0.00048</w:t>
                  </w:r>
                </w:p>
              </w:tc>
              <w:tc>
                <w:tcPr>
                  <w:tcW w:w="1035" w:type="dxa"/>
                  <w:shd w:val="clear" w:color="auto" w:fill="auto"/>
                  <w:vAlign w:val="center"/>
                </w:tcPr>
                <w:p>
                  <w:pPr>
                    <w:adjustRightInd w:val="0"/>
                    <w:snapToGrid w:val="0"/>
                    <w:jc w:val="center"/>
                    <w:rPr>
                      <w:kern w:val="0"/>
                      <w:szCs w:val="21"/>
                    </w:rPr>
                  </w:pPr>
                  <w:r>
                    <w:rPr>
                      <w:rFonts w:hint="eastAsia"/>
                      <w:kern w:val="0"/>
                      <w:szCs w:val="21"/>
                    </w:rPr>
                    <w:t>0.001152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43" w:type="dxa"/>
                  <w:vMerge w:val="restart"/>
                  <w:shd w:val="clear" w:color="auto" w:fill="auto"/>
                  <w:vAlign w:val="center"/>
                </w:tcPr>
                <w:p>
                  <w:pPr>
                    <w:adjustRightInd w:val="0"/>
                    <w:snapToGrid w:val="0"/>
                    <w:jc w:val="center"/>
                    <w:rPr>
                      <w:kern w:val="0"/>
                      <w:szCs w:val="21"/>
                    </w:rPr>
                  </w:pPr>
                  <w:r>
                    <w:rPr>
                      <w:rFonts w:hint="eastAsia"/>
                      <w:kern w:val="0"/>
                      <w:szCs w:val="21"/>
                    </w:rPr>
                    <w:t>DA002</w:t>
                  </w:r>
                </w:p>
              </w:tc>
              <w:tc>
                <w:tcPr>
                  <w:tcW w:w="747" w:type="dxa"/>
                  <w:vMerge w:val="restart"/>
                  <w:shd w:val="clear" w:color="auto" w:fill="auto"/>
                  <w:vAlign w:val="center"/>
                </w:tcPr>
                <w:p>
                  <w:pPr>
                    <w:adjustRightInd w:val="0"/>
                    <w:snapToGrid w:val="0"/>
                    <w:jc w:val="center"/>
                    <w:rPr>
                      <w:kern w:val="0"/>
                      <w:szCs w:val="21"/>
                    </w:rPr>
                  </w:pPr>
                  <w:r>
                    <w:rPr>
                      <w:rFonts w:hint="eastAsia"/>
                      <w:kern w:val="0"/>
                      <w:szCs w:val="21"/>
                    </w:rPr>
                    <w:t>12100</w:t>
                  </w:r>
                </w:p>
              </w:tc>
              <w:tc>
                <w:tcPr>
                  <w:tcW w:w="795" w:type="dxa"/>
                  <w:shd w:val="clear" w:color="auto" w:fill="auto"/>
                  <w:vAlign w:val="center"/>
                </w:tcPr>
                <w:p>
                  <w:pPr>
                    <w:adjustRightInd w:val="0"/>
                    <w:snapToGrid w:val="0"/>
                    <w:jc w:val="center"/>
                    <w:rPr>
                      <w:kern w:val="0"/>
                      <w:szCs w:val="21"/>
                    </w:rPr>
                  </w:pPr>
                  <w:r>
                    <w:rPr>
                      <w:rFonts w:hint="eastAsia"/>
                      <w:kern w:val="0"/>
                      <w:szCs w:val="21"/>
                    </w:rPr>
                    <w:t>TVOC</w:t>
                  </w:r>
                </w:p>
              </w:tc>
              <w:tc>
                <w:tcPr>
                  <w:tcW w:w="782" w:type="dxa"/>
                  <w:shd w:val="clear" w:color="auto" w:fill="auto"/>
                  <w:vAlign w:val="center"/>
                </w:tcPr>
                <w:p>
                  <w:pPr>
                    <w:adjustRightInd w:val="0"/>
                    <w:snapToGrid w:val="0"/>
                    <w:jc w:val="center"/>
                    <w:rPr>
                      <w:kern w:val="0"/>
                      <w:szCs w:val="21"/>
                    </w:rPr>
                  </w:pPr>
                  <w:r>
                    <w:rPr>
                      <w:rFonts w:hint="eastAsia"/>
                      <w:kern w:val="0"/>
                      <w:szCs w:val="21"/>
                    </w:rPr>
                    <w:t>35.8</w:t>
                  </w:r>
                </w:p>
              </w:tc>
              <w:tc>
                <w:tcPr>
                  <w:tcW w:w="695" w:type="dxa"/>
                  <w:shd w:val="clear" w:color="auto" w:fill="auto"/>
                  <w:vAlign w:val="center"/>
                </w:tcPr>
                <w:p>
                  <w:pPr>
                    <w:adjustRightInd w:val="0"/>
                    <w:snapToGrid w:val="0"/>
                    <w:jc w:val="center"/>
                    <w:rPr>
                      <w:kern w:val="0"/>
                      <w:szCs w:val="21"/>
                    </w:rPr>
                  </w:pPr>
                  <w:r>
                    <w:rPr>
                      <w:rFonts w:hint="eastAsia"/>
                      <w:kern w:val="0"/>
                      <w:szCs w:val="21"/>
                    </w:rPr>
                    <w:t>0.43</w:t>
                  </w:r>
                </w:p>
              </w:tc>
              <w:tc>
                <w:tcPr>
                  <w:tcW w:w="724" w:type="dxa"/>
                  <w:shd w:val="clear" w:color="auto" w:fill="auto"/>
                  <w:vAlign w:val="center"/>
                </w:tcPr>
                <w:p>
                  <w:pPr>
                    <w:adjustRightInd w:val="0"/>
                    <w:snapToGrid w:val="0"/>
                    <w:jc w:val="center"/>
                    <w:rPr>
                      <w:kern w:val="0"/>
                      <w:szCs w:val="21"/>
                    </w:rPr>
                  </w:pPr>
                  <w:r>
                    <w:rPr>
                      <w:rFonts w:hint="eastAsia"/>
                      <w:kern w:val="0"/>
                      <w:szCs w:val="21"/>
                    </w:rPr>
                    <w:t>1.04</w:t>
                  </w:r>
                </w:p>
              </w:tc>
              <w:tc>
                <w:tcPr>
                  <w:tcW w:w="755" w:type="dxa"/>
                  <w:vMerge w:val="restart"/>
                  <w:shd w:val="clear" w:color="auto" w:fill="auto"/>
                  <w:vAlign w:val="center"/>
                </w:tcPr>
                <w:p>
                  <w:pPr>
                    <w:adjustRightInd w:val="0"/>
                    <w:snapToGrid w:val="0"/>
                    <w:jc w:val="center"/>
                    <w:rPr>
                      <w:kern w:val="0"/>
                      <w:szCs w:val="21"/>
                    </w:rPr>
                  </w:pPr>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p>
                  <w:pPr>
                    <w:adjustRightInd w:val="0"/>
                    <w:snapToGrid w:val="0"/>
                    <w:jc w:val="center"/>
                    <w:rPr>
                      <w:kern w:val="0"/>
                      <w:szCs w:val="21"/>
                    </w:rPr>
                  </w:pPr>
                </w:p>
              </w:tc>
              <w:tc>
                <w:tcPr>
                  <w:tcW w:w="588" w:type="dxa"/>
                  <w:shd w:val="clear" w:color="auto" w:fill="auto"/>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kern w:val="0"/>
                      <w:szCs w:val="21"/>
                      <w:lang w:eastAsia="zh-CN"/>
                    </w:rPr>
                    <w:t>5</w:t>
                  </w:r>
                  <w:r>
                    <w:rPr>
                      <w:rFonts w:hint="eastAsia"/>
                      <w:kern w:val="0"/>
                      <w:szCs w:val="21"/>
                      <w:lang w:val="en-US" w:eastAsia="zh-CN"/>
                    </w:rPr>
                    <w:t>0</w:t>
                  </w:r>
                </w:p>
              </w:tc>
              <w:tc>
                <w:tcPr>
                  <w:tcW w:w="727"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946"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1035"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843" w:type="dxa"/>
                  <w:vMerge w:val="continue"/>
                  <w:shd w:val="clear" w:color="auto" w:fill="auto"/>
                  <w:vAlign w:val="center"/>
                </w:tcPr>
                <w:p>
                  <w:pPr>
                    <w:adjustRightInd w:val="0"/>
                    <w:snapToGrid w:val="0"/>
                    <w:jc w:val="center"/>
                    <w:rPr>
                      <w:kern w:val="0"/>
                      <w:szCs w:val="21"/>
                    </w:rPr>
                  </w:pPr>
                </w:p>
              </w:tc>
              <w:tc>
                <w:tcPr>
                  <w:tcW w:w="747" w:type="dxa"/>
                  <w:vMerge w:val="continue"/>
                  <w:shd w:val="clear" w:color="auto" w:fill="auto"/>
                  <w:vAlign w:val="center"/>
                </w:tcPr>
                <w:p>
                  <w:pPr>
                    <w:adjustRightInd w:val="0"/>
                    <w:snapToGrid w:val="0"/>
                    <w:jc w:val="center"/>
                    <w:rPr>
                      <w:kern w:val="0"/>
                      <w:szCs w:val="21"/>
                    </w:rPr>
                  </w:pPr>
                </w:p>
              </w:tc>
              <w:tc>
                <w:tcPr>
                  <w:tcW w:w="795" w:type="dxa"/>
                  <w:shd w:val="clear" w:color="auto" w:fill="auto"/>
                  <w:vAlign w:val="center"/>
                </w:tcPr>
                <w:p>
                  <w:pPr>
                    <w:adjustRightInd w:val="0"/>
                    <w:snapToGrid w:val="0"/>
                    <w:jc w:val="center"/>
                    <w:rPr>
                      <w:kern w:val="0"/>
                      <w:szCs w:val="21"/>
                    </w:rPr>
                  </w:pPr>
                  <w:r>
                    <w:rPr>
                      <w:rFonts w:hint="eastAsia"/>
                      <w:kern w:val="0"/>
                      <w:szCs w:val="21"/>
                    </w:rPr>
                    <w:t>甲苯及二甲苯</w:t>
                  </w:r>
                </w:p>
              </w:tc>
              <w:tc>
                <w:tcPr>
                  <w:tcW w:w="782" w:type="dxa"/>
                  <w:shd w:val="clear" w:color="auto" w:fill="auto"/>
                  <w:vAlign w:val="center"/>
                </w:tcPr>
                <w:p>
                  <w:pPr>
                    <w:adjustRightInd w:val="0"/>
                    <w:snapToGrid w:val="0"/>
                    <w:jc w:val="center"/>
                    <w:rPr>
                      <w:kern w:val="0"/>
                      <w:szCs w:val="21"/>
                    </w:rPr>
                  </w:pPr>
                  <w:r>
                    <w:rPr>
                      <w:rFonts w:hint="eastAsia"/>
                      <w:kern w:val="0"/>
                      <w:szCs w:val="21"/>
                    </w:rPr>
                    <w:t>8.6</w:t>
                  </w:r>
                </w:p>
              </w:tc>
              <w:tc>
                <w:tcPr>
                  <w:tcW w:w="695" w:type="dxa"/>
                  <w:shd w:val="clear" w:color="auto" w:fill="auto"/>
                  <w:vAlign w:val="center"/>
                </w:tcPr>
                <w:p>
                  <w:pPr>
                    <w:adjustRightInd w:val="0"/>
                    <w:snapToGrid w:val="0"/>
                    <w:jc w:val="center"/>
                    <w:rPr>
                      <w:kern w:val="0"/>
                      <w:szCs w:val="21"/>
                    </w:rPr>
                  </w:pPr>
                  <w:r>
                    <w:rPr>
                      <w:rFonts w:hint="eastAsia"/>
                      <w:kern w:val="0"/>
                      <w:szCs w:val="21"/>
                    </w:rPr>
                    <w:t>0.105</w:t>
                  </w:r>
                </w:p>
              </w:tc>
              <w:tc>
                <w:tcPr>
                  <w:tcW w:w="724" w:type="dxa"/>
                  <w:shd w:val="clear" w:color="auto" w:fill="auto"/>
                  <w:vAlign w:val="center"/>
                </w:tcPr>
                <w:p>
                  <w:pPr>
                    <w:adjustRightInd w:val="0"/>
                    <w:snapToGrid w:val="0"/>
                    <w:jc w:val="center"/>
                    <w:rPr>
                      <w:kern w:val="0"/>
                      <w:szCs w:val="21"/>
                    </w:rPr>
                  </w:pPr>
                  <w:r>
                    <w:rPr>
                      <w:rFonts w:hint="eastAsia"/>
                      <w:kern w:val="0"/>
                      <w:szCs w:val="21"/>
                    </w:rPr>
                    <w:t>0.25</w:t>
                  </w:r>
                </w:p>
              </w:tc>
              <w:tc>
                <w:tcPr>
                  <w:tcW w:w="755" w:type="dxa"/>
                  <w:vMerge w:val="continue"/>
                  <w:shd w:val="clear" w:color="auto" w:fill="auto"/>
                  <w:vAlign w:val="center"/>
                </w:tcPr>
                <w:p>
                  <w:pPr>
                    <w:adjustRightInd w:val="0"/>
                    <w:snapToGrid w:val="0"/>
                    <w:jc w:val="center"/>
                    <w:rPr>
                      <w:kern w:val="0"/>
                      <w:szCs w:val="21"/>
                    </w:rPr>
                  </w:pPr>
                </w:p>
              </w:tc>
              <w:tc>
                <w:tcPr>
                  <w:tcW w:w="588" w:type="dxa"/>
                  <w:shd w:val="clear" w:color="auto" w:fill="auto"/>
                  <w:vAlign w:val="center"/>
                </w:tcPr>
                <w:p>
                  <w:pPr>
                    <w:adjustRightInd w:val="0"/>
                    <w:snapToGrid w:val="0"/>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50</w:t>
                  </w:r>
                </w:p>
              </w:tc>
              <w:tc>
                <w:tcPr>
                  <w:tcW w:w="727"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946"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1035"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36" w:hRule="atLeast"/>
                <w:jc w:val="center"/>
              </w:trPr>
              <w:tc>
                <w:tcPr>
                  <w:tcW w:w="843" w:type="dxa"/>
                  <w:vMerge w:val="continue"/>
                  <w:shd w:val="clear" w:color="auto" w:fill="auto"/>
                  <w:vAlign w:val="center"/>
                </w:tcPr>
                <w:p>
                  <w:pPr>
                    <w:adjustRightInd w:val="0"/>
                    <w:snapToGrid w:val="0"/>
                    <w:jc w:val="center"/>
                    <w:rPr>
                      <w:kern w:val="0"/>
                      <w:szCs w:val="21"/>
                    </w:rPr>
                  </w:pPr>
                </w:p>
              </w:tc>
              <w:tc>
                <w:tcPr>
                  <w:tcW w:w="747" w:type="dxa"/>
                  <w:vMerge w:val="continue"/>
                  <w:shd w:val="clear" w:color="auto" w:fill="auto"/>
                  <w:vAlign w:val="center"/>
                </w:tcPr>
                <w:p>
                  <w:pPr>
                    <w:adjustRightInd w:val="0"/>
                    <w:snapToGrid w:val="0"/>
                    <w:jc w:val="center"/>
                    <w:rPr>
                      <w:kern w:val="0"/>
                      <w:szCs w:val="21"/>
                    </w:rPr>
                  </w:pPr>
                </w:p>
              </w:tc>
              <w:tc>
                <w:tcPr>
                  <w:tcW w:w="795" w:type="dxa"/>
                  <w:shd w:val="clear" w:color="auto" w:fill="auto"/>
                  <w:vAlign w:val="center"/>
                </w:tcPr>
                <w:p>
                  <w:pPr>
                    <w:adjustRightInd w:val="0"/>
                    <w:snapToGrid w:val="0"/>
                    <w:jc w:val="center"/>
                    <w:rPr>
                      <w:kern w:val="0"/>
                      <w:szCs w:val="21"/>
                    </w:rPr>
                  </w:pPr>
                  <w:r>
                    <w:rPr>
                      <w:rFonts w:hint="eastAsia"/>
                      <w:kern w:val="0"/>
                      <w:szCs w:val="21"/>
                    </w:rPr>
                    <w:t>漆雾</w:t>
                  </w:r>
                </w:p>
              </w:tc>
              <w:tc>
                <w:tcPr>
                  <w:tcW w:w="782" w:type="dxa"/>
                  <w:shd w:val="clear" w:color="auto" w:fill="auto"/>
                  <w:vAlign w:val="center"/>
                </w:tcPr>
                <w:p>
                  <w:pPr>
                    <w:adjustRightInd w:val="0"/>
                    <w:snapToGrid w:val="0"/>
                    <w:jc w:val="center"/>
                    <w:rPr>
                      <w:rFonts w:hint="eastAsia" w:eastAsia="宋体"/>
                      <w:kern w:val="0"/>
                      <w:szCs w:val="21"/>
                      <w:lang w:val="en-US" w:eastAsia="zh-CN"/>
                    </w:rPr>
                  </w:pPr>
                  <w:r>
                    <w:rPr>
                      <w:rFonts w:hint="eastAsia"/>
                      <w:kern w:val="0"/>
                      <w:szCs w:val="21"/>
                    </w:rPr>
                    <w:t>5.4</w:t>
                  </w:r>
                  <w:r>
                    <w:rPr>
                      <w:rFonts w:hint="eastAsia"/>
                      <w:kern w:val="0"/>
                      <w:szCs w:val="21"/>
                      <w:lang w:val="en-US" w:eastAsia="zh-CN"/>
                    </w:rPr>
                    <w:t>8</w:t>
                  </w:r>
                </w:p>
              </w:tc>
              <w:tc>
                <w:tcPr>
                  <w:tcW w:w="695" w:type="dxa"/>
                  <w:shd w:val="clear" w:color="auto" w:fill="auto"/>
                  <w:vAlign w:val="center"/>
                </w:tcPr>
                <w:p>
                  <w:pPr>
                    <w:adjustRightInd w:val="0"/>
                    <w:snapToGrid w:val="0"/>
                    <w:jc w:val="center"/>
                    <w:rPr>
                      <w:kern w:val="0"/>
                      <w:szCs w:val="21"/>
                    </w:rPr>
                  </w:pPr>
                  <w:r>
                    <w:rPr>
                      <w:rFonts w:hint="eastAsia"/>
                      <w:kern w:val="0"/>
                      <w:szCs w:val="21"/>
                    </w:rPr>
                    <w:t>0.066</w:t>
                  </w:r>
                </w:p>
              </w:tc>
              <w:tc>
                <w:tcPr>
                  <w:tcW w:w="724" w:type="dxa"/>
                  <w:shd w:val="clear" w:color="auto" w:fill="auto"/>
                  <w:vAlign w:val="center"/>
                </w:tcPr>
                <w:p>
                  <w:pPr>
                    <w:adjustRightInd w:val="0"/>
                    <w:snapToGrid w:val="0"/>
                    <w:jc w:val="center"/>
                    <w:rPr>
                      <w:kern w:val="0"/>
                      <w:szCs w:val="21"/>
                    </w:rPr>
                  </w:pPr>
                  <w:r>
                    <w:rPr>
                      <w:rFonts w:hint="eastAsia"/>
                      <w:kern w:val="0"/>
                      <w:szCs w:val="21"/>
                    </w:rPr>
                    <w:t>0.159</w:t>
                  </w:r>
                </w:p>
              </w:tc>
              <w:tc>
                <w:tcPr>
                  <w:tcW w:w="755" w:type="dxa"/>
                  <w:vMerge w:val="continue"/>
                  <w:shd w:val="clear" w:color="auto" w:fill="auto"/>
                  <w:vAlign w:val="center"/>
                </w:tcPr>
                <w:p>
                  <w:pPr>
                    <w:adjustRightInd w:val="0"/>
                    <w:snapToGrid w:val="0"/>
                    <w:jc w:val="center"/>
                    <w:rPr>
                      <w:kern w:val="0"/>
                      <w:szCs w:val="21"/>
                    </w:rPr>
                  </w:pPr>
                </w:p>
              </w:tc>
              <w:tc>
                <w:tcPr>
                  <w:tcW w:w="588" w:type="dxa"/>
                  <w:shd w:val="clear" w:color="auto" w:fill="auto"/>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kern w:val="0"/>
                      <w:szCs w:val="21"/>
                    </w:rPr>
                    <w:t>90</w:t>
                  </w:r>
                </w:p>
              </w:tc>
              <w:tc>
                <w:tcPr>
                  <w:tcW w:w="727"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946"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1035"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43" w:type="dxa"/>
                  <w:vMerge w:val="restart"/>
                  <w:shd w:val="clear" w:color="auto" w:fill="auto"/>
                  <w:vAlign w:val="center"/>
                </w:tcPr>
                <w:p>
                  <w:pPr>
                    <w:adjustRightInd w:val="0"/>
                    <w:snapToGrid w:val="0"/>
                    <w:jc w:val="center"/>
                    <w:rPr>
                      <w:kern w:val="0"/>
                      <w:szCs w:val="21"/>
                    </w:rPr>
                  </w:pPr>
                  <w:r>
                    <w:rPr>
                      <w:rFonts w:hint="eastAsia"/>
                      <w:kern w:val="0"/>
                      <w:szCs w:val="21"/>
                    </w:rPr>
                    <w:t>DA003</w:t>
                  </w:r>
                </w:p>
              </w:tc>
              <w:tc>
                <w:tcPr>
                  <w:tcW w:w="747" w:type="dxa"/>
                  <w:vMerge w:val="restart"/>
                  <w:shd w:val="clear" w:color="auto" w:fill="auto"/>
                  <w:vAlign w:val="center"/>
                </w:tcPr>
                <w:p>
                  <w:pPr>
                    <w:adjustRightInd w:val="0"/>
                    <w:snapToGrid w:val="0"/>
                    <w:jc w:val="center"/>
                    <w:rPr>
                      <w:kern w:val="0"/>
                      <w:szCs w:val="21"/>
                    </w:rPr>
                  </w:pPr>
                  <w:r>
                    <w:rPr>
                      <w:rFonts w:hint="eastAsia"/>
                      <w:kern w:val="0"/>
                      <w:szCs w:val="21"/>
                    </w:rPr>
                    <w:t>12100</w:t>
                  </w:r>
                </w:p>
              </w:tc>
              <w:tc>
                <w:tcPr>
                  <w:tcW w:w="795" w:type="dxa"/>
                  <w:shd w:val="clear" w:color="auto" w:fill="auto"/>
                  <w:vAlign w:val="center"/>
                </w:tcPr>
                <w:p>
                  <w:pPr>
                    <w:adjustRightInd w:val="0"/>
                    <w:snapToGrid w:val="0"/>
                    <w:jc w:val="center"/>
                    <w:rPr>
                      <w:kern w:val="0"/>
                      <w:szCs w:val="21"/>
                    </w:rPr>
                  </w:pPr>
                  <w:r>
                    <w:rPr>
                      <w:rFonts w:hint="eastAsia"/>
                      <w:kern w:val="0"/>
                      <w:szCs w:val="21"/>
                    </w:rPr>
                    <w:t>TVOC</w:t>
                  </w:r>
                </w:p>
              </w:tc>
              <w:tc>
                <w:tcPr>
                  <w:tcW w:w="782" w:type="dxa"/>
                  <w:shd w:val="clear" w:color="auto" w:fill="auto"/>
                  <w:vAlign w:val="center"/>
                </w:tcPr>
                <w:p>
                  <w:pPr>
                    <w:adjustRightInd w:val="0"/>
                    <w:snapToGrid w:val="0"/>
                    <w:jc w:val="center"/>
                    <w:rPr>
                      <w:kern w:val="0"/>
                      <w:szCs w:val="21"/>
                    </w:rPr>
                  </w:pPr>
                  <w:r>
                    <w:rPr>
                      <w:rFonts w:hint="eastAsia"/>
                      <w:kern w:val="0"/>
                      <w:szCs w:val="21"/>
                    </w:rPr>
                    <w:t>35.8</w:t>
                  </w:r>
                </w:p>
              </w:tc>
              <w:tc>
                <w:tcPr>
                  <w:tcW w:w="695" w:type="dxa"/>
                  <w:shd w:val="clear" w:color="auto" w:fill="auto"/>
                  <w:vAlign w:val="center"/>
                </w:tcPr>
                <w:p>
                  <w:pPr>
                    <w:adjustRightInd w:val="0"/>
                    <w:snapToGrid w:val="0"/>
                    <w:jc w:val="center"/>
                    <w:rPr>
                      <w:kern w:val="0"/>
                      <w:szCs w:val="21"/>
                    </w:rPr>
                  </w:pPr>
                  <w:r>
                    <w:rPr>
                      <w:rFonts w:hint="eastAsia"/>
                      <w:kern w:val="0"/>
                      <w:szCs w:val="21"/>
                    </w:rPr>
                    <w:t>0.43</w:t>
                  </w:r>
                </w:p>
              </w:tc>
              <w:tc>
                <w:tcPr>
                  <w:tcW w:w="724" w:type="dxa"/>
                  <w:shd w:val="clear" w:color="auto" w:fill="auto"/>
                  <w:vAlign w:val="center"/>
                </w:tcPr>
                <w:p>
                  <w:pPr>
                    <w:adjustRightInd w:val="0"/>
                    <w:snapToGrid w:val="0"/>
                    <w:jc w:val="center"/>
                    <w:rPr>
                      <w:kern w:val="0"/>
                      <w:szCs w:val="21"/>
                    </w:rPr>
                  </w:pPr>
                  <w:r>
                    <w:rPr>
                      <w:rFonts w:hint="eastAsia"/>
                      <w:kern w:val="0"/>
                      <w:szCs w:val="21"/>
                    </w:rPr>
                    <w:t>1.04</w:t>
                  </w:r>
                </w:p>
              </w:tc>
              <w:tc>
                <w:tcPr>
                  <w:tcW w:w="755" w:type="dxa"/>
                  <w:vMerge w:val="restart"/>
                  <w:shd w:val="clear" w:color="auto" w:fill="auto"/>
                  <w:vAlign w:val="center"/>
                </w:tcPr>
                <w:p>
                  <w:pPr>
                    <w:adjustRightInd w:val="0"/>
                    <w:snapToGrid w:val="0"/>
                    <w:jc w:val="center"/>
                    <w:rPr>
                      <w:kern w:val="0"/>
                      <w:szCs w:val="21"/>
                    </w:rPr>
                  </w:pPr>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p>
                  <w:pPr>
                    <w:adjustRightInd w:val="0"/>
                    <w:snapToGrid w:val="0"/>
                    <w:jc w:val="center"/>
                  </w:pPr>
                </w:p>
              </w:tc>
              <w:tc>
                <w:tcPr>
                  <w:tcW w:w="588" w:type="dxa"/>
                  <w:shd w:val="clear" w:color="auto" w:fill="auto"/>
                  <w:vAlign w:val="center"/>
                </w:tcPr>
                <w:p>
                  <w:pPr>
                    <w:adjustRightInd w:val="0"/>
                    <w:snapToGrid w:val="0"/>
                    <w:jc w:val="center"/>
                    <w:rPr>
                      <w:kern w:val="0"/>
                      <w:szCs w:val="21"/>
                    </w:rPr>
                  </w:pPr>
                  <w:r>
                    <w:rPr>
                      <w:rFonts w:hint="eastAsia"/>
                      <w:kern w:val="0"/>
                      <w:szCs w:val="21"/>
                      <w:lang w:eastAsia="zh-CN"/>
                    </w:rPr>
                    <w:t>5</w:t>
                  </w:r>
                  <w:r>
                    <w:rPr>
                      <w:rFonts w:hint="eastAsia"/>
                      <w:kern w:val="0"/>
                      <w:szCs w:val="21"/>
                      <w:lang w:val="en-US" w:eastAsia="zh-CN"/>
                    </w:rPr>
                    <w:t>0</w:t>
                  </w:r>
                </w:p>
              </w:tc>
              <w:tc>
                <w:tcPr>
                  <w:tcW w:w="727"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946"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1035"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843" w:type="dxa"/>
                  <w:vMerge w:val="continue"/>
                  <w:shd w:val="clear" w:color="auto" w:fill="auto"/>
                  <w:vAlign w:val="center"/>
                </w:tcPr>
                <w:p>
                  <w:pPr>
                    <w:adjustRightInd w:val="0"/>
                    <w:snapToGrid w:val="0"/>
                    <w:jc w:val="center"/>
                    <w:rPr>
                      <w:kern w:val="0"/>
                      <w:szCs w:val="21"/>
                    </w:rPr>
                  </w:pPr>
                </w:p>
              </w:tc>
              <w:tc>
                <w:tcPr>
                  <w:tcW w:w="747" w:type="dxa"/>
                  <w:vMerge w:val="continue"/>
                  <w:shd w:val="clear" w:color="auto" w:fill="auto"/>
                  <w:vAlign w:val="center"/>
                </w:tcPr>
                <w:p>
                  <w:pPr>
                    <w:adjustRightInd w:val="0"/>
                    <w:snapToGrid w:val="0"/>
                    <w:jc w:val="center"/>
                    <w:rPr>
                      <w:kern w:val="0"/>
                      <w:szCs w:val="21"/>
                    </w:rPr>
                  </w:pPr>
                </w:p>
              </w:tc>
              <w:tc>
                <w:tcPr>
                  <w:tcW w:w="795" w:type="dxa"/>
                  <w:shd w:val="clear" w:color="auto" w:fill="auto"/>
                  <w:vAlign w:val="center"/>
                </w:tcPr>
                <w:p>
                  <w:pPr>
                    <w:adjustRightInd w:val="0"/>
                    <w:snapToGrid w:val="0"/>
                    <w:jc w:val="center"/>
                    <w:rPr>
                      <w:kern w:val="0"/>
                      <w:szCs w:val="21"/>
                    </w:rPr>
                  </w:pPr>
                  <w:r>
                    <w:rPr>
                      <w:rFonts w:hint="eastAsia"/>
                      <w:kern w:val="0"/>
                      <w:szCs w:val="21"/>
                    </w:rPr>
                    <w:t>甲苯及二甲苯</w:t>
                  </w:r>
                </w:p>
              </w:tc>
              <w:tc>
                <w:tcPr>
                  <w:tcW w:w="782" w:type="dxa"/>
                  <w:shd w:val="clear" w:color="auto" w:fill="auto"/>
                  <w:vAlign w:val="center"/>
                </w:tcPr>
                <w:p>
                  <w:pPr>
                    <w:adjustRightInd w:val="0"/>
                    <w:snapToGrid w:val="0"/>
                    <w:jc w:val="center"/>
                    <w:rPr>
                      <w:kern w:val="0"/>
                      <w:szCs w:val="21"/>
                    </w:rPr>
                  </w:pPr>
                  <w:r>
                    <w:rPr>
                      <w:rFonts w:hint="eastAsia"/>
                      <w:kern w:val="0"/>
                      <w:szCs w:val="21"/>
                    </w:rPr>
                    <w:t>8.6</w:t>
                  </w:r>
                </w:p>
              </w:tc>
              <w:tc>
                <w:tcPr>
                  <w:tcW w:w="695" w:type="dxa"/>
                  <w:shd w:val="clear" w:color="auto" w:fill="auto"/>
                  <w:vAlign w:val="center"/>
                </w:tcPr>
                <w:p>
                  <w:pPr>
                    <w:adjustRightInd w:val="0"/>
                    <w:snapToGrid w:val="0"/>
                    <w:jc w:val="center"/>
                    <w:rPr>
                      <w:kern w:val="0"/>
                      <w:szCs w:val="21"/>
                    </w:rPr>
                  </w:pPr>
                  <w:r>
                    <w:rPr>
                      <w:rFonts w:hint="eastAsia"/>
                      <w:kern w:val="0"/>
                      <w:szCs w:val="21"/>
                    </w:rPr>
                    <w:t>0.105</w:t>
                  </w:r>
                </w:p>
              </w:tc>
              <w:tc>
                <w:tcPr>
                  <w:tcW w:w="724" w:type="dxa"/>
                  <w:shd w:val="clear" w:color="auto" w:fill="auto"/>
                  <w:vAlign w:val="center"/>
                </w:tcPr>
                <w:p>
                  <w:pPr>
                    <w:adjustRightInd w:val="0"/>
                    <w:snapToGrid w:val="0"/>
                    <w:jc w:val="center"/>
                    <w:rPr>
                      <w:kern w:val="0"/>
                      <w:szCs w:val="21"/>
                    </w:rPr>
                  </w:pPr>
                  <w:r>
                    <w:rPr>
                      <w:rFonts w:hint="eastAsia"/>
                      <w:kern w:val="0"/>
                      <w:szCs w:val="21"/>
                    </w:rPr>
                    <w:t>0.25</w:t>
                  </w:r>
                </w:p>
              </w:tc>
              <w:tc>
                <w:tcPr>
                  <w:tcW w:w="755" w:type="dxa"/>
                  <w:vMerge w:val="continue"/>
                  <w:shd w:val="clear" w:color="auto" w:fill="auto"/>
                  <w:vAlign w:val="center"/>
                </w:tcPr>
                <w:p>
                  <w:pPr>
                    <w:adjustRightInd w:val="0"/>
                    <w:snapToGrid w:val="0"/>
                    <w:jc w:val="center"/>
                    <w:rPr>
                      <w:kern w:val="0"/>
                      <w:szCs w:val="21"/>
                    </w:rPr>
                  </w:pPr>
                </w:p>
              </w:tc>
              <w:tc>
                <w:tcPr>
                  <w:tcW w:w="588" w:type="dxa"/>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50</w:t>
                  </w:r>
                </w:p>
              </w:tc>
              <w:tc>
                <w:tcPr>
                  <w:tcW w:w="727"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946"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1035"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36" w:hRule="atLeast"/>
                <w:jc w:val="center"/>
              </w:trPr>
              <w:tc>
                <w:tcPr>
                  <w:tcW w:w="843" w:type="dxa"/>
                  <w:vMerge w:val="continue"/>
                  <w:shd w:val="clear" w:color="auto" w:fill="auto"/>
                  <w:vAlign w:val="center"/>
                </w:tcPr>
                <w:p>
                  <w:pPr>
                    <w:adjustRightInd w:val="0"/>
                    <w:snapToGrid w:val="0"/>
                    <w:jc w:val="center"/>
                    <w:rPr>
                      <w:kern w:val="0"/>
                      <w:szCs w:val="21"/>
                    </w:rPr>
                  </w:pPr>
                </w:p>
              </w:tc>
              <w:tc>
                <w:tcPr>
                  <w:tcW w:w="747" w:type="dxa"/>
                  <w:vMerge w:val="continue"/>
                  <w:shd w:val="clear" w:color="auto" w:fill="auto"/>
                  <w:vAlign w:val="center"/>
                </w:tcPr>
                <w:p>
                  <w:pPr>
                    <w:adjustRightInd w:val="0"/>
                    <w:snapToGrid w:val="0"/>
                    <w:jc w:val="center"/>
                    <w:rPr>
                      <w:kern w:val="0"/>
                      <w:szCs w:val="21"/>
                    </w:rPr>
                  </w:pPr>
                </w:p>
              </w:tc>
              <w:tc>
                <w:tcPr>
                  <w:tcW w:w="795" w:type="dxa"/>
                  <w:shd w:val="clear" w:color="auto" w:fill="auto"/>
                  <w:vAlign w:val="center"/>
                </w:tcPr>
                <w:p>
                  <w:pPr>
                    <w:adjustRightInd w:val="0"/>
                    <w:snapToGrid w:val="0"/>
                    <w:jc w:val="center"/>
                    <w:rPr>
                      <w:kern w:val="0"/>
                      <w:szCs w:val="21"/>
                    </w:rPr>
                  </w:pPr>
                  <w:r>
                    <w:rPr>
                      <w:rFonts w:hint="eastAsia"/>
                      <w:kern w:val="0"/>
                      <w:szCs w:val="21"/>
                    </w:rPr>
                    <w:t>漆雾</w:t>
                  </w:r>
                </w:p>
              </w:tc>
              <w:tc>
                <w:tcPr>
                  <w:tcW w:w="782" w:type="dxa"/>
                  <w:shd w:val="clear" w:color="auto" w:fill="auto"/>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695" w:type="dxa"/>
                  <w:shd w:val="clear" w:color="auto" w:fill="auto"/>
                  <w:vAlign w:val="center"/>
                </w:tcPr>
                <w:p>
                  <w:pPr>
                    <w:adjustRightInd w:val="0"/>
                    <w:snapToGrid w:val="0"/>
                    <w:jc w:val="center"/>
                    <w:rPr>
                      <w:kern w:val="0"/>
                      <w:szCs w:val="21"/>
                    </w:rPr>
                  </w:pPr>
                  <w:r>
                    <w:rPr>
                      <w:rFonts w:hint="eastAsia"/>
                      <w:kern w:val="0"/>
                      <w:szCs w:val="21"/>
                    </w:rPr>
                    <w:t>0.066</w:t>
                  </w:r>
                </w:p>
              </w:tc>
              <w:tc>
                <w:tcPr>
                  <w:tcW w:w="724" w:type="dxa"/>
                  <w:shd w:val="clear" w:color="auto" w:fill="auto"/>
                  <w:vAlign w:val="center"/>
                </w:tcPr>
                <w:p>
                  <w:pPr>
                    <w:adjustRightInd w:val="0"/>
                    <w:snapToGrid w:val="0"/>
                    <w:jc w:val="center"/>
                    <w:rPr>
                      <w:kern w:val="0"/>
                      <w:szCs w:val="21"/>
                    </w:rPr>
                  </w:pPr>
                  <w:r>
                    <w:rPr>
                      <w:rFonts w:hint="eastAsia"/>
                      <w:kern w:val="0"/>
                      <w:szCs w:val="21"/>
                    </w:rPr>
                    <w:t>0.159</w:t>
                  </w:r>
                </w:p>
              </w:tc>
              <w:tc>
                <w:tcPr>
                  <w:tcW w:w="755" w:type="dxa"/>
                  <w:vMerge w:val="continue"/>
                  <w:shd w:val="clear" w:color="auto" w:fill="auto"/>
                  <w:vAlign w:val="center"/>
                </w:tcPr>
                <w:p>
                  <w:pPr>
                    <w:adjustRightInd w:val="0"/>
                    <w:snapToGrid w:val="0"/>
                    <w:jc w:val="center"/>
                    <w:rPr>
                      <w:kern w:val="0"/>
                      <w:szCs w:val="21"/>
                    </w:rPr>
                  </w:pPr>
                </w:p>
              </w:tc>
              <w:tc>
                <w:tcPr>
                  <w:tcW w:w="588" w:type="dxa"/>
                  <w:shd w:val="clear" w:color="auto" w:fill="auto"/>
                  <w:vAlign w:val="center"/>
                </w:tcPr>
                <w:p>
                  <w:pPr>
                    <w:adjustRightInd w:val="0"/>
                    <w:snapToGrid w:val="0"/>
                    <w:jc w:val="center"/>
                    <w:rPr>
                      <w:kern w:val="0"/>
                      <w:szCs w:val="21"/>
                    </w:rPr>
                  </w:pPr>
                  <w:r>
                    <w:rPr>
                      <w:rFonts w:hint="eastAsia"/>
                      <w:kern w:val="0"/>
                      <w:szCs w:val="21"/>
                    </w:rPr>
                    <w:t>90</w:t>
                  </w:r>
                </w:p>
              </w:tc>
              <w:tc>
                <w:tcPr>
                  <w:tcW w:w="727"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946"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1035"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43" w:type="dxa"/>
                  <w:vMerge w:val="restart"/>
                  <w:shd w:val="clear" w:color="auto" w:fill="auto"/>
                  <w:vAlign w:val="center"/>
                </w:tcPr>
                <w:p>
                  <w:pPr>
                    <w:adjustRightInd w:val="0"/>
                    <w:snapToGrid w:val="0"/>
                    <w:jc w:val="center"/>
                    <w:rPr>
                      <w:kern w:val="0"/>
                      <w:szCs w:val="21"/>
                    </w:rPr>
                  </w:pPr>
                  <w:r>
                    <w:rPr>
                      <w:rFonts w:hint="eastAsia"/>
                      <w:kern w:val="0"/>
                      <w:szCs w:val="21"/>
                    </w:rPr>
                    <w:t>DA004</w:t>
                  </w:r>
                </w:p>
              </w:tc>
              <w:tc>
                <w:tcPr>
                  <w:tcW w:w="747" w:type="dxa"/>
                  <w:vMerge w:val="restart"/>
                  <w:shd w:val="clear" w:color="auto" w:fill="auto"/>
                  <w:vAlign w:val="center"/>
                </w:tcPr>
                <w:p>
                  <w:pPr>
                    <w:adjustRightInd w:val="0"/>
                    <w:snapToGrid w:val="0"/>
                    <w:jc w:val="center"/>
                    <w:rPr>
                      <w:kern w:val="0"/>
                      <w:szCs w:val="21"/>
                    </w:rPr>
                  </w:pPr>
                  <w:r>
                    <w:rPr>
                      <w:rFonts w:hint="eastAsia"/>
                      <w:kern w:val="0"/>
                      <w:szCs w:val="21"/>
                    </w:rPr>
                    <w:t>12100</w:t>
                  </w:r>
                </w:p>
              </w:tc>
              <w:tc>
                <w:tcPr>
                  <w:tcW w:w="795" w:type="dxa"/>
                  <w:shd w:val="clear" w:color="auto" w:fill="auto"/>
                  <w:vAlign w:val="center"/>
                </w:tcPr>
                <w:p>
                  <w:pPr>
                    <w:adjustRightInd w:val="0"/>
                    <w:snapToGrid w:val="0"/>
                    <w:jc w:val="center"/>
                    <w:rPr>
                      <w:kern w:val="0"/>
                      <w:szCs w:val="21"/>
                    </w:rPr>
                  </w:pPr>
                  <w:r>
                    <w:rPr>
                      <w:rFonts w:hint="eastAsia"/>
                      <w:kern w:val="0"/>
                      <w:szCs w:val="21"/>
                    </w:rPr>
                    <w:t>TVOC</w:t>
                  </w:r>
                </w:p>
              </w:tc>
              <w:tc>
                <w:tcPr>
                  <w:tcW w:w="782" w:type="dxa"/>
                  <w:shd w:val="clear" w:color="auto" w:fill="auto"/>
                  <w:vAlign w:val="center"/>
                </w:tcPr>
                <w:p>
                  <w:pPr>
                    <w:adjustRightInd w:val="0"/>
                    <w:snapToGrid w:val="0"/>
                    <w:jc w:val="center"/>
                    <w:rPr>
                      <w:kern w:val="0"/>
                      <w:szCs w:val="21"/>
                    </w:rPr>
                  </w:pPr>
                  <w:r>
                    <w:rPr>
                      <w:rFonts w:hint="eastAsia"/>
                      <w:kern w:val="0"/>
                      <w:szCs w:val="21"/>
                    </w:rPr>
                    <w:t>35.8</w:t>
                  </w:r>
                </w:p>
              </w:tc>
              <w:tc>
                <w:tcPr>
                  <w:tcW w:w="695" w:type="dxa"/>
                  <w:shd w:val="clear" w:color="auto" w:fill="auto"/>
                  <w:vAlign w:val="center"/>
                </w:tcPr>
                <w:p>
                  <w:pPr>
                    <w:adjustRightInd w:val="0"/>
                    <w:snapToGrid w:val="0"/>
                    <w:jc w:val="center"/>
                    <w:rPr>
                      <w:kern w:val="0"/>
                      <w:szCs w:val="21"/>
                    </w:rPr>
                  </w:pPr>
                  <w:r>
                    <w:rPr>
                      <w:rFonts w:hint="eastAsia"/>
                      <w:kern w:val="0"/>
                      <w:szCs w:val="21"/>
                    </w:rPr>
                    <w:t>0.43</w:t>
                  </w:r>
                </w:p>
              </w:tc>
              <w:tc>
                <w:tcPr>
                  <w:tcW w:w="724" w:type="dxa"/>
                  <w:shd w:val="clear" w:color="auto" w:fill="auto"/>
                  <w:vAlign w:val="center"/>
                </w:tcPr>
                <w:p>
                  <w:pPr>
                    <w:adjustRightInd w:val="0"/>
                    <w:snapToGrid w:val="0"/>
                    <w:jc w:val="center"/>
                    <w:rPr>
                      <w:kern w:val="0"/>
                      <w:szCs w:val="21"/>
                    </w:rPr>
                  </w:pPr>
                  <w:r>
                    <w:rPr>
                      <w:rFonts w:hint="eastAsia"/>
                      <w:kern w:val="0"/>
                      <w:szCs w:val="21"/>
                    </w:rPr>
                    <w:t>1.04</w:t>
                  </w:r>
                </w:p>
              </w:tc>
              <w:tc>
                <w:tcPr>
                  <w:tcW w:w="755" w:type="dxa"/>
                  <w:vMerge w:val="restart"/>
                  <w:shd w:val="clear" w:color="auto" w:fill="auto"/>
                  <w:vAlign w:val="center"/>
                </w:tcPr>
                <w:p>
                  <w:pPr>
                    <w:adjustRightInd w:val="0"/>
                    <w:snapToGrid w:val="0"/>
                    <w:jc w:val="center"/>
                    <w:rPr>
                      <w:kern w:val="0"/>
                      <w:szCs w:val="21"/>
                    </w:rPr>
                  </w:pPr>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p>
                  <w:pPr>
                    <w:adjustRightInd w:val="0"/>
                    <w:snapToGrid w:val="0"/>
                    <w:jc w:val="center"/>
                    <w:rPr>
                      <w:kern w:val="0"/>
                      <w:szCs w:val="21"/>
                    </w:rPr>
                  </w:pPr>
                </w:p>
              </w:tc>
              <w:tc>
                <w:tcPr>
                  <w:tcW w:w="588" w:type="dxa"/>
                  <w:shd w:val="clear" w:color="auto" w:fill="auto"/>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kern w:val="0"/>
                      <w:szCs w:val="21"/>
                      <w:lang w:eastAsia="zh-CN"/>
                    </w:rPr>
                    <w:t>5</w:t>
                  </w:r>
                  <w:r>
                    <w:rPr>
                      <w:rFonts w:hint="eastAsia"/>
                      <w:kern w:val="0"/>
                      <w:szCs w:val="21"/>
                      <w:lang w:val="en-US" w:eastAsia="zh-CN"/>
                    </w:rPr>
                    <w:t>0</w:t>
                  </w:r>
                </w:p>
              </w:tc>
              <w:tc>
                <w:tcPr>
                  <w:tcW w:w="727"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1</w:t>
                  </w:r>
                  <w:r>
                    <w:rPr>
                      <w:rFonts w:hint="eastAsia"/>
                      <w:highlight w:val="none"/>
                      <w:lang w:val="en-US" w:eastAsia="zh-CN"/>
                    </w:rPr>
                    <w:t>7.9</w:t>
                  </w:r>
                </w:p>
              </w:tc>
              <w:tc>
                <w:tcPr>
                  <w:tcW w:w="946"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0</w:t>
                  </w:r>
                  <w:r>
                    <w:rPr>
                      <w:rFonts w:hint="eastAsia"/>
                      <w:highlight w:val="none"/>
                      <w:lang w:val="en-US" w:eastAsia="zh-CN"/>
                    </w:rPr>
                    <w:t>.217</w:t>
                  </w:r>
                </w:p>
              </w:tc>
              <w:tc>
                <w:tcPr>
                  <w:tcW w:w="1035"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eastAsia="zh-CN"/>
                    </w:rPr>
                    <w:t>5</w:t>
                  </w:r>
                  <w:r>
                    <w:rPr>
                      <w:rFonts w:hint="eastAsia"/>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843" w:type="dxa"/>
                  <w:vMerge w:val="continue"/>
                  <w:shd w:val="clear" w:color="auto" w:fill="auto"/>
                  <w:vAlign w:val="center"/>
                </w:tcPr>
                <w:p>
                  <w:pPr>
                    <w:adjustRightInd w:val="0"/>
                    <w:snapToGrid w:val="0"/>
                    <w:jc w:val="center"/>
                    <w:rPr>
                      <w:kern w:val="0"/>
                      <w:szCs w:val="21"/>
                    </w:rPr>
                  </w:pPr>
                </w:p>
              </w:tc>
              <w:tc>
                <w:tcPr>
                  <w:tcW w:w="747" w:type="dxa"/>
                  <w:vMerge w:val="continue"/>
                  <w:shd w:val="clear" w:color="auto" w:fill="auto"/>
                  <w:vAlign w:val="center"/>
                </w:tcPr>
                <w:p>
                  <w:pPr>
                    <w:adjustRightInd w:val="0"/>
                    <w:snapToGrid w:val="0"/>
                    <w:jc w:val="center"/>
                    <w:rPr>
                      <w:kern w:val="0"/>
                      <w:szCs w:val="21"/>
                    </w:rPr>
                  </w:pPr>
                </w:p>
              </w:tc>
              <w:tc>
                <w:tcPr>
                  <w:tcW w:w="795" w:type="dxa"/>
                  <w:shd w:val="clear" w:color="auto" w:fill="auto"/>
                  <w:vAlign w:val="center"/>
                </w:tcPr>
                <w:p>
                  <w:pPr>
                    <w:adjustRightInd w:val="0"/>
                    <w:snapToGrid w:val="0"/>
                    <w:jc w:val="center"/>
                    <w:rPr>
                      <w:kern w:val="0"/>
                      <w:szCs w:val="21"/>
                    </w:rPr>
                  </w:pPr>
                  <w:r>
                    <w:rPr>
                      <w:rFonts w:hint="eastAsia"/>
                      <w:kern w:val="0"/>
                      <w:szCs w:val="21"/>
                    </w:rPr>
                    <w:t>甲苯及二甲苯</w:t>
                  </w:r>
                </w:p>
              </w:tc>
              <w:tc>
                <w:tcPr>
                  <w:tcW w:w="782" w:type="dxa"/>
                  <w:shd w:val="clear" w:color="auto" w:fill="auto"/>
                  <w:vAlign w:val="center"/>
                </w:tcPr>
                <w:p>
                  <w:pPr>
                    <w:adjustRightInd w:val="0"/>
                    <w:snapToGrid w:val="0"/>
                    <w:jc w:val="center"/>
                    <w:rPr>
                      <w:kern w:val="0"/>
                      <w:szCs w:val="21"/>
                    </w:rPr>
                  </w:pPr>
                  <w:r>
                    <w:rPr>
                      <w:rFonts w:hint="eastAsia"/>
                      <w:kern w:val="0"/>
                      <w:szCs w:val="21"/>
                    </w:rPr>
                    <w:t>8.6</w:t>
                  </w:r>
                </w:p>
              </w:tc>
              <w:tc>
                <w:tcPr>
                  <w:tcW w:w="695" w:type="dxa"/>
                  <w:shd w:val="clear" w:color="auto" w:fill="auto"/>
                  <w:vAlign w:val="center"/>
                </w:tcPr>
                <w:p>
                  <w:pPr>
                    <w:adjustRightInd w:val="0"/>
                    <w:snapToGrid w:val="0"/>
                    <w:jc w:val="center"/>
                    <w:rPr>
                      <w:kern w:val="0"/>
                      <w:szCs w:val="21"/>
                    </w:rPr>
                  </w:pPr>
                  <w:r>
                    <w:rPr>
                      <w:rFonts w:hint="eastAsia"/>
                      <w:kern w:val="0"/>
                      <w:szCs w:val="21"/>
                    </w:rPr>
                    <w:t>0.105</w:t>
                  </w:r>
                </w:p>
              </w:tc>
              <w:tc>
                <w:tcPr>
                  <w:tcW w:w="724" w:type="dxa"/>
                  <w:shd w:val="clear" w:color="auto" w:fill="auto"/>
                  <w:vAlign w:val="center"/>
                </w:tcPr>
                <w:p>
                  <w:pPr>
                    <w:adjustRightInd w:val="0"/>
                    <w:snapToGrid w:val="0"/>
                    <w:jc w:val="center"/>
                    <w:rPr>
                      <w:kern w:val="0"/>
                      <w:szCs w:val="21"/>
                    </w:rPr>
                  </w:pPr>
                  <w:r>
                    <w:rPr>
                      <w:rFonts w:hint="eastAsia"/>
                      <w:kern w:val="0"/>
                      <w:szCs w:val="21"/>
                    </w:rPr>
                    <w:t>0.25</w:t>
                  </w:r>
                </w:p>
              </w:tc>
              <w:tc>
                <w:tcPr>
                  <w:tcW w:w="755" w:type="dxa"/>
                  <w:vMerge w:val="continue"/>
                  <w:shd w:val="clear" w:color="auto" w:fill="auto"/>
                  <w:vAlign w:val="center"/>
                </w:tcPr>
                <w:p>
                  <w:pPr>
                    <w:adjustRightInd w:val="0"/>
                    <w:snapToGrid w:val="0"/>
                    <w:jc w:val="center"/>
                    <w:rPr>
                      <w:kern w:val="0"/>
                      <w:szCs w:val="21"/>
                    </w:rPr>
                  </w:pPr>
                </w:p>
              </w:tc>
              <w:tc>
                <w:tcPr>
                  <w:tcW w:w="588" w:type="dxa"/>
                  <w:shd w:val="clear" w:color="auto" w:fill="auto"/>
                  <w:vAlign w:val="center"/>
                </w:tcPr>
                <w:p>
                  <w:pPr>
                    <w:adjustRightInd w:val="0"/>
                    <w:snapToGrid w:val="0"/>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50</w:t>
                  </w:r>
                </w:p>
              </w:tc>
              <w:tc>
                <w:tcPr>
                  <w:tcW w:w="727"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lang w:eastAsia="zh-CN"/>
                    </w:rPr>
                    <w:t>4</w:t>
                  </w:r>
                  <w:r>
                    <w:rPr>
                      <w:rFonts w:hint="eastAsia"/>
                      <w:highlight w:val="none"/>
                      <w:lang w:val="en-US" w:eastAsia="zh-CN"/>
                    </w:rPr>
                    <w:t>.3</w:t>
                  </w:r>
                </w:p>
              </w:tc>
              <w:tc>
                <w:tcPr>
                  <w:tcW w:w="946"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0.0</w:t>
                  </w:r>
                  <w:r>
                    <w:rPr>
                      <w:rFonts w:hint="eastAsia"/>
                      <w:highlight w:val="none"/>
                      <w:lang w:eastAsia="zh-CN"/>
                    </w:rPr>
                    <w:t>5</w:t>
                  </w:r>
                  <w:r>
                    <w:rPr>
                      <w:rFonts w:hint="eastAsia"/>
                      <w:highlight w:val="none"/>
                      <w:lang w:val="en-US" w:eastAsia="zh-CN"/>
                    </w:rPr>
                    <w:t>2</w:t>
                  </w:r>
                </w:p>
              </w:tc>
              <w:tc>
                <w:tcPr>
                  <w:tcW w:w="1035" w:type="dxa"/>
                  <w:shd w:val="clear" w:color="auto" w:fill="auto"/>
                  <w:vAlign w:val="center"/>
                </w:tcPr>
                <w:p>
                  <w:pPr>
                    <w:spacing w:line="340" w:lineRule="exact"/>
                    <w:jc w:val="center"/>
                    <w:rPr>
                      <w:rFonts w:hint="default" w:ascii="Times New Roman" w:hAnsi="Times New Roman" w:eastAsia="宋体" w:cs="Times New Roman"/>
                      <w:kern w:val="2"/>
                      <w:sz w:val="21"/>
                      <w:szCs w:val="24"/>
                      <w:highlight w:val="none"/>
                      <w:lang w:val="en-US" w:eastAsia="zh-CN" w:bidi="ar-SA"/>
                    </w:rPr>
                  </w:pPr>
                  <w:r>
                    <w:rPr>
                      <w:rFonts w:hint="eastAsia"/>
                      <w:highlight w:val="none"/>
                    </w:rPr>
                    <w:t>0</w:t>
                  </w:r>
                  <w:r>
                    <w:rPr>
                      <w:rFonts w:hint="eastAsia"/>
                      <w:highlight w:val="none"/>
                      <w:lang w:val="en-US" w:eastAsia="zh-CN"/>
                    </w:rPr>
                    <w:t>.</w:t>
                  </w:r>
                  <w:r>
                    <w:rPr>
                      <w:rFonts w:hint="eastAsia"/>
                      <w:highlight w:val="none"/>
                      <w:lang w:eastAsia="zh-CN"/>
                    </w:rPr>
                    <w:t>1</w:t>
                  </w:r>
                  <w:r>
                    <w:rPr>
                      <w:rFonts w:hint="eastAsia"/>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36" w:hRule="atLeast"/>
                <w:jc w:val="center"/>
              </w:trPr>
              <w:tc>
                <w:tcPr>
                  <w:tcW w:w="843" w:type="dxa"/>
                  <w:vMerge w:val="continue"/>
                  <w:shd w:val="clear" w:color="auto" w:fill="auto"/>
                  <w:vAlign w:val="center"/>
                </w:tcPr>
                <w:p>
                  <w:pPr>
                    <w:adjustRightInd w:val="0"/>
                    <w:snapToGrid w:val="0"/>
                    <w:jc w:val="center"/>
                    <w:rPr>
                      <w:kern w:val="0"/>
                      <w:szCs w:val="21"/>
                    </w:rPr>
                  </w:pPr>
                </w:p>
              </w:tc>
              <w:tc>
                <w:tcPr>
                  <w:tcW w:w="747" w:type="dxa"/>
                  <w:vMerge w:val="continue"/>
                  <w:shd w:val="clear" w:color="auto" w:fill="auto"/>
                  <w:vAlign w:val="center"/>
                </w:tcPr>
                <w:p>
                  <w:pPr>
                    <w:adjustRightInd w:val="0"/>
                    <w:snapToGrid w:val="0"/>
                    <w:jc w:val="center"/>
                    <w:rPr>
                      <w:kern w:val="0"/>
                      <w:szCs w:val="21"/>
                    </w:rPr>
                  </w:pPr>
                </w:p>
              </w:tc>
              <w:tc>
                <w:tcPr>
                  <w:tcW w:w="795" w:type="dxa"/>
                  <w:shd w:val="clear" w:color="auto" w:fill="auto"/>
                  <w:vAlign w:val="center"/>
                </w:tcPr>
                <w:p>
                  <w:pPr>
                    <w:adjustRightInd w:val="0"/>
                    <w:snapToGrid w:val="0"/>
                    <w:jc w:val="center"/>
                    <w:rPr>
                      <w:kern w:val="0"/>
                      <w:szCs w:val="21"/>
                    </w:rPr>
                  </w:pPr>
                  <w:r>
                    <w:rPr>
                      <w:rFonts w:hint="eastAsia"/>
                      <w:kern w:val="0"/>
                      <w:szCs w:val="21"/>
                    </w:rPr>
                    <w:t>漆雾</w:t>
                  </w:r>
                </w:p>
              </w:tc>
              <w:tc>
                <w:tcPr>
                  <w:tcW w:w="782" w:type="dxa"/>
                  <w:shd w:val="clear" w:color="auto" w:fill="auto"/>
                  <w:vAlign w:val="center"/>
                </w:tcPr>
                <w:p>
                  <w:pPr>
                    <w:adjustRightInd w:val="0"/>
                    <w:snapToGrid w:val="0"/>
                    <w:jc w:val="center"/>
                    <w:rPr>
                      <w:kern w:val="0"/>
                      <w:szCs w:val="21"/>
                    </w:rPr>
                  </w:pPr>
                  <w:r>
                    <w:rPr>
                      <w:rFonts w:hint="eastAsia"/>
                      <w:kern w:val="0"/>
                      <w:szCs w:val="21"/>
                    </w:rPr>
                    <w:t>5.4</w:t>
                  </w:r>
                  <w:r>
                    <w:rPr>
                      <w:rFonts w:hint="eastAsia"/>
                      <w:kern w:val="0"/>
                      <w:szCs w:val="21"/>
                      <w:lang w:val="en-US" w:eastAsia="zh-CN"/>
                    </w:rPr>
                    <w:t>8</w:t>
                  </w:r>
                </w:p>
              </w:tc>
              <w:tc>
                <w:tcPr>
                  <w:tcW w:w="695" w:type="dxa"/>
                  <w:shd w:val="clear" w:color="auto" w:fill="auto"/>
                  <w:vAlign w:val="center"/>
                </w:tcPr>
                <w:p>
                  <w:pPr>
                    <w:adjustRightInd w:val="0"/>
                    <w:snapToGrid w:val="0"/>
                    <w:jc w:val="center"/>
                    <w:rPr>
                      <w:kern w:val="0"/>
                      <w:szCs w:val="21"/>
                    </w:rPr>
                  </w:pPr>
                  <w:r>
                    <w:rPr>
                      <w:rFonts w:hint="eastAsia"/>
                      <w:kern w:val="0"/>
                      <w:szCs w:val="21"/>
                    </w:rPr>
                    <w:t>0.066</w:t>
                  </w:r>
                </w:p>
              </w:tc>
              <w:tc>
                <w:tcPr>
                  <w:tcW w:w="724" w:type="dxa"/>
                  <w:shd w:val="clear" w:color="auto" w:fill="auto"/>
                  <w:vAlign w:val="center"/>
                </w:tcPr>
                <w:p>
                  <w:pPr>
                    <w:adjustRightInd w:val="0"/>
                    <w:snapToGrid w:val="0"/>
                    <w:jc w:val="center"/>
                    <w:rPr>
                      <w:kern w:val="0"/>
                      <w:szCs w:val="21"/>
                    </w:rPr>
                  </w:pPr>
                  <w:r>
                    <w:rPr>
                      <w:rFonts w:hint="eastAsia"/>
                      <w:kern w:val="0"/>
                      <w:szCs w:val="21"/>
                    </w:rPr>
                    <w:t>0.159</w:t>
                  </w:r>
                </w:p>
              </w:tc>
              <w:tc>
                <w:tcPr>
                  <w:tcW w:w="755" w:type="dxa"/>
                  <w:vMerge w:val="continue"/>
                  <w:shd w:val="clear" w:color="auto" w:fill="auto"/>
                  <w:vAlign w:val="center"/>
                </w:tcPr>
                <w:p>
                  <w:pPr>
                    <w:adjustRightInd w:val="0"/>
                    <w:snapToGrid w:val="0"/>
                    <w:jc w:val="center"/>
                    <w:rPr>
                      <w:kern w:val="0"/>
                      <w:szCs w:val="21"/>
                    </w:rPr>
                  </w:pPr>
                </w:p>
              </w:tc>
              <w:tc>
                <w:tcPr>
                  <w:tcW w:w="588" w:type="dxa"/>
                  <w:shd w:val="clear" w:color="auto" w:fill="auto"/>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kern w:val="0"/>
                      <w:szCs w:val="21"/>
                    </w:rPr>
                    <w:t>90</w:t>
                  </w:r>
                </w:p>
              </w:tc>
              <w:tc>
                <w:tcPr>
                  <w:tcW w:w="727"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0.55</w:t>
                  </w:r>
                </w:p>
              </w:tc>
              <w:tc>
                <w:tcPr>
                  <w:tcW w:w="946"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0.0066</w:t>
                  </w:r>
                </w:p>
              </w:tc>
              <w:tc>
                <w:tcPr>
                  <w:tcW w:w="1035" w:type="dxa"/>
                  <w:shd w:val="clear" w:color="auto" w:fill="auto"/>
                  <w:vAlign w:val="center"/>
                </w:tcPr>
                <w:p>
                  <w:pPr>
                    <w:spacing w:line="340" w:lineRule="exact"/>
                    <w:jc w:val="center"/>
                    <w:rPr>
                      <w:rFonts w:ascii="Times New Roman" w:hAnsi="Times New Roman" w:eastAsia="宋体" w:cs="Times New Roman"/>
                      <w:kern w:val="2"/>
                      <w:sz w:val="21"/>
                      <w:szCs w:val="24"/>
                      <w:highlight w:val="none"/>
                      <w:lang w:val="en-US" w:eastAsia="zh-CN" w:bidi="ar-SA"/>
                    </w:rPr>
                  </w:pPr>
                  <w:r>
                    <w:rPr>
                      <w:rFonts w:hint="eastAsia"/>
                      <w:highlight w:val="none"/>
                    </w:rPr>
                    <w:t>0.0159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78" w:hRule="atLeast"/>
                <w:jc w:val="center"/>
              </w:trPr>
              <w:tc>
                <w:tcPr>
                  <w:tcW w:w="843" w:type="dxa"/>
                  <w:shd w:val="clear" w:color="auto" w:fill="auto"/>
                  <w:vAlign w:val="center"/>
                </w:tcPr>
                <w:p>
                  <w:pPr>
                    <w:adjustRightInd w:val="0"/>
                    <w:snapToGrid w:val="0"/>
                    <w:jc w:val="center"/>
                    <w:rPr>
                      <w:kern w:val="0"/>
                      <w:szCs w:val="21"/>
                    </w:rPr>
                  </w:pPr>
                  <w:r>
                    <w:rPr>
                      <w:rFonts w:hint="eastAsia"/>
                      <w:kern w:val="0"/>
                      <w:szCs w:val="21"/>
                    </w:rPr>
                    <w:t>DA005</w:t>
                  </w:r>
                </w:p>
              </w:tc>
              <w:tc>
                <w:tcPr>
                  <w:tcW w:w="747" w:type="dxa"/>
                  <w:shd w:val="clear" w:color="auto" w:fill="auto"/>
                  <w:vAlign w:val="center"/>
                </w:tcPr>
                <w:p>
                  <w:pPr>
                    <w:adjustRightInd w:val="0"/>
                    <w:snapToGrid w:val="0"/>
                    <w:jc w:val="center"/>
                    <w:rPr>
                      <w:kern w:val="0"/>
                      <w:szCs w:val="21"/>
                    </w:rPr>
                  </w:pPr>
                  <w:r>
                    <w:rPr>
                      <w:rFonts w:hint="eastAsia"/>
                      <w:kern w:val="0"/>
                      <w:szCs w:val="21"/>
                    </w:rPr>
                    <w:t>5000</w:t>
                  </w:r>
                </w:p>
              </w:tc>
              <w:tc>
                <w:tcPr>
                  <w:tcW w:w="795" w:type="dxa"/>
                  <w:shd w:val="clear" w:color="auto" w:fill="auto"/>
                  <w:vAlign w:val="center"/>
                </w:tcPr>
                <w:p>
                  <w:pPr>
                    <w:adjustRightInd w:val="0"/>
                    <w:snapToGrid w:val="0"/>
                    <w:jc w:val="center"/>
                    <w:rPr>
                      <w:kern w:val="0"/>
                      <w:szCs w:val="21"/>
                    </w:rPr>
                  </w:pPr>
                  <w:r>
                    <w:rPr>
                      <w:rFonts w:hint="eastAsia"/>
                      <w:kern w:val="0"/>
                      <w:szCs w:val="21"/>
                    </w:rPr>
                    <w:t>粉尘</w:t>
                  </w:r>
                </w:p>
              </w:tc>
              <w:tc>
                <w:tcPr>
                  <w:tcW w:w="782" w:type="dxa"/>
                  <w:shd w:val="clear" w:color="auto" w:fill="auto"/>
                  <w:vAlign w:val="center"/>
                </w:tcPr>
                <w:p>
                  <w:pPr>
                    <w:adjustRightInd w:val="0"/>
                    <w:snapToGrid w:val="0"/>
                    <w:jc w:val="center"/>
                    <w:rPr>
                      <w:kern w:val="0"/>
                      <w:szCs w:val="21"/>
                    </w:rPr>
                  </w:pPr>
                  <w:r>
                    <w:rPr>
                      <w:rFonts w:hint="eastAsia"/>
                      <w:kern w:val="0"/>
                      <w:szCs w:val="21"/>
                    </w:rPr>
                    <w:t>64</w:t>
                  </w:r>
                </w:p>
              </w:tc>
              <w:tc>
                <w:tcPr>
                  <w:tcW w:w="695" w:type="dxa"/>
                  <w:shd w:val="clear" w:color="auto" w:fill="auto"/>
                  <w:vAlign w:val="center"/>
                </w:tcPr>
                <w:p>
                  <w:pPr>
                    <w:adjustRightInd w:val="0"/>
                    <w:snapToGrid w:val="0"/>
                    <w:jc w:val="center"/>
                    <w:rPr>
                      <w:kern w:val="0"/>
                      <w:szCs w:val="21"/>
                    </w:rPr>
                  </w:pPr>
                  <w:r>
                    <w:rPr>
                      <w:rFonts w:hint="eastAsia"/>
                      <w:kern w:val="0"/>
                      <w:szCs w:val="21"/>
                    </w:rPr>
                    <w:t>0.32</w:t>
                  </w:r>
                </w:p>
              </w:tc>
              <w:tc>
                <w:tcPr>
                  <w:tcW w:w="724" w:type="dxa"/>
                  <w:shd w:val="clear" w:color="auto" w:fill="auto"/>
                  <w:vAlign w:val="center"/>
                </w:tcPr>
                <w:p>
                  <w:pPr>
                    <w:adjustRightInd w:val="0"/>
                    <w:snapToGrid w:val="0"/>
                    <w:jc w:val="center"/>
                    <w:rPr>
                      <w:kern w:val="0"/>
                      <w:szCs w:val="21"/>
                    </w:rPr>
                  </w:pPr>
                  <w:r>
                    <w:rPr>
                      <w:kern w:val="0"/>
                      <w:szCs w:val="21"/>
                    </w:rPr>
                    <w:t>0.</w:t>
                  </w:r>
                  <w:r>
                    <w:rPr>
                      <w:rFonts w:hint="eastAsia"/>
                      <w:kern w:val="0"/>
                      <w:szCs w:val="21"/>
                    </w:rPr>
                    <w:t>768</w:t>
                  </w:r>
                </w:p>
              </w:tc>
              <w:tc>
                <w:tcPr>
                  <w:tcW w:w="755" w:type="dxa"/>
                  <w:shd w:val="clear" w:color="auto" w:fill="auto"/>
                  <w:vAlign w:val="center"/>
                </w:tcPr>
                <w:p>
                  <w:pPr>
                    <w:adjustRightInd w:val="0"/>
                    <w:snapToGrid w:val="0"/>
                    <w:jc w:val="center"/>
                    <w:rPr>
                      <w:kern w:val="0"/>
                      <w:szCs w:val="21"/>
                    </w:rPr>
                  </w:pPr>
                  <w:r>
                    <w:rPr>
                      <w:rFonts w:hint="eastAsia"/>
                      <w:kern w:val="0"/>
                      <w:szCs w:val="21"/>
                    </w:rPr>
                    <w:t>中央除尘</w:t>
                  </w:r>
                  <w:r>
                    <w:rPr>
                      <w:kern w:val="0"/>
                      <w:szCs w:val="21"/>
                    </w:rPr>
                    <w:t>+</w:t>
                  </w:r>
                  <w:r>
                    <w:rPr>
                      <w:rFonts w:hint="eastAsia"/>
                      <w:kern w:val="0"/>
                      <w:szCs w:val="21"/>
                    </w:rPr>
                    <w:t>1</w:t>
                  </w:r>
                  <w:r>
                    <w:rPr>
                      <w:kern w:val="0"/>
                      <w:szCs w:val="21"/>
                    </w:rPr>
                    <w:t>5m高排气筒</w:t>
                  </w:r>
                </w:p>
              </w:tc>
              <w:tc>
                <w:tcPr>
                  <w:tcW w:w="588" w:type="dxa"/>
                  <w:shd w:val="clear" w:color="auto" w:fill="auto"/>
                  <w:vAlign w:val="center"/>
                </w:tcPr>
                <w:p>
                  <w:pPr>
                    <w:adjustRightInd w:val="0"/>
                    <w:snapToGrid w:val="0"/>
                    <w:jc w:val="center"/>
                    <w:rPr>
                      <w:kern w:val="0"/>
                      <w:szCs w:val="21"/>
                    </w:rPr>
                  </w:pPr>
                  <w:r>
                    <w:rPr>
                      <w:rFonts w:hint="eastAsia"/>
                      <w:kern w:val="0"/>
                      <w:szCs w:val="21"/>
                    </w:rPr>
                    <w:t>98.4</w:t>
                  </w:r>
                </w:p>
              </w:tc>
              <w:tc>
                <w:tcPr>
                  <w:tcW w:w="727" w:type="dxa"/>
                  <w:shd w:val="clear" w:color="auto" w:fill="auto"/>
                  <w:vAlign w:val="center"/>
                </w:tcPr>
                <w:p>
                  <w:pPr>
                    <w:adjustRightInd w:val="0"/>
                    <w:snapToGrid w:val="0"/>
                    <w:jc w:val="center"/>
                    <w:rPr>
                      <w:kern w:val="0"/>
                      <w:szCs w:val="21"/>
                    </w:rPr>
                  </w:pPr>
                  <w:r>
                    <w:rPr>
                      <w:rFonts w:hint="eastAsia"/>
                      <w:kern w:val="0"/>
                      <w:szCs w:val="21"/>
                    </w:rPr>
                    <w:t>1.024</w:t>
                  </w:r>
                </w:p>
              </w:tc>
              <w:tc>
                <w:tcPr>
                  <w:tcW w:w="946" w:type="dxa"/>
                  <w:shd w:val="clear" w:color="auto" w:fill="auto"/>
                  <w:vAlign w:val="center"/>
                </w:tcPr>
                <w:p>
                  <w:pPr>
                    <w:adjustRightInd w:val="0"/>
                    <w:snapToGrid w:val="0"/>
                    <w:jc w:val="center"/>
                    <w:rPr>
                      <w:kern w:val="0"/>
                      <w:szCs w:val="21"/>
                    </w:rPr>
                  </w:pPr>
                  <w:r>
                    <w:rPr>
                      <w:rFonts w:hint="eastAsia"/>
                      <w:kern w:val="0"/>
                      <w:szCs w:val="21"/>
                    </w:rPr>
                    <w:t>0.00512</w:t>
                  </w:r>
                </w:p>
              </w:tc>
              <w:tc>
                <w:tcPr>
                  <w:tcW w:w="1035" w:type="dxa"/>
                  <w:shd w:val="clear" w:color="auto" w:fill="auto"/>
                  <w:vAlign w:val="center"/>
                </w:tcPr>
                <w:p>
                  <w:pPr>
                    <w:adjustRightInd w:val="0"/>
                    <w:snapToGrid w:val="0"/>
                    <w:jc w:val="center"/>
                    <w:rPr>
                      <w:kern w:val="0"/>
                      <w:szCs w:val="21"/>
                    </w:rPr>
                  </w:pPr>
                  <w:r>
                    <w:rPr>
                      <w:rFonts w:hint="eastAsia"/>
                      <w:kern w:val="0"/>
                      <w:szCs w:val="21"/>
                    </w:rPr>
                    <w:t>0.012288</w:t>
                  </w:r>
                </w:p>
              </w:tc>
            </w:tr>
          </w:tbl>
          <w:p>
            <w:pPr>
              <w:spacing w:before="120" w:beforeLines="50"/>
              <w:ind w:firstLine="482"/>
              <w:jc w:val="center"/>
              <w:rPr>
                <w:rFonts w:eastAsia="黑体"/>
                <w:bCs/>
                <w:snapToGrid w:val="0"/>
                <w:kern w:val="21"/>
                <w:sz w:val="24"/>
              </w:rPr>
            </w:pPr>
            <w:r>
              <w:rPr>
                <w:rFonts w:hint="eastAsia" w:eastAsia="黑体"/>
                <w:bCs/>
                <w:snapToGrid w:val="0"/>
                <w:kern w:val="21"/>
                <w:sz w:val="24"/>
              </w:rPr>
              <w:t>表4-16 项目无组织废气产排情况一览表</w:t>
            </w:r>
          </w:p>
          <w:tbl>
            <w:tblPr>
              <w:tblStyle w:val="33"/>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1379"/>
              <w:gridCol w:w="1379"/>
              <w:gridCol w:w="1399"/>
              <w:gridCol w:w="1379"/>
              <w:gridCol w:w="14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917" w:type="pct"/>
                  <w:shd w:val="clear" w:color="auto" w:fill="auto"/>
                  <w:vAlign w:val="center"/>
                </w:tcPr>
                <w:p>
                  <w:pPr>
                    <w:adjustRightInd w:val="0"/>
                    <w:snapToGrid w:val="0"/>
                    <w:jc w:val="center"/>
                    <w:rPr>
                      <w:kern w:val="0"/>
                      <w:szCs w:val="21"/>
                    </w:rPr>
                  </w:pPr>
                  <w:r>
                    <w:rPr>
                      <w:rFonts w:hint="eastAsia"/>
                      <w:kern w:val="0"/>
                      <w:szCs w:val="21"/>
                    </w:rPr>
                    <w:t>产生工序/位置</w:t>
                  </w:r>
                </w:p>
              </w:tc>
              <w:tc>
                <w:tcPr>
                  <w:tcW w:w="811" w:type="pct"/>
                  <w:shd w:val="clear" w:color="auto" w:fill="auto"/>
                  <w:vAlign w:val="center"/>
                </w:tcPr>
                <w:p>
                  <w:pPr>
                    <w:adjustRightInd w:val="0"/>
                    <w:snapToGrid w:val="0"/>
                    <w:jc w:val="center"/>
                    <w:rPr>
                      <w:kern w:val="0"/>
                      <w:szCs w:val="21"/>
                    </w:rPr>
                  </w:pPr>
                  <w:r>
                    <w:rPr>
                      <w:rFonts w:hint="eastAsia"/>
                      <w:kern w:val="0"/>
                      <w:szCs w:val="21"/>
                    </w:rPr>
                    <w:t>污染物名称</w:t>
                  </w:r>
                </w:p>
              </w:tc>
              <w:tc>
                <w:tcPr>
                  <w:tcW w:w="811" w:type="pct"/>
                  <w:shd w:val="clear" w:color="auto" w:fill="auto"/>
                  <w:vAlign w:val="center"/>
                </w:tcPr>
                <w:p>
                  <w:pPr>
                    <w:adjustRightInd w:val="0"/>
                    <w:snapToGrid w:val="0"/>
                    <w:jc w:val="center"/>
                    <w:rPr>
                      <w:kern w:val="0"/>
                      <w:szCs w:val="21"/>
                    </w:rPr>
                  </w:pPr>
                  <w:r>
                    <w:rPr>
                      <w:rFonts w:hint="eastAsia"/>
                      <w:kern w:val="0"/>
                      <w:szCs w:val="21"/>
                    </w:rPr>
                    <w:t>产生量</w:t>
                  </w:r>
                </w:p>
                <w:p>
                  <w:pPr>
                    <w:adjustRightInd w:val="0"/>
                    <w:snapToGrid w:val="0"/>
                    <w:jc w:val="center"/>
                    <w:rPr>
                      <w:kern w:val="0"/>
                      <w:szCs w:val="21"/>
                    </w:rPr>
                  </w:pPr>
                  <w:r>
                    <w:rPr>
                      <w:rFonts w:hint="eastAsia"/>
                      <w:kern w:val="0"/>
                      <w:szCs w:val="21"/>
                    </w:rPr>
                    <w:t>t/a</w:t>
                  </w:r>
                </w:p>
              </w:tc>
              <w:tc>
                <w:tcPr>
                  <w:tcW w:w="823" w:type="pct"/>
                  <w:shd w:val="clear" w:color="auto" w:fill="auto"/>
                  <w:vAlign w:val="center"/>
                </w:tcPr>
                <w:p>
                  <w:pPr>
                    <w:adjustRightInd w:val="0"/>
                    <w:snapToGrid w:val="0"/>
                    <w:jc w:val="center"/>
                    <w:rPr>
                      <w:kern w:val="0"/>
                      <w:szCs w:val="21"/>
                    </w:rPr>
                  </w:pPr>
                  <w:r>
                    <w:rPr>
                      <w:rFonts w:hint="eastAsia"/>
                      <w:kern w:val="0"/>
                      <w:szCs w:val="21"/>
                    </w:rPr>
                    <w:t>产生速率kg/h</w:t>
                  </w:r>
                </w:p>
              </w:tc>
              <w:tc>
                <w:tcPr>
                  <w:tcW w:w="811" w:type="pct"/>
                  <w:shd w:val="clear" w:color="auto" w:fill="auto"/>
                  <w:vAlign w:val="center"/>
                </w:tcPr>
                <w:p>
                  <w:pPr>
                    <w:adjustRightInd w:val="0"/>
                    <w:snapToGrid w:val="0"/>
                    <w:jc w:val="center"/>
                    <w:rPr>
                      <w:kern w:val="0"/>
                      <w:szCs w:val="21"/>
                    </w:rPr>
                  </w:pPr>
                  <w:r>
                    <w:rPr>
                      <w:rFonts w:hint="eastAsia"/>
                      <w:kern w:val="0"/>
                      <w:szCs w:val="21"/>
                    </w:rPr>
                    <w:t>排放量</w:t>
                  </w:r>
                </w:p>
                <w:p>
                  <w:pPr>
                    <w:adjustRightInd w:val="0"/>
                    <w:snapToGrid w:val="0"/>
                    <w:jc w:val="center"/>
                    <w:rPr>
                      <w:kern w:val="0"/>
                      <w:szCs w:val="21"/>
                    </w:rPr>
                  </w:pPr>
                  <w:r>
                    <w:rPr>
                      <w:rFonts w:hint="eastAsia"/>
                      <w:kern w:val="0"/>
                      <w:szCs w:val="21"/>
                    </w:rPr>
                    <w:t>t/a</w:t>
                  </w:r>
                </w:p>
              </w:tc>
              <w:tc>
                <w:tcPr>
                  <w:tcW w:w="824" w:type="pct"/>
                  <w:shd w:val="clear" w:color="auto" w:fill="auto"/>
                  <w:vAlign w:val="center"/>
                </w:tcPr>
                <w:p>
                  <w:pPr>
                    <w:adjustRightInd w:val="0"/>
                    <w:snapToGrid w:val="0"/>
                    <w:jc w:val="center"/>
                    <w:rPr>
                      <w:kern w:val="0"/>
                      <w:szCs w:val="21"/>
                    </w:rPr>
                  </w:pPr>
                  <w:r>
                    <w:rPr>
                      <w:rFonts w:hint="eastAsia"/>
                      <w:kern w:val="0"/>
                      <w:szCs w:val="21"/>
                    </w:rPr>
                    <w:t>排放速率</w:t>
                  </w:r>
                </w:p>
                <w:p>
                  <w:pPr>
                    <w:adjustRightInd w:val="0"/>
                    <w:snapToGrid w:val="0"/>
                    <w:jc w:val="center"/>
                    <w:rPr>
                      <w:kern w:val="0"/>
                      <w:szCs w:val="21"/>
                    </w:rPr>
                  </w:pPr>
                  <w:r>
                    <w:rPr>
                      <w:rFonts w:hint="eastAsia"/>
                      <w:kern w:val="0"/>
                      <w:szCs w:val="21"/>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17" w:type="pct"/>
                  <w:vMerge w:val="restart"/>
                  <w:shd w:val="clear" w:color="auto" w:fill="auto"/>
                  <w:vAlign w:val="center"/>
                </w:tcPr>
                <w:p>
                  <w:pPr>
                    <w:adjustRightInd w:val="0"/>
                    <w:snapToGrid w:val="0"/>
                    <w:jc w:val="center"/>
                    <w:rPr>
                      <w:kern w:val="0"/>
                      <w:szCs w:val="21"/>
                    </w:rPr>
                  </w:pPr>
                  <w:r>
                    <w:rPr>
                      <w:rFonts w:hint="eastAsia"/>
                      <w:kern w:val="0"/>
                      <w:szCs w:val="21"/>
                    </w:rPr>
                    <w:t>生产车间</w:t>
                  </w:r>
                </w:p>
              </w:tc>
              <w:tc>
                <w:tcPr>
                  <w:tcW w:w="811" w:type="pct"/>
                  <w:shd w:val="clear" w:color="auto" w:fill="auto"/>
                  <w:vAlign w:val="center"/>
                </w:tcPr>
                <w:p>
                  <w:pPr>
                    <w:adjustRightInd w:val="0"/>
                    <w:snapToGrid w:val="0"/>
                    <w:jc w:val="center"/>
                    <w:rPr>
                      <w:kern w:val="0"/>
                      <w:szCs w:val="21"/>
                    </w:rPr>
                  </w:pPr>
                  <w:r>
                    <w:rPr>
                      <w:rFonts w:hint="eastAsia"/>
                      <w:kern w:val="0"/>
                      <w:szCs w:val="21"/>
                    </w:rPr>
                    <w:t>粉尘</w:t>
                  </w:r>
                </w:p>
              </w:tc>
              <w:tc>
                <w:tcPr>
                  <w:tcW w:w="811" w:type="pct"/>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rPr>
                    <w:t>0.</w:t>
                  </w:r>
                  <w:r>
                    <w:rPr>
                      <w:rFonts w:hint="eastAsia"/>
                      <w:kern w:val="0"/>
                      <w:szCs w:val="21"/>
                      <w:lang w:val="en-US" w:eastAsia="zh-CN"/>
                    </w:rPr>
                    <w:t>21</w:t>
                  </w:r>
                </w:p>
              </w:tc>
              <w:tc>
                <w:tcPr>
                  <w:tcW w:w="823" w:type="pct"/>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rPr>
                    <w:t>0.</w:t>
                  </w:r>
                  <w:r>
                    <w:rPr>
                      <w:rFonts w:hint="eastAsia"/>
                      <w:kern w:val="0"/>
                      <w:szCs w:val="21"/>
                      <w:lang w:val="en-US" w:eastAsia="zh-CN"/>
                    </w:rPr>
                    <w:t>0875</w:t>
                  </w:r>
                </w:p>
              </w:tc>
              <w:tc>
                <w:tcPr>
                  <w:tcW w:w="1379" w:type="dxa"/>
                  <w:shd w:val="clear" w:color="auto" w:fill="auto"/>
                  <w:vAlign w:val="center"/>
                </w:tcPr>
                <w:p>
                  <w:pPr>
                    <w:adjustRightInd w:val="0"/>
                    <w:snapToGrid w:val="0"/>
                    <w:jc w:val="center"/>
                    <w:rPr>
                      <w:kern w:val="0"/>
                      <w:szCs w:val="21"/>
                    </w:rPr>
                  </w:pPr>
                  <w:r>
                    <w:rPr>
                      <w:rFonts w:hint="eastAsia"/>
                      <w:kern w:val="0"/>
                      <w:szCs w:val="21"/>
                    </w:rPr>
                    <w:t>0.</w:t>
                  </w:r>
                  <w:r>
                    <w:rPr>
                      <w:rFonts w:hint="eastAsia"/>
                      <w:kern w:val="0"/>
                      <w:szCs w:val="21"/>
                      <w:lang w:val="en-US" w:eastAsia="zh-CN"/>
                    </w:rPr>
                    <w:t>21</w:t>
                  </w:r>
                </w:p>
              </w:tc>
              <w:tc>
                <w:tcPr>
                  <w:tcW w:w="1401" w:type="dxa"/>
                  <w:shd w:val="clear" w:color="auto" w:fill="auto"/>
                  <w:vAlign w:val="center"/>
                </w:tcPr>
                <w:p>
                  <w:pPr>
                    <w:adjustRightInd w:val="0"/>
                    <w:snapToGrid w:val="0"/>
                    <w:jc w:val="center"/>
                    <w:rPr>
                      <w:kern w:val="0"/>
                      <w:szCs w:val="21"/>
                    </w:rPr>
                  </w:pPr>
                  <w:r>
                    <w:rPr>
                      <w:rFonts w:hint="eastAsia"/>
                      <w:kern w:val="0"/>
                      <w:szCs w:val="21"/>
                    </w:rPr>
                    <w:t>0.</w:t>
                  </w:r>
                  <w:r>
                    <w:rPr>
                      <w:rFonts w:hint="eastAsia"/>
                      <w:kern w:val="0"/>
                      <w:szCs w:val="21"/>
                      <w:lang w:val="en-US" w:eastAsia="zh-CN"/>
                    </w:rPr>
                    <w:t>0875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17" w:type="pct"/>
                  <w:vMerge w:val="continue"/>
                  <w:shd w:val="clear" w:color="auto" w:fill="auto"/>
                  <w:vAlign w:val="center"/>
                </w:tcPr>
                <w:p>
                  <w:pPr>
                    <w:adjustRightInd w:val="0"/>
                    <w:snapToGrid w:val="0"/>
                    <w:jc w:val="center"/>
                    <w:rPr>
                      <w:kern w:val="0"/>
                      <w:szCs w:val="21"/>
                    </w:rPr>
                  </w:pPr>
                </w:p>
              </w:tc>
              <w:tc>
                <w:tcPr>
                  <w:tcW w:w="811" w:type="pct"/>
                  <w:shd w:val="clear" w:color="auto" w:fill="auto"/>
                  <w:vAlign w:val="center"/>
                </w:tcPr>
                <w:p>
                  <w:pPr>
                    <w:adjustRightInd w:val="0"/>
                    <w:snapToGrid w:val="0"/>
                    <w:jc w:val="center"/>
                    <w:rPr>
                      <w:kern w:val="0"/>
                      <w:szCs w:val="21"/>
                    </w:rPr>
                  </w:pPr>
                  <w:r>
                    <w:rPr>
                      <w:rFonts w:hint="eastAsia"/>
                      <w:kern w:val="0"/>
                      <w:szCs w:val="21"/>
                    </w:rPr>
                    <w:t>TVOC</w:t>
                  </w:r>
                </w:p>
              </w:tc>
              <w:tc>
                <w:tcPr>
                  <w:tcW w:w="811" w:type="pct"/>
                  <w:shd w:val="clear" w:color="auto" w:fill="auto"/>
                  <w:vAlign w:val="center"/>
                </w:tcPr>
                <w:p>
                  <w:pPr>
                    <w:adjustRightInd w:val="0"/>
                    <w:snapToGrid w:val="0"/>
                    <w:jc w:val="center"/>
                    <w:rPr>
                      <w:rFonts w:hint="default" w:eastAsia="宋体"/>
                      <w:kern w:val="0"/>
                      <w:szCs w:val="21"/>
                      <w:lang w:val="en-US" w:eastAsia="zh-CN"/>
                    </w:rPr>
                  </w:pPr>
                  <w:r>
                    <w:rPr>
                      <w:rFonts w:hint="eastAsia"/>
                      <w:kern w:val="0"/>
                      <w:szCs w:val="21"/>
                    </w:rPr>
                    <w:t>0.0</w:t>
                  </w:r>
                  <w:r>
                    <w:rPr>
                      <w:rFonts w:hint="eastAsia"/>
                      <w:kern w:val="0"/>
                      <w:szCs w:val="21"/>
                      <w:lang w:val="en-US" w:eastAsia="zh-CN"/>
                    </w:rPr>
                    <w:t>623</w:t>
                  </w:r>
                </w:p>
              </w:tc>
              <w:tc>
                <w:tcPr>
                  <w:tcW w:w="823" w:type="pct"/>
                  <w:shd w:val="clear" w:color="auto" w:fill="auto"/>
                  <w:vAlign w:val="center"/>
                </w:tcPr>
                <w:p>
                  <w:pPr>
                    <w:adjustRightInd w:val="0"/>
                    <w:snapToGrid w:val="0"/>
                    <w:jc w:val="center"/>
                    <w:rPr>
                      <w:rFonts w:hint="eastAsia" w:eastAsia="宋体"/>
                      <w:kern w:val="0"/>
                      <w:szCs w:val="21"/>
                      <w:lang w:eastAsia="zh-CN"/>
                    </w:rPr>
                  </w:pPr>
                  <w:r>
                    <w:rPr>
                      <w:rFonts w:hint="eastAsia"/>
                      <w:kern w:val="0"/>
                      <w:szCs w:val="21"/>
                      <w:lang w:val="en-US" w:eastAsia="zh-CN"/>
                    </w:rPr>
                    <w:t>/</w:t>
                  </w:r>
                </w:p>
              </w:tc>
              <w:tc>
                <w:tcPr>
                  <w:tcW w:w="811" w:type="pct"/>
                  <w:shd w:val="clear" w:color="auto" w:fill="auto"/>
                  <w:vAlign w:val="center"/>
                </w:tcPr>
                <w:p>
                  <w:pPr>
                    <w:adjustRightInd w:val="0"/>
                    <w:snapToGrid w:val="0"/>
                    <w:jc w:val="center"/>
                    <w:rPr>
                      <w:kern w:val="0"/>
                      <w:szCs w:val="21"/>
                    </w:rPr>
                  </w:pPr>
                  <w:r>
                    <w:rPr>
                      <w:rFonts w:hint="eastAsia"/>
                      <w:kern w:val="0"/>
                      <w:szCs w:val="21"/>
                    </w:rPr>
                    <w:t>0.0</w:t>
                  </w:r>
                  <w:r>
                    <w:rPr>
                      <w:rFonts w:hint="eastAsia"/>
                      <w:kern w:val="0"/>
                      <w:szCs w:val="21"/>
                      <w:lang w:val="en-US" w:eastAsia="zh-CN"/>
                    </w:rPr>
                    <w:t>623</w:t>
                  </w:r>
                </w:p>
              </w:tc>
              <w:tc>
                <w:tcPr>
                  <w:tcW w:w="824" w:type="pct"/>
                  <w:shd w:val="clear" w:color="auto" w:fill="auto"/>
                  <w:vAlign w:val="center"/>
                </w:tcPr>
                <w:p>
                  <w:pPr>
                    <w:adjustRightInd w:val="0"/>
                    <w:snapToGrid w:val="0"/>
                    <w:jc w:val="center"/>
                    <w:rPr>
                      <w:rFonts w:hint="eastAsia" w:eastAsia="宋体"/>
                      <w:kern w:val="0"/>
                      <w:szCs w:val="21"/>
                      <w:lang w:eastAsia="zh-CN"/>
                    </w:rPr>
                  </w:pPr>
                  <w:r>
                    <w:rPr>
                      <w:rFonts w:hint="eastAsia"/>
                      <w:kern w:val="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17" w:type="pct"/>
                  <w:vMerge w:val="restart"/>
                  <w:shd w:val="clear" w:color="auto" w:fill="auto"/>
                  <w:vAlign w:val="center"/>
                </w:tcPr>
                <w:p>
                  <w:pPr>
                    <w:adjustRightInd w:val="0"/>
                    <w:snapToGrid w:val="0"/>
                    <w:jc w:val="center"/>
                    <w:rPr>
                      <w:kern w:val="0"/>
                      <w:szCs w:val="21"/>
                    </w:rPr>
                  </w:pPr>
                  <w:r>
                    <w:rPr>
                      <w:rFonts w:hint="eastAsia"/>
                      <w:kern w:val="0"/>
                      <w:szCs w:val="21"/>
                    </w:rPr>
                    <w:t>喷漆房</w:t>
                  </w:r>
                </w:p>
              </w:tc>
              <w:tc>
                <w:tcPr>
                  <w:tcW w:w="811" w:type="pct"/>
                  <w:shd w:val="clear" w:color="auto" w:fill="auto"/>
                  <w:vAlign w:val="center"/>
                </w:tcPr>
                <w:p>
                  <w:pPr>
                    <w:adjustRightInd w:val="0"/>
                    <w:snapToGrid w:val="0"/>
                    <w:jc w:val="center"/>
                    <w:rPr>
                      <w:kern w:val="0"/>
                      <w:szCs w:val="21"/>
                    </w:rPr>
                  </w:pPr>
                  <w:r>
                    <w:rPr>
                      <w:rFonts w:hint="eastAsia"/>
                      <w:kern w:val="0"/>
                      <w:szCs w:val="21"/>
                    </w:rPr>
                    <w:t>TVOC</w:t>
                  </w:r>
                </w:p>
              </w:tc>
              <w:tc>
                <w:tcPr>
                  <w:tcW w:w="811" w:type="pct"/>
                  <w:shd w:val="clear" w:color="auto" w:fill="auto"/>
                  <w:vAlign w:val="center"/>
                </w:tcPr>
                <w:p>
                  <w:pPr>
                    <w:adjustRightInd w:val="0"/>
                    <w:snapToGrid w:val="0"/>
                    <w:jc w:val="center"/>
                    <w:rPr>
                      <w:rFonts w:hint="eastAsia" w:eastAsia="宋体"/>
                      <w:kern w:val="0"/>
                      <w:szCs w:val="21"/>
                      <w:lang w:val="en-US" w:eastAsia="zh-CN"/>
                    </w:rPr>
                  </w:pPr>
                  <w:r>
                    <w:rPr>
                      <w:rFonts w:hint="eastAsia"/>
                      <w:kern w:val="0"/>
                      <w:szCs w:val="21"/>
                    </w:rPr>
                    <w:t>0.34</w:t>
                  </w:r>
                  <w:r>
                    <w:rPr>
                      <w:rFonts w:hint="eastAsia"/>
                      <w:kern w:val="0"/>
                      <w:szCs w:val="21"/>
                      <w:lang w:val="en-US" w:eastAsia="zh-CN"/>
                    </w:rPr>
                    <w:t>7</w:t>
                  </w:r>
                </w:p>
              </w:tc>
              <w:tc>
                <w:tcPr>
                  <w:tcW w:w="823" w:type="pct"/>
                  <w:shd w:val="clear" w:color="auto" w:fill="auto"/>
                  <w:vAlign w:val="center"/>
                </w:tcPr>
                <w:p>
                  <w:pPr>
                    <w:adjustRightInd w:val="0"/>
                    <w:snapToGrid w:val="0"/>
                    <w:jc w:val="center"/>
                    <w:rPr>
                      <w:kern w:val="0"/>
                      <w:szCs w:val="21"/>
                    </w:rPr>
                  </w:pPr>
                  <w:r>
                    <w:rPr>
                      <w:rFonts w:hint="eastAsia"/>
                      <w:kern w:val="0"/>
                      <w:szCs w:val="21"/>
                    </w:rPr>
                    <w:t>0.145</w:t>
                  </w:r>
                </w:p>
              </w:tc>
              <w:tc>
                <w:tcPr>
                  <w:tcW w:w="1379" w:type="dxa"/>
                  <w:shd w:val="clear" w:color="auto" w:fill="auto"/>
                  <w:vAlign w:val="center"/>
                </w:tcPr>
                <w:p>
                  <w:pPr>
                    <w:adjustRightInd w:val="0"/>
                    <w:snapToGrid w:val="0"/>
                    <w:jc w:val="center"/>
                    <w:rPr>
                      <w:kern w:val="0"/>
                      <w:szCs w:val="21"/>
                    </w:rPr>
                  </w:pPr>
                  <w:r>
                    <w:rPr>
                      <w:rFonts w:hint="eastAsia"/>
                      <w:kern w:val="0"/>
                      <w:szCs w:val="21"/>
                    </w:rPr>
                    <w:t>0.34</w:t>
                  </w:r>
                  <w:r>
                    <w:rPr>
                      <w:rFonts w:hint="eastAsia"/>
                      <w:kern w:val="0"/>
                      <w:szCs w:val="21"/>
                      <w:lang w:val="en-US" w:eastAsia="zh-CN"/>
                    </w:rPr>
                    <w:t>7</w:t>
                  </w:r>
                </w:p>
              </w:tc>
              <w:tc>
                <w:tcPr>
                  <w:tcW w:w="1401" w:type="dxa"/>
                  <w:shd w:val="clear" w:color="auto" w:fill="auto"/>
                  <w:vAlign w:val="center"/>
                </w:tcPr>
                <w:p>
                  <w:pPr>
                    <w:adjustRightInd w:val="0"/>
                    <w:snapToGrid w:val="0"/>
                    <w:jc w:val="center"/>
                    <w:rPr>
                      <w:kern w:val="0"/>
                      <w:szCs w:val="21"/>
                    </w:rPr>
                  </w:pPr>
                  <w:r>
                    <w:rPr>
                      <w:rFonts w:hint="eastAsia"/>
                      <w:kern w:val="0"/>
                      <w:szCs w:val="21"/>
                    </w:rPr>
                    <w:t>0.145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17" w:type="pct"/>
                  <w:vMerge w:val="continue"/>
                  <w:shd w:val="clear" w:color="auto" w:fill="auto"/>
                  <w:vAlign w:val="center"/>
                </w:tcPr>
                <w:p>
                  <w:pPr>
                    <w:adjustRightInd w:val="0"/>
                    <w:snapToGrid w:val="0"/>
                    <w:jc w:val="center"/>
                    <w:rPr>
                      <w:kern w:val="0"/>
                      <w:szCs w:val="21"/>
                    </w:rPr>
                  </w:pPr>
                </w:p>
              </w:tc>
              <w:tc>
                <w:tcPr>
                  <w:tcW w:w="811" w:type="pct"/>
                  <w:shd w:val="clear" w:color="auto" w:fill="auto"/>
                  <w:vAlign w:val="center"/>
                </w:tcPr>
                <w:p>
                  <w:pPr>
                    <w:adjustRightInd w:val="0"/>
                    <w:snapToGrid w:val="0"/>
                    <w:jc w:val="center"/>
                    <w:rPr>
                      <w:kern w:val="0"/>
                      <w:szCs w:val="21"/>
                    </w:rPr>
                  </w:pPr>
                  <w:r>
                    <w:rPr>
                      <w:rFonts w:hint="eastAsia"/>
                      <w:kern w:val="0"/>
                      <w:szCs w:val="21"/>
                    </w:rPr>
                    <w:t>甲苯及二甲苯</w:t>
                  </w:r>
                </w:p>
              </w:tc>
              <w:tc>
                <w:tcPr>
                  <w:tcW w:w="811" w:type="pct"/>
                  <w:shd w:val="clear" w:color="auto" w:fill="auto"/>
                  <w:vAlign w:val="center"/>
                </w:tcPr>
                <w:p>
                  <w:pPr>
                    <w:adjustRightInd w:val="0"/>
                    <w:snapToGrid w:val="0"/>
                    <w:jc w:val="center"/>
                    <w:rPr>
                      <w:kern w:val="0"/>
                      <w:szCs w:val="21"/>
                    </w:rPr>
                  </w:pPr>
                  <w:r>
                    <w:rPr>
                      <w:rFonts w:hint="eastAsia"/>
                      <w:kern w:val="0"/>
                      <w:szCs w:val="21"/>
                    </w:rPr>
                    <w:t>0.084</w:t>
                  </w:r>
                </w:p>
              </w:tc>
              <w:tc>
                <w:tcPr>
                  <w:tcW w:w="823" w:type="pct"/>
                  <w:shd w:val="clear" w:color="auto" w:fill="auto"/>
                  <w:vAlign w:val="center"/>
                </w:tcPr>
                <w:p>
                  <w:pPr>
                    <w:adjustRightInd w:val="0"/>
                    <w:snapToGrid w:val="0"/>
                    <w:jc w:val="center"/>
                    <w:rPr>
                      <w:kern w:val="0"/>
                      <w:szCs w:val="21"/>
                    </w:rPr>
                  </w:pPr>
                  <w:r>
                    <w:rPr>
                      <w:rFonts w:hint="eastAsia"/>
                    </w:rPr>
                    <w:t>0.0</w:t>
                  </w:r>
                  <w:r>
                    <w:rPr>
                      <w:rFonts w:hint="eastAsia"/>
                      <w:lang w:val="en-US" w:eastAsia="zh-CN"/>
                    </w:rPr>
                    <w:t>35</w:t>
                  </w:r>
                </w:p>
              </w:tc>
              <w:tc>
                <w:tcPr>
                  <w:tcW w:w="811" w:type="pct"/>
                  <w:shd w:val="clear" w:color="auto" w:fill="auto"/>
                  <w:vAlign w:val="center"/>
                </w:tcPr>
                <w:p>
                  <w:pPr>
                    <w:adjustRightInd w:val="0"/>
                    <w:snapToGrid w:val="0"/>
                    <w:jc w:val="center"/>
                    <w:rPr>
                      <w:kern w:val="0"/>
                      <w:szCs w:val="21"/>
                    </w:rPr>
                  </w:pPr>
                  <w:r>
                    <w:rPr>
                      <w:rFonts w:hint="eastAsia"/>
                      <w:kern w:val="0"/>
                      <w:szCs w:val="21"/>
                    </w:rPr>
                    <w:t>0.084</w:t>
                  </w:r>
                </w:p>
              </w:tc>
              <w:tc>
                <w:tcPr>
                  <w:tcW w:w="824" w:type="pct"/>
                  <w:shd w:val="clear" w:color="auto" w:fill="auto"/>
                  <w:vAlign w:val="center"/>
                </w:tcPr>
                <w:p>
                  <w:pPr>
                    <w:adjustRightInd w:val="0"/>
                    <w:snapToGrid w:val="0"/>
                    <w:jc w:val="center"/>
                    <w:rPr>
                      <w:kern w:val="0"/>
                      <w:szCs w:val="21"/>
                    </w:rPr>
                  </w:pPr>
                  <w:r>
                    <w:rPr>
                      <w:rFonts w:hint="eastAsia"/>
                    </w:rPr>
                    <w:t>0.0</w:t>
                  </w:r>
                  <w:r>
                    <w:rPr>
                      <w:rFonts w:hint="eastAsia"/>
                      <w:lang w:val="en-US" w:eastAsia="zh-CN"/>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17" w:type="pct"/>
                  <w:vMerge w:val="continue"/>
                  <w:shd w:val="clear" w:color="auto" w:fill="auto"/>
                  <w:vAlign w:val="center"/>
                </w:tcPr>
                <w:p>
                  <w:pPr>
                    <w:adjustRightInd w:val="0"/>
                    <w:snapToGrid w:val="0"/>
                    <w:jc w:val="center"/>
                    <w:rPr>
                      <w:kern w:val="0"/>
                      <w:szCs w:val="21"/>
                    </w:rPr>
                  </w:pPr>
                </w:p>
              </w:tc>
              <w:tc>
                <w:tcPr>
                  <w:tcW w:w="811" w:type="pct"/>
                  <w:shd w:val="clear" w:color="auto" w:fill="auto"/>
                  <w:vAlign w:val="center"/>
                </w:tcPr>
                <w:p>
                  <w:pPr>
                    <w:adjustRightInd w:val="0"/>
                    <w:snapToGrid w:val="0"/>
                    <w:jc w:val="center"/>
                    <w:rPr>
                      <w:kern w:val="0"/>
                      <w:szCs w:val="21"/>
                    </w:rPr>
                  </w:pPr>
                  <w:r>
                    <w:rPr>
                      <w:rFonts w:hint="eastAsia"/>
                      <w:kern w:val="0"/>
                      <w:szCs w:val="21"/>
                    </w:rPr>
                    <w:t>漆雾</w:t>
                  </w:r>
                </w:p>
              </w:tc>
              <w:tc>
                <w:tcPr>
                  <w:tcW w:w="811" w:type="pct"/>
                  <w:shd w:val="clear" w:color="auto" w:fill="auto"/>
                  <w:vAlign w:val="center"/>
                </w:tcPr>
                <w:p>
                  <w:pPr>
                    <w:adjustRightInd w:val="0"/>
                    <w:snapToGrid w:val="0"/>
                    <w:jc w:val="center"/>
                    <w:rPr>
                      <w:kern w:val="0"/>
                      <w:szCs w:val="21"/>
                    </w:rPr>
                  </w:pPr>
                  <w:r>
                    <w:rPr>
                      <w:rFonts w:hint="eastAsia"/>
                      <w:kern w:val="0"/>
                      <w:szCs w:val="21"/>
                    </w:rPr>
                    <w:t>0.053</w:t>
                  </w:r>
                </w:p>
              </w:tc>
              <w:tc>
                <w:tcPr>
                  <w:tcW w:w="823" w:type="pct"/>
                  <w:shd w:val="clear" w:color="auto" w:fill="auto"/>
                  <w:vAlign w:val="center"/>
                </w:tcPr>
                <w:p>
                  <w:pPr>
                    <w:adjustRightInd w:val="0"/>
                    <w:snapToGrid w:val="0"/>
                    <w:jc w:val="center"/>
                    <w:rPr>
                      <w:kern w:val="0"/>
                      <w:szCs w:val="21"/>
                    </w:rPr>
                  </w:pPr>
                  <w:r>
                    <w:rPr>
                      <w:rFonts w:hint="eastAsia"/>
                      <w:kern w:val="0"/>
                      <w:szCs w:val="21"/>
                    </w:rPr>
                    <w:t>0.022</w:t>
                  </w:r>
                </w:p>
              </w:tc>
              <w:tc>
                <w:tcPr>
                  <w:tcW w:w="811" w:type="pct"/>
                  <w:shd w:val="clear" w:color="auto" w:fill="auto"/>
                  <w:vAlign w:val="center"/>
                </w:tcPr>
                <w:p>
                  <w:pPr>
                    <w:adjustRightInd w:val="0"/>
                    <w:snapToGrid w:val="0"/>
                    <w:jc w:val="center"/>
                    <w:rPr>
                      <w:kern w:val="0"/>
                      <w:szCs w:val="21"/>
                    </w:rPr>
                  </w:pPr>
                  <w:r>
                    <w:rPr>
                      <w:rFonts w:hint="eastAsia"/>
                      <w:kern w:val="0"/>
                      <w:szCs w:val="21"/>
                    </w:rPr>
                    <w:t>0.053</w:t>
                  </w:r>
                </w:p>
              </w:tc>
              <w:tc>
                <w:tcPr>
                  <w:tcW w:w="824" w:type="pct"/>
                  <w:shd w:val="clear" w:color="auto" w:fill="auto"/>
                  <w:vAlign w:val="center"/>
                </w:tcPr>
                <w:p>
                  <w:pPr>
                    <w:adjustRightInd w:val="0"/>
                    <w:snapToGrid w:val="0"/>
                    <w:jc w:val="center"/>
                    <w:rPr>
                      <w:kern w:val="0"/>
                      <w:szCs w:val="21"/>
                    </w:rPr>
                  </w:pPr>
                  <w:r>
                    <w:rPr>
                      <w:rFonts w:hint="eastAsia"/>
                      <w:kern w:val="0"/>
                      <w:szCs w:val="21"/>
                    </w:rPr>
                    <w:t>0.022</w:t>
                  </w:r>
                </w:p>
              </w:tc>
            </w:tr>
          </w:tbl>
          <w:p>
            <w:pPr>
              <w:spacing w:before="120" w:beforeLines="50"/>
              <w:ind w:firstLine="482"/>
              <w:jc w:val="center"/>
              <w:rPr>
                <w:rFonts w:eastAsia="黑体"/>
                <w:bCs/>
                <w:snapToGrid w:val="0"/>
                <w:kern w:val="21"/>
                <w:sz w:val="24"/>
              </w:rPr>
            </w:pPr>
            <w:r>
              <w:rPr>
                <w:rFonts w:hint="eastAsia" w:eastAsia="黑体"/>
                <w:bCs/>
                <w:snapToGrid w:val="0"/>
                <w:kern w:val="21"/>
                <w:sz w:val="24"/>
              </w:rPr>
              <w:t>表4-17  大气污染物年排放量核算表</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2698"/>
              <w:gridCol w:w="38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131" w:type="pct"/>
                  <w:vAlign w:val="center"/>
                </w:tcPr>
                <w:p>
                  <w:pPr>
                    <w:adjustRightInd w:val="0"/>
                    <w:snapToGrid w:val="0"/>
                    <w:jc w:val="center"/>
                    <w:rPr>
                      <w:kern w:val="0"/>
                      <w:szCs w:val="21"/>
                      <w:highlight w:val="none"/>
                    </w:rPr>
                  </w:pPr>
                  <w:r>
                    <w:rPr>
                      <w:rFonts w:hint="eastAsia"/>
                      <w:kern w:val="0"/>
                      <w:szCs w:val="21"/>
                      <w:highlight w:val="none"/>
                    </w:rPr>
                    <w:t>序号</w:t>
                  </w:r>
                </w:p>
              </w:tc>
              <w:tc>
                <w:tcPr>
                  <w:tcW w:w="1587" w:type="pct"/>
                  <w:vAlign w:val="center"/>
                </w:tcPr>
                <w:p>
                  <w:pPr>
                    <w:adjustRightInd w:val="0"/>
                    <w:snapToGrid w:val="0"/>
                    <w:jc w:val="center"/>
                    <w:rPr>
                      <w:kern w:val="0"/>
                      <w:szCs w:val="21"/>
                      <w:highlight w:val="none"/>
                    </w:rPr>
                  </w:pPr>
                  <w:r>
                    <w:rPr>
                      <w:rFonts w:hint="eastAsia"/>
                      <w:kern w:val="0"/>
                      <w:szCs w:val="21"/>
                      <w:highlight w:val="none"/>
                    </w:rPr>
                    <w:t>污染物</w:t>
                  </w:r>
                </w:p>
              </w:tc>
              <w:tc>
                <w:tcPr>
                  <w:tcW w:w="2281" w:type="pct"/>
                  <w:vAlign w:val="center"/>
                </w:tcPr>
                <w:p>
                  <w:pPr>
                    <w:adjustRightInd w:val="0"/>
                    <w:snapToGrid w:val="0"/>
                    <w:jc w:val="center"/>
                    <w:rPr>
                      <w:kern w:val="0"/>
                      <w:szCs w:val="21"/>
                      <w:highlight w:val="none"/>
                    </w:rPr>
                  </w:pPr>
                  <w:r>
                    <w:rPr>
                      <w:rFonts w:hint="eastAsia"/>
                      <w:kern w:val="0"/>
                      <w:szCs w:val="21"/>
                      <w:highlight w:val="none"/>
                    </w:rPr>
                    <w:t>核算年排放量</w:t>
                  </w:r>
                </w:p>
                <w:p>
                  <w:pPr>
                    <w:adjustRightInd w:val="0"/>
                    <w:snapToGrid w:val="0"/>
                    <w:jc w:val="center"/>
                    <w:rPr>
                      <w:kern w:val="0"/>
                      <w:szCs w:val="21"/>
                      <w:highlight w:val="none"/>
                    </w:rPr>
                  </w:pPr>
                  <w:r>
                    <w:rPr>
                      <w:rFonts w:hint="eastAsia"/>
                      <w:kern w:val="0"/>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1" w:type="pct"/>
                  <w:vAlign w:val="center"/>
                </w:tcPr>
                <w:p>
                  <w:pPr>
                    <w:adjustRightInd w:val="0"/>
                    <w:snapToGrid w:val="0"/>
                    <w:jc w:val="center"/>
                    <w:rPr>
                      <w:kern w:val="0"/>
                      <w:szCs w:val="21"/>
                      <w:highlight w:val="none"/>
                    </w:rPr>
                  </w:pPr>
                  <w:r>
                    <w:rPr>
                      <w:rFonts w:hint="eastAsia"/>
                      <w:kern w:val="0"/>
                      <w:szCs w:val="21"/>
                      <w:highlight w:val="none"/>
                    </w:rPr>
                    <w:t>1</w:t>
                  </w:r>
                </w:p>
              </w:tc>
              <w:tc>
                <w:tcPr>
                  <w:tcW w:w="1587" w:type="pct"/>
                  <w:vAlign w:val="center"/>
                </w:tcPr>
                <w:p>
                  <w:pPr>
                    <w:adjustRightInd w:val="0"/>
                    <w:snapToGrid w:val="0"/>
                    <w:jc w:val="center"/>
                    <w:rPr>
                      <w:kern w:val="0"/>
                      <w:szCs w:val="21"/>
                      <w:highlight w:val="none"/>
                    </w:rPr>
                  </w:pPr>
                  <w:r>
                    <w:rPr>
                      <w:rFonts w:hint="eastAsia"/>
                      <w:kern w:val="0"/>
                      <w:szCs w:val="21"/>
                      <w:highlight w:val="none"/>
                    </w:rPr>
                    <w:t>粉尘（</w:t>
                  </w:r>
                  <w:r>
                    <w:rPr>
                      <w:rFonts w:hint="eastAsia"/>
                      <w:kern w:val="0"/>
                      <w:szCs w:val="21"/>
                      <w:highlight w:val="none"/>
                      <w:lang w:eastAsia="zh-CN"/>
                    </w:rPr>
                    <w:t>含</w:t>
                  </w:r>
                  <w:r>
                    <w:rPr>
                      <w:rFonts w:hint="eastAsia"/>
                      <w:kern w:val="0"/>
                      <w:szCs w:val="21"/>
                      <w:highlight w:val="none"/>
                    </w:rPr>
                    <w:t>漆雾）</w:t>
                  </w:r>
                </w:p>
              </w:tc>
              <w:tc>
                <w:tcPr>
                  <w:tcW w:w="3915" w:type="dxa"/>
                  <w:vAlign w:val="center"/>
                </w:tcPr>
                <w:p>
                  <w:pPr>
                    <w:keepNext w:val="0"/>
                    <w:keepLines w:val="0"/>
                    <w:widowControl/>
                    <w:suppressLineNumbers w:val="0"/>
                    <w:adjustRightInd w:val="0"/>
                    <w:snapToGrid w:val="0"/>
                    <w:jc w:val="center"/>
                    <w:textAlignment w:val="auto"/>
                    <w:rPr>
                      <w:rFonts w:hint="default" w:ascii="Times New Roman" w:hAnsi="Times New Roman" w:eastAsia="宋体" w:cs="Times New Roman"/>
                      <w:kern w:val="0"/>
                      <w:szCs w:val="21"/>
                      <w:lang w:val="en-US"/>
                    </w:rPr>
                  </w:pPr>
                  <w:r>
                    <w:rPr>
                      <w:rFonts w:hint="eastAsia" w:cs="Times New Roman"/>
                      <w:i w:val="0"/>
                      <w:iCs w:val="0"/>
                      <w:kern w:val="0"/>
                      <w:sz w:val="21"/>
                      <w:szCs w:val="21"/>
                      <w:u w:val="none"/>
                      <w:lang w:val="en-US" w:eastAsia="zh-CN" w:bidi="ar"/>
                    </w:rPr>
                    <w:t>0.32414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1" w:type="pct"/>
                  <w:vAlign w:val="center"/>
                </w:tcPr>
                <w:p>
                  <w:pPr>
                    <w:adjustRightInd w:val="0"/>
                    <w:snapToGrid w:val="0"/>
                    <w:jc w:val="center"/>
                    <w:rPr>
                      <w:kern w:val="0"/>
                      <w:szCs w:val="21"/>
                      <w:highlight w:val="none"/>
                    </w:rPr>
                  </w:pPr>
                  <w:r>
                    <w:rPr>
                      <w:rFonts w:hint="eastAsia"/>
                      <w:kern w:val="0"/>
                      <w:szCs w:val="21"/>
                      <w:highlight w:val="none"/>
                    </w:rPr>
                    <w:t>2</w:t>
                  </w:r>
                </w:p>
              </w:tc>
              <w:tc>
                <w:tcPr>
                  <w:tcW w:w="1587" w:type="pct"/>
                  <w:vAlign w:val="center"/>
                </w:tcPr>
                <w:p>
                  <w:pPr>
                    <w:adjustRightInd w:val="0"/>
                    <w:snapToGrid w:val="0"/>
                    <w:jc w:val="center"/>
                    <w:rPr>
                      <w:kern w:val="0"/>
                      <w:szCs w:val="21"/>
                      <w:highlight w:val="none"/>
                    </w:rPr>
                  </w:pPr>
                  <w:r>
                    <w:rPr>
                      <w:rFonts w:hint="eastAsia"/>
                      <w:kern w:val="0"/>
                      <w:szCs w:val="21"/>
                      <w:highlight w:val="none"/>
                    </w:rPr>
                    <w:t>TVOC</w:t>
                  </w:r>
                </w:p>
              </w:tc>
              <w:tc>
                <w:tcPr>
                  <w:tcW w:w="3915" w:type="dxa"/>
                  <w:vAlign w:val="center"/>
                </w:tcPr>
                <w:p>
                  <w:pPr>
                    <w:keepNext w:val="0"/>
                    <w:keepLines w:val="0"/>
                    <w:widowControl/>
                    <w:suppressLineNumbers w:val="0"/>
                    <w:adjustRightInd w:val="0"/>
                    <w:snapToGrid w:val="0"/>
                    <w:jc w:val="center"/>
                    <w:textAlignment w:val="auto"/>
                    <w:rPr>
                      <w:rFonts w:hint="default" w:ascii="Times New Roman" w:hAnsi="Times New Roman" w:eastAsia="宋体" w:cs="Times New Roman"/>
                      <w:kern w:val="0"/>
                      <w:szCs w:val="21"/>
                      <w:lang w:val="en-US"/>
                    </w:rPr>
                  </w:pPr>
                  <w:r>
                    <w:rPr>
                      <w:rFonts w:hint="eastAsia" w:ascii="Times New Roman" w:hAnsi="Times New Roman" w:eastAsia="宋体" w:cs="Times New Roman"/>
                      <w:i w:val="0"/>
                      <w:iCs w:val="0"/>
                      <w:kern w:val="0"/>
                      <w:sz w:val="21"/>
                      <w:szCs w:val="21"/>
                      <w:u w:val="none"/>
                      <w:lang w:val="en-US" w:eastAsia="zh-CN" w:bidi="ar"/>
                    </w:rPr>
                    <w:t>1.9</w:t>
                  </w:r>
                  <w:r>
                    <w:rPr>
                      <w:rFonts w:hint="eastAsia" w:cs="Times New Roman"/>
                      <w:i w:val="0"/>
                      <w:iCs w:val="0"/>
                      <w:kern w:val="0"/>
                      <w:sz w:val="21"/>
                      <w:szCs w:val="21"/>
                      <w:u w:val="none"/>
                      <w:lang w:val="en-US" w:eastAsia="zh-CN" w:bidi="ar"/>
                    </w:rPr>
                    <w:t>693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31" w:type="pct"/>
                  <w:vAlign w:val="center"/>
                </w:tcPr>
                <w:p>
                  <w:pPr>
                    <w:adjustRightInd w:val="0"/>
                    <w:snapToGrid w:val="0"/>
                    <w:jc w:val="center"/>
                    <w:rPr>
                      <w:kern w:val="0"/>
                      <w:szCs w:val="21"/>
                      <w:highlight w:val="none"/>
                    </w:rPr>
                  </w:pPr>
                  <w:r>
                    <w:rPr>
                      <w:rFonts w:hint="eastAsia"/>
                      <w:kern w:val="0"/>
                      <w:szCs w:val="21"/>
                      <w:highlight w:val="none"/>
                    </w:rPr>
                    <w:t>2</w:t>
                  </w:r>
                </w:p>
              </w:tc>
              <w:tc>
                <w:tcPr>
                  <w:tcW w:w="1587" w:type="pct"/>
                  <w:vAlign w:val="center"/>
                </w:tcPr>
                <w:p>
                  <w:pPr>
                    <w:adjustRightInd w:val="0"/>
                    <w:snapToGrid w:val="0"/>
                    <w:jc w:val="center"/>
                    <w:rPr>
                      <w:kern w:val="0"/>
                      <w:szCs w:val="21"/>
                      <w:highlight w:val="none"/>
                    </w:rPr>
                  </w:pPr>
                  <w:r>
                    <w:rPr>
                      <w:rFonts w:hint="eastAsia"/>
                      <w:kern w:val="0"/>
                      <w:szCs w:val="21"/>
                      <w:highlight w:val="none"/>
                    </w:rPr>
                    <w:t>甲苯及二甲苯</w:t>
                  </w:r>
                </w:p>
              </w:tc>
              <w:tc>
                <w:tcPr>
                  <w:tcW w:w="3915" w:type="dxa"/>
                  <w:vAlign w:val="center"/>
                </w:tcPr>
                <w:p>
                  <w:pPr>
                    <w:keepNext w:val="0"/>
                    <w:keepLines w:val="0"/>
                    <w:widowControl/>
                    <w:suppressLineNumbers w:val="0"/>
                    <w:adjustRightInd w:val="0"/>
                    <w:snapToGrid w:val="0"/>
                    <w:jc w:val="center"/>
                    <w:textAlignment w:val="auto"/>
                    <w:rPr>
                      <w:rFonts w:hint="default" w:ascii="Times New Roman" w:hAnsi="Times New Roman" w:eastAsia="宋体" w:cs="Times New Roman"/>
                      <w:kern w:val="0"/>
                      <w:szCs w:val="21"/>
                      <w:lang w:val="en-US"/>
                    </w:rPr>
                  </w:pPr>
                  <w:r>
                    <w:rPr>
                      <w:rFonts w:hint="eastAsia" w:ascii="Times New Roman" w:hAnsi="Times New Roman" w:eastAsia="宋体" w:cs="Times New Roman"/>
                      <w:i w:val="0"/>
                      <w:iCs w:val="0"/>
                      <w:kern w:val="0"/>
                      <w:sz w:val="21"/>
                      <w:szCs w:val="21"/>
                      <w:u w:val="none"/>
                      <w:lang w:val="en-US" w:eastAsia="zh-CN" w:bidi="ar"/>
                    </w:rPr>
                    <w:t>0.45</w:t>
                  </w:r>
                  <w:r>
                    <w:rPr>
                      <w:rFonts w:hint="eastAsia" w:cs="Times New Roman"/>
                      <w:i w:val="0"/>
                      <w:iCs w:val="0"/>
                      <w:kern w:val="0"/>
                      <w:sz w:val="21"/>
                      <w:szCs w:val="21"/>
                      <w:u w:val="none"/>
                      <w:lang w:val="en-US" w:eastAsia="zh-CN" w:bidi="ar"/>
                    </w:rPr>
                    <w:t>9</w:t>
                  </w:r>
                </w:p>
              </w:tc>
            </w:tr>
          </w:tbl>
          <w:p>
            <w:pPr>
              <w:adjustRightInd w:val="0"/>
              <w:snapToGrid w:val="0"/>
              <w:spacing w:line="360" w:lineRule="auto"/>
              <w:ind w:firstLine="482" w:firstLineChars="200"/>
              <w:rPr>
                <w:b/>
                <w:bCs/>
                <w:sz w:val="24"/>
              </w:rPr>
            </w:pPr>
            <w:r>
              <w:rPr>
                <w:b/>
                <w:bCs/>
                <w:sz w:val="24"/>
              </w:rPr>
              <w:fldChar w:fldCharType="begin"/>
            </w:r>
            <w:r>
              <w:rPr>
                <w:b/>
                <w:bCs/>
                <w:sz w:val="24"/>
              </w:rPr>
              <w:instrText xml:space="preserve"> = 3 \* GB2 \* MERGEFORMAT </w:instrText>
            </w:r>
            <w:r>
              <w:rPr>
                <w:b/>
                <w:bCs/>
                <w:sz w:val="24"/>
              </w:rPr>
              <w:fldChar w:fldCharType="separate"/>
            </w:r>
            <w:r>
              <w:rPr>
                <w:b/>
                <w:bCs/>
                <w:sz w:val="24"/>
              </w:rPr>
              <w:t>⑶</w:t>
            </w:r>
            <w:r>
              <w:rPr>
                <w:b/>
                <w:bCs/>
                <w:sz w:val="24"/>
              </w:rPr>
              <w:fldChar w:fldCharType="end"/>
            </w:r>
            <w:r>
              <w:rPr>
                <w:b/>
                <w:bCs/>
                <w:sz w:val="24"/>
              </w:rPr>
              <w:t>废气收集处理措施</w:t>
            </w:r>
            <w:r>
              <w:rPr>
                <w:rFonts w:hint="eastAsia"/>
                <w:b/>
                <w:bCs/>
                <w:sz w:val="24"/>
              </w:rPr>
              <w:t>可行性</w:t>
            </w:r>
          </w:p>
          <w:p>
            <w:pPr>
              <w:pStyle w:val="48"/>
              <w:spacing w:before="120" w:beforeLines="50"/>
              <w:ind w:firstLine="480"/>
            </w:pPr>
            <w:r>
              <w:t>本项目废气主要为</w:t>
            </w:r>
            <w:r>
              <w:rPr>
                <w:rFonts w:hint="eastAsia"/>
              </w:rPr>
              <w:t>机加工</w:t>
            </w:r>
            <w:r>
              <w:t>粉尘</w:t>
            </w:r>
            <w:r>
              <w:rPr>
                <w:rFonts w:hint="eastAsia"/>
              </w:rPr>
              <w:t>、喷漆废气、砂光粉尘</w:t>
            </w:r>
            <w:r>
              <w:t>。</w:t>
            </w:r>
          </w:p>
          <w:p>
            <w:pPr>
              <w:adjustRightInd w:val="0"/>
              <w:snapToGrid w:val="0"/>
              <w:spacing w:line="360" w:lineRule="auto"/>
              <w:ind w:firstLine="480" w:firstLineChars="200"/>
              <w:rPr>
                <w:sz w:val="24"/>
              </w:rPr>
            </w:pPr>
            <w:r>
              <w:rPr>
                <w:rFonts w:hint="eastAsia"/>
                <w:sz w:val="24"/>
              </w:rPr>
              <w:t>机加工粉尘</w:t>
            </w:r>
            <w:r>
              <w:rPr>
                <w:sz w:val="24"/>
              </w:rPr>
              <w:t>经中央集尘处理，</w:t>
            </w:r>
            <w:r>
              <w:rPr>
                <w:rFonts w:hint="eastAsia"/>
                <w:sz w:val="24"/>
              </w:rPr>
              <w:t>粉尘</w:t>
            </w:r>
            <w:r>
              <w:rPr>
                <w:sz w:val="24"/>
              </w:rPr>
              <w:t>处理效率为</w:t>
            </w:r>
            <w:r>
              <w:rPr>
                <w:rFonts w:hint="eastAsia"/>
                <w:sz w:val="24"/>
              </w:rPr>
              <w:t>98.4</w:t>
            </w:r>
            <w:r>
              <w:rPr>
                <w:sz w:val="24"/>
              </w:rPr>
              <w:t>%，最后经</w:t>
            </w:r>
            <w:r>
              <w:rPr>
                <w:rFonts w:hint="eastAsia"/>
                <w:sz w:val="24"/>
              </w:rPr>
              <w:t>15</w:t>
            </w:r>
            <w:r>
              <w:rPr>
                <w:sz w:val="24"/>
              </w:rPr>
              <w:t>m高排气筒排放，经处理后</w:t>
            </w:r>
            <w:r>
              <w:rPr>
                <w:rFonts w:hint="eastAsia"/>
                <w:sz w:val="24"/>
              </w:rPr>
              <w:t>粉尘</w:t>
            </w:r>
            <w:r>
              <w:rPr>
                <w:sz w:val="24"/>
              </w:rPr>
              <w:t>排放浓度满足</w:t>
            </w:r>
            <w:r>
              <w:rPr>
                <w:rFonts w:hint="eastAsia"/>
                <w:sz w:val="24"/>
              </w:rPr>
              <w:t>《大气污染物综合排放标准》（GB16297-1996）表2中二级标准要求</w:t>
            </w:r>
            <w:r>
              <w:rPr>
                <w:sz w:val="24"/>
              </w:rPr>
              <w:t>，对环境影响较小。</w:t>
            </w:r>
          </w:p>
          <w:p>
            <w:pPr>
              <w:adjustRightInd w:val="0"/>
              <w:snapToGrid w:val="0"/>
              <w:spacing w:line="360" w:lineRule="auto"/>
              <w:ind w:firstLine="480" w:firstLineChars="200"/>
              <w:rPr>
                <w:sz w:val="24"/>
              </w:rPr>
            </w:pPr>
            <w:r>
              <w:rPr>
                <w:rFonts w:hint="eastAsia"/>
                <w:sz w:val="24"/>
              </w:rPr>
              <w:t>喷漆房废气经</w:t>
            </w:r>
            <w:r>
              <w:rPr>
                <w:sz w:val="24"/>
              </w:rPr>
              <w:t>水帘柜+</w:t>
            </w:r>
            <w:r>
              <w:rPr>
                <w:rFonts w:hint="eastAsia"/>
                <w:sz w:val="24"/>
              </w:rPr>
              <w:t>二级</w:t>
            </w:r>
            <w:r>
              <w:rPr>
                <w:sz w:val="24"/>
              </w:rPr>
              <w:t>活性炭吸附装置</w:t>
            </w:r>
            <w:r>
              <w:rPr>
                <w:rFonts w:hint="eastAsia"/>
                <w:sz w:val="24"/>
              </w:rPr>
              <w:t>+15m高排气筒排放</w:t>
            </w:r>
            <w:r>
              <w:rPr>
                <w:sz w:val="24"/>
              </w:rPr>
              <w:t>。水帘柜+</w:t>
            </w:r>
            <w:r>
              <w:rPr>
                <w:rFonts w:hint="eastAsia"/>
                <w:sz w:val="24"/>
              </w:rPr>
              <w:t>二级</w:t>
            </w:r>
            <w:r>
              <w:rPr>
                <w:sz w:val="24"/>
              </w:rPr>
              <w:t>活性炭吸附装置对TVOC、甲苯及二甲苯的处理效率为</w:t>
            </w:r>
            <w:r>
              <w:rPr>
                <w:rFonts w:hint="eastAsia"/>
                <w:sz w:val="24"/>
              </w:rPr>
              <w:t>50</w:t>
            </w:r>
            <w:r>
              <w:rPr>
                <w:sz w:val="24"/>
              </w:rPr>
              <w:t>%，对漆雾因子的处理效率为90%（其中水帘柜处理效率为90%）。处理后</w:t>
            </w:r>
            <w:r>
              <w:rPr>
                <w:rFonts w:hint="eastAsia"/>
                <w:sz w:val="24"/>
              </w:rPr>
              <w:t>甲苯及二甲苯、TVOC污染物</w:t>
            </w:r>
            <w:r>
              <w:rPr>
                <w:sz w:val="24"/>
              </w:rPr>
              <w:t>排放执行</w:t>
            </w:r>
            <w:r>
              <w:rPr>
                <w:rFonts w:hint="eastAsia"/>
                <w:sz w:val="24"/>
              </w:rPr>
              <w:t>江西省地方标准</w:t>
            </w:r>
            <w:r>
              <w:rPr>
                <w:sz w:val="24"/>
              </w:rPr>
              <w:t>《</w:t>
            </w:r>
            <w:r>
              <w:rPr>
                <w:rFonts w:hint="eastAsia"/>
                <w:sz w:val="24"/>
              </w:rPr>
              <w:t>挥发性有机物排放标准第6部分：家具制造业</w:t>
            </w:r>
            <w:r>
              <w:rPr>
                <w:sz w:val="24"/>
              </w:rPr>
              <w:t>》（</w:t>
            </w:r>
            <w:r>
              <w:rPr>
                <w:rFonts w:hint="eastAsia"/>
                <w:sz w:val="24"/>
              </w:rPr>
              <w:t>DB36/1101.6-2019</w:t>
            </w:r>
            <w:r>
              <w:rPr>
                <w:sz w:val="24"/>
              </w:rPr>
              <w:t>）表</w:t>
            </w:r>
            <w:r>
              <w:rPr>
                <w:rFonts w:hint="eastAsia"/>
                <w:sz w:val="24"/>
              </w:rPr>
              <w:t>1</w:t>
            </w:r>
            <w:r>
              <w:rPr>
                <w:rFonts w:hint="eastAsia"/>
                <w:sz w:val="24"/>
                <w:lang w:eastAsia="zh-CN"/>
              </w:rPr>
              <w:t>、</w:t>
            </w:r>
            <w:r>
              <w:rPr>
                <w:rFonts w:hint="eastAsia"/>
                <w:sz w:val="24"/>
              </w:rPr>
              <w:t>表</w:t>
            </w:r>
            <w:r>
              <w:rPr>
                <w:sz w:val="24"/>
              </w:rPr>
              <w:t>2中标准，对环境影响较小。</w:t>
            </w:r>
          </w:p>
          <w:p>
            <w:pPr>
              <w:adjustRightInd w:val="0"/>
              <w:snapToGrid w:val="0"/>
              <w:spacing w:line="360" w:lineRule="auto"/>
              <w:ind w:firstLine="480" w:firstLineChars="200"/>
              <w:rPr>
                <w:sz w:val="24"/>
              </w:rPr>
            </w:pPr>
            <w:r>
              <w:rPr>
                <w:rFonts w:hint="eastAsia"/>
                <w:sz w:val="24"/>
              </w:rPr>
              <w:t>砂光粉尘</w:t>
            </w:r>
            <w:r>
              <w:rPr>
                <w:sz w:val="24"/>
              </w:rPr>
              <w:t>经中央集尘处理，</w:t>
            </w:r>
            <w:r>
              <w:rPr>
                <w:rFonts w:hint="eastAsia"/>
                <w:sz w:val="24"/>
              </w:rPr>
              <w:t>粉尘</w:t>
            </w:r>
            <w:r>
              <w:rPr>
                <w:sz w:val="24"/>
              </w:rPr>
              <w:t>处理效率为</w:t>
            </w:r>
            <w:r>
              <w:rPr>
                <w:rFonts w:hint="eastAsia"/>
                <w:sz w:val="24"/>
              </w:rPr>
              <w:t>98.4</w:t>
            </w:r>
            <w:r>
              <w:rPr>
                <w:sz w:val="24"/>
              </w:rPr>
              <w:t>%，最后经</w:t>
            </w:r>
            <w:r>
              <w:rPr>
                <w:rFonts w:hint="eastAsia"/>
                <w:sz w:val="24"/>
              </w:rPr>
              <w:t>15</w:t>
            </w:r>
            <w:r>
              <w:rPr>
                <w:sz w:val="24"/>
              </w:rPr>
              <w:t>m高排气筒排放，经处理后</w:t>
            </w:r>
            <w:r>
              <w:rPr>
                <w:rFonts w:hint="eastAsia"/>
                <w:sz w:val="24"/>
              </w:rPr>
              <w:t>粉尘</w:t>
            </w:r>
            <w:r>
              <w:rPr>
                <w:sz w:val="24"/>
              </w:rPr>
              <w:t>排放浓度均能满足</w:t>
            </w:r>
            <w:r>
              <w:rPr>
                <w:rFonts w:hint="eastAsia"/>
                <w:sz w:val="24"/>
              </w:rPr>
              <w:t>《大气污染物综合排放标准》（GB16297-1996）表2中二级标准要求</w:t>
            </w:r>
            <w:r>
              <w:rPr>
                <w:sz w:val="24"/>
              </w:rPr>
              <w:t>，对环境影响较小。</w:t>
            </w:r>
          </w:p>
          <w:p>
            <w:pPr>
              <w:spacing w:line="360" w:lineRule="auto"/>
              <w:ind w:firstLine="480" w:firstLineChars="200"/>
              <w:rPr>
                <w:color w:val="000000" w:themeColor="text1"/>
                <w:sz w:val="24"/>
                <w14:textFill>
                  <w14:solidFill>
                    <w14:schemeClr w14:val="tx1"/>
                  </w14:solidFill>
                </w14:textFill>
              </w:rPr>
            </w:pPr>
            <w:r>
              <w:rPr>
                <w:rFonts w:hint="default" w:ascii="Times New Roman" w:hAnsi="Times New Roman" w:cs="Times New Roman"/>
                <w:b w:val="0"/>
                <w:bCs/>
                <w:sz w:val="24"/>
                <w:u w:val="none"/>
              </w:rPr>
              <w:t>①</w:t>
            </w:r>
            <w:r>
              <w:rPr>
                <w:rFonts w:hint="eastAsia"/>
                <w:b w:val="0"/>
                <w:bCs/>
                <w:sz w:val="24"/>
                <w:u w:val="none"/>
              </w:rPr>
              <w:t>中央集尘</w:t>
            </w:r>
            <w:r>
              <w:rPr>
                <w:b w:val="0"/>
                <w:bCs/>
                <w:sz w:val="24"/>
                <w:u w:val="none"/>
              </w:rPr>
              <w:t>原理：</w:t>
            </w:r>
            <w:r>
              <w:rPr>
                <w:sz w:val="24"/>
              </w:rPr>
              <w:t>含尘废气经布袋除尘器入口进入各室灰斗，粗颗粒在重力作用下直接沉降至灰斗内，其余含尘气体经导流板上升至中箱体，均匀分布于各滤袋，此时粉尘被阻留在滤袋外表面。被过滤后的洁净气体经布袋花板进入上箱体，由排风道排出。当滤袋外表面粉尘增厚到一定程度时，脉冲控制装置发出信号，关闭第一室进风口阀门，喷吹装置开始工作。压缩空气在极短时间内顺序通过脉冲阀及喷吹管上的喷口向滤袋喷射，使滤袋振动，灰尘脱离滤袋落入灰斗。当第一室清灰完毕后，打开第一室进风口阀门并关闭第二室进风口阀门，第一室重新参加过滤工作，第二室开始进行离线清灰，由此逐室进行，从而使脉冲布袋除尘器可以不间断运行。清灰控制</w:t>
            </w:r>
            <w:r>
              <w:rPr>
                <w:color w:val="000000" w:themeColor="text1"/>
                <w:sz w:val="24"/>
                <w14:textFill>
                  <w14:solidFill>
                    <w14:schemeClr w14:val="tx1"/>
                  </w14:solidFill>
                </w14:textFill>
              </w:rPr>
              <w:t>采用PLC可编程控制器控制，控制方式分为自动定时和手动控制两种形式。布袋除尘器除尘效率高，不产生二次水污染问题，设备运行稳定、可靠。布袋除尘在国内应用较广泛，技术成熟，可满足本项目要求，实现达标排放。参考《家具制造工业污染防治可行技术指南》（HJ1180-2021）、《排污许可证申请与核发技术规范  家具制造工业》（HJ1027-2019），本项目粉尘采取袋式除尘处理设施属于有效、可行的污染防治设施。</w:t>
            </w:r>
          </w:p>
          <w:p>
            <w:pPr>
              <w:pStyle w:val="48"/>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②水帘机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水</w:t>
            </w:r>
            <w:r>
              <w:rPr>
                <w:rFonts w:hint="eastAsia"/>
                <w:color w:val="000000" w:themeColor="text1"/>
                <w:sz w:val="24"/>
                <w14:textFill>
                  <w14:solidFill>
                    <w14:schemeClr w14:val="tx1"/>
                  </w14:solidFill>
                </w14:textFill>
              </w:rPr>
              <w:t>帘</w:t>
            </w:r>
            <w:r>
              <w:rPr>
                <w:color w:val="000000" w:themeColor="text1"/>
                <w:sz w:val="24"/>
                <w14:textFill>
                  <w14:solidFill>
                    <w14:schemeClr w14:val="tx1"/>
                  </w14:solidFill>
                </w14:textFill>
              </w:rPr>
              <w:t>除尘工作原理：水</w:t>
            </w:r>
            <w:r>
              <w:rPr>
                <w:rFonts w:hint="eastAsia"/>
                <w:color w:val="000000" w:themeColor="text1"/>
                <w:sz w:val="24"/>
                <w14:textFill>
                  <w14:solidFill>
                    <w14:schemeClr w14:val="tx1"/>
                  </w14:solidFill>
                </w14:textFill>
              </w:rPr>
              <w:t>帘</w:t>
            </w:r>
            <w:r>
              <w:rPr>
                <w:color w:val="000000" w:themeColor="text1"/>
                <w:sz w:val="24"/>
                <w14:textFill>
                  <w14:solidFill>
                    <w14:schemeClr w14:val="tx1"/>
                  </w14:solidFill>
                </w14:textFill>
              </w:rPr>
              <w:t>除尘器是一种使含尘气体在水中进行充分水浴作用的湿式除尘器。其特点是结构简单、造价较低。主要由水箱（水池）、进气管、排气管、喷头和脱水装置组成。其工作原理是当具有一定速度的含尘气体经进气管在喷头处以较高速度喷出，对水层产生冲击作用后进入水中，改变了气体的运动方向，而尘粒由于惯性力作用则继续按原来方向运动，其中大部分尘粒与水黏附后留在水中。在冲击水浴作用后，有一部分尘粒仍随气体运动并与大量的冲击水滴和泡沫混合在一起，池内形成一抛物线形的水滴和泡沫区域，含尘气体在此区域内进一步净化。在这一过程中，含尘气体中的尘粒被水所捕集，净化气体中含尘的水滴经脱水装置与气流分离，干净的气体由排气管排走。参考《家具制造工业污染防治可行技术指南》（HJ1180-2021）、《排污许可证申请与核发技术规范  家具制造工业》（HJ1027-2019），本项目</w:t>
            </w:r>
            <w:r>
              <w:rPr>
                <w:rFonts w:hint="eastAsia"/>
                <w:color w:val="000000" w:themeColor="text1"/>
                <w:sz w:val="24"/>
                <w14:textFill>
                  <w14:solidFill>
                    <w14:schemeClr w14:val="tx1"/>
                  </w14:solidFill>
                </w14:textFill>
              </w:rPr>
              <w:t>漆雾</w:t>
            </w:r>
            <w:r>
              <w:rPr>
                <w:color w:val="000000" w:themeColor="text1"/>
                <w:sz w:val="24"/>
                <w14:textFill>
                  <w14:solidFill>
                    <w14:schemeClr w14:val="tx1"/>
                  </w14:solidFill>
                </w14:textFill>
              </w:rPr>
              <w:t>采取</w:t>
            </w:r>
            <w:r>
              <w:rPr>
                <w:rFonts w:hint="eastAsia"/>
                <w:color w:val="000000" w:themeColor="text1"/>
                <w:sz w:val="24"/>
                <w14:textFill>
                  <w14:solidFill>
                    <w14:schemeClr w14:val="tx1"/>
                  </w14:solidFill>
                </w14:textFill>
              </w:rPr>
              <w:t>水帘机</w:t>
            </w:r>
            <w:r>
              <w:rPr>
                <w:color w:val="000000" w:themeColor="text1"/>
                <w:sz w:val="24"/>
                <w14:textFill>
                  <w14:solidFill>
                    <w14:schemeClr w14:val="tx1"/>
                  </w14:solidFill>
                </w14:textFill>
              </w:rPr>
              <w:t>除尘处理设施属于有效、可行的污染防治设施。</w:t>
            </w:r>
          </w:p>
          <w:p>
            <w:pPr>
              <w:pStyle w:val="3"/>
              <w:ind w:firstLine="480" w:firstLineChars="200"/>
              <w:jc w:val="left"/>
              <w:rPr>
                <w:sz w:val="24"/>
              </w:rPr>
            </w:pPr>
            <w:r>
              <w:rPr>
                <w:rFonts w:hint="eastAsia"/>
                <w:sz w:val="24"/>
              </w:rPr>
              <w:t>③活性炭吸附原理：</w:t>
            </w:r>
          </w:p>
          <w:p>
            <w:pPr>
              <w:pStyle w:val="40"/>
              <w:spacing w:before="0" w:after="0" w:line="360" w:lineRule="auto"/>
              <w:jc w:val="center"/>
            </w:pPr>
            <w:r>
              <w:fldChar w:fldCharType="begin"/>
            </w:r>
            <w:r>
              <w:instrText xml:space="preserve">INCLUDEPICTURE \d "http://www.51greenbuy.com/ueditor/php/upload/image/20161101/1477982294979840.jpg" \* MERGEFORMATINET </w:instrText>
            </w:r>
            <w:r>
              <w:fldChar w:fldCharType="separate"/>
            </w:r>
            <w:r>
              <w:drawing>
                <wp:inline distT="0" distB="0" distL="114300" distR="114300">
                  <wp:extent cx="4514850" cy="2095500"/>
                  <wp:effectExtent l="0" t="0" r="0" b="0"/>
                  <wp:docPr id="1"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descr="IMG_256"/>
                          <pic:cNvPicPr>
                            <a:picLocks noChangeAspect="1"/>
                          </pic:cNvPicPr>
                        </pic:nvPicPr>
                        <pic:blipFill>
                          <a:blip r:embed="rId20"/>
                          <a:stretch>
                            <a:fillRect/>
                          </a:stretch>
                        </pic:blipFill>
                        <pic:spPr>
                          <a:xfrm>
                            <a:off x="0" y="0"/>
                            <a:ext cx="4514850" cy="2095500"/>
                          </a:xfrm>
                          <a:prstGeom prst="rect">
                            <a:avLst/>
                          </a:prstGeom>
                          <a:noFill/>
                          <a:ln>
                            <a:noFill/>
                          </a:ln>
                        </pic:spPr>
                      </pic:pic>
                    </a:graphicData>
                  </a:graphic>
                </wp:inline>
              </w:drawing>
            </w:r>
            <w:r>
              <w:fldChar w:fldCharType="end"/>
            </w:r>
          </w:p>
          <w:p>
            <w:pPr>
              <w:pStyle w:val="3"/>
              <w:jc w:val="center"/>
              <w:rPr>
                <w:sz w:val="24"/>
                <w:lang w:val="zh-CN"/>
              </w:rPr>
            </w:pPr>
            <w:r>
              <w:rPr>
                <w:sz w:val="24"/>
                <w:lang w:val="zh-CN"/>
              </w:rPr>
              <w:t>图4-</w:t>
            </w:r>
            <w:r>
              <w:rPr>
                <w:rFonts w:hint="eastAsia"/>
                <w:sz w:val="24"/>
              </w:rPr>
              <w:t>3</w:t>
            </w:r>
            <w:r>
              <w:rPr>
                <w:sz w:val="24"/>
                <w:lang w:val="zh-CN"/>
              </w:rPr>
              <w:t xml:space="preserve">  活性炭吸附原理示意图</w:t>
            </w:r>
          </w:p>
          <w:p>
            <w:pPr>
              <w:spacing w:line="360" w:lineRule="auto"/>
              <w:ind w:firstLine="480" w:firstLineChars="200"/>
              <w:rPr>
                <w:color w:val="000000" w:themeColor="text1"/>
                <w:sz w:val="24"/>
                <w14:textFill>
                  <w14:solidFill>
                    <w14:schemeClr w14:val="tx1"/>
                  </w14:solidFill>
                </w14:textFill>
              </w:rPr>
            </w:pPr>
            <w:r>
              <w:rPr>
                <w:sz w:val="24"/>
              </w:rPr>
              <w:t>蜂窝活性炭表面上存在着未平衡和未饱和的分子引力或化学键力，因此表面与气体接触时，就能吸引气体分子，使其浓聚并保持在固</w:t>
            </w:r>
            <w:r>
              <w:rPr>
                <w:rFonts w:hint="eastAsia"/>
                <w:sz w:val="24"/>
              </w:rPr>
              <w:t>体表面，使废气与大表面的多孔性固体物质相接触，废气中的污染物被吸附在固体表面上，使其与气体混合物分离，达到净化目的。更适用于大风量低浓度的有机废气治理，它能有效地净化环境、消除污染、改善劳动操作条件，对苯、醇、酮、酯、汽油类等有机溶剂的废气吸附</w:t>
            </w:r>
            <w:r>
              <w:rPr>
                <w:rFonts w:hint="eastAsia"/>
                <w:color w:val="000000" w:themeColor="text1"/>
                <w:sz w:val="24"/>
                <w14:textFill>
                  <w14:solidFill>
                    <w14:schemeClr w14:val="tx1"/>
                  </w14:solidFill>
                </w14:textFill>
              </w:rPr>
              <w:t>，确保工人身体健康，并能回收再生利用。</w:t>
            </w:r>
            <w:r>
              <w:rPr>
                <w:color w:val="000000" w:themeColor="text1"/>
                <w:sz w:val="24"/>
                <w14:textFill>
                  <w14:solidFill>
                    <w14:schemeClr w14:val="tx1"/>
                  </w14:solidFill>
                </w14:textFill>
              </w:rPr>
              <w:t>参考《家具制造工业污染防治可行技术指南》（HJ1180-2021）、《排污许可证申请与核发技术规范  家具制造工业》（HJ1027-2019），本项目</w:t>
            </w:r>
            <w:r>
              <w:rPr>
                <w:rFonts w:hint="eastAsia"/>
                <w:color w:val="000000" w:themeColor="text1"/>
                <w:sz w:val="24"/>
                <w14:textFill>
                  <w14:solidFill>
                    <w14:schemeClr w14:val="tx1"/>
                  </w14:solidFill>
                </w14:textFill>
              </w:rPr>
              <w:t>喷漆房</w:t>
            </w:r>
            <w:r>
              <w:rPr>
                <w:color w:val="000000" w:themeColor="text1"/>
                <w:sz w:val="24"/>
                <w14:textFill>
                  <w14:solidFill>
                    <w14:schemeClr w14:val="tx1"/>
                  </w14:solidFill>
                </w14:textFill>
              </w:rPr>
              <w:t>产生的</w:t>
            </w:r>
            <w:r>
              <w:rPr>
                <w:rFonts w:hint="eastAsia"/>
                <w:color w:val="000000" w:themeColor="text1"/>
                <w:sz w:val="24"/>
                <w14:textFill>
                  <w14:solidFill>
                    <w14:schemeClr w14:val="tx1"/>
                  </w14:solidFill>
                </w14:textFill>
              </w:rPr>
              <w:t>TVOC</w:t>
            </w:r>
            <w:r>
              <w:rPr>
                <w:color w:val="000000" w:themeColor="text1"/>
                <w:sz w:val="24"/>
                <w14:textFill>
                  <w14:solidFill>
                    <w14:schemeClr w14:val="tx1"/>
                  </w14:solidFill>
                </w14:textFill>
              </w:rPr>
              <w:t>采活性炭吸附处理设施属于有效、可行的污染防治设施。</w:t>
            </w:r>
          </w:p>
          <w:p>
            <w:pPr>
              <w:spacing w:line="360" w:lineRule="auto"/>
              <w:ind w:firstLine="482" w:firstLineChars="200"/>
              <w:rPr>
                <w:b/>
                <w:bCs/>
                <w:sz w:val="24"/>
              </w:rPr>
            </w:pPr>
            <w:r>
              <w:rPr>
                <w:rFonts w:hint="eastAsia"/>
                <w:b/>
                <w:bCs/>
                <w:sz w:val="24"/>
              </w:rPr>
              <w:fldChar w:fldCharType="begin"/>
            </w:r>
            <w:r>
              <w:rPr>
                <w:rFonts w:hint="eastAsia"/>
                <w:b/>
                <w:bCs/>
                <w:sz w:val="24"/>
              </w:rPr>
              <w:instrText xml:space="preserve"> = 4 \* GB2 \* MERGEFORMAT </w:instrText>
            </w:r>
            <w:r>
              <w:rPr>
                <w:rFonts w:hint="eastAsia"/>
                <w:b/>
                <w:bCs/>
                <w:sz w:val="24"/>
              </w:rPr>
              <w:fldChar w:fldCharType="separate"/>
            </w:r>
            <w:r>
              <w:rPr>
                <w:b/>
                <w:bCs/>
                <w:sz w:val="24"/>
              </w:rPr>
              <w:t>⑷</w:t>
            </w:r>
            <w:r>
              <w:rPr>
                <w:rFonts w:hint="eastAsia"/>
                <w:b/>
                <w:bCs/>
                <w:sz w:val="24"/>
              </w:rPr>
              <w:fldChar w:fldCharType="end"/>
            </w:r>
            <w:r>
              <w:rPr>
                <w:b/>
                <w:bCs/>
                <w:sz w:val="24"/>
              </w:rPr>
              <w:t>大气污染影响分析</w:t>
            </w:r>
          </w:p>
          <w:p>
            <w:pPr>
              <w:adjustRightInd w:val="0"/>
              <w:snapToGrid w:val="0"/>
              <w:spacing w:line="360" w:lineRule="auto"/>
              <w:ind w:firstLine="480" w:firstLineChars="200"/>
              <w:rPr>
                <w:sz w:val="24"/>
              </w:rPr>
            </w:pPr>
            <w:r>
              <w:rPr>
                <w:sz w:val="24"/>
              </w:rPr>
              <w:t>本项目所在区域的常规因子SO</w:t>
            </w:r>
            <w:r>
              <w:rPr>
                <w:sz w:val="24"/>
                <w:vertAlign w:val="subscript"/>
              </w:rPr>
              <w:t>2</w:t>
            </w:r>
            <w:r>
              <w:rPr>
                <w:sz w:val="24"/>
              </w:rPr>
              <w:t>、NO</w:t>
            </w:r>
            <w:r>
              <w:rPr>
                <w:sz w:val="24"/>
                <w:vertAlign w:val="subscript"/>
              </w:rPr>
              <w:t>2</w:t>
            </w:r>
            <w:r>
              <w:rPr>
                <w:sz w:val="24"/>
              </w:rPr>
              <w:t>、PM</w:t>
            </w:r>
            <w:r>
              <w:rPr>
                <w:sz w:val="24"/>
                <w:vertAlign w:val="subscript"/>
              </w:rPr>
              <w:t>2.5</w:t>
            </w:r>
            <w:r>
              <w:rPr>
                <w:sz w:val="24"/>
              </w:rPr>
              <w:t>、CO、PM</w:t>
            </w:r>
            <w:r>
              <w:rPr>
                <w:sz w:val="24"/>
                <w:vertAlign w:val="subscript"/>
              </w:rPr>
              <w:t>10</w:t>
            </w:r>
            <w:r>
              <w:rPr>
                <w:sz w:val="24"/>
              </w:rPr>
              <w:t>、O</w:t>
            </w:r>
            <w:r>
              <w:rPr>
                <w:sz w:val="24"/>
                <w:vertAlign w:val="subscript"/>
              </w:rPr>
              <w:t>3</w:t>
            </w:r>
            <w:r>
              <w:rPr>
                <w:sz w:val="24"/>
              </w:rPr>
              <w:t>均能满足环境空气质量功能区要求，</w:t>
            </w:r>
            <w:r>
              <w:rPr>
                <w:rFonts w:hint="eastAsia"/>
                <w:sz w:val="24"/>
              </w:rPr>
              <w:t>余干</w:t>
            </w:r>
            <w:r>
              <w:rPr>
                <w:sz w:val="24"/>
              </w:rPr>
              <w:t>县202</w:t>
            </w:r>
            <w:r>
              <w:rPr>
                <w:rFonts w:hint="eastAsia"/>
                <w:sz w:val="24"/>
              </w:rPr>
              <w:t>2</w:t>
            </w:r>
            <w:r>
              <w:rPr>
                <w:sz w:val="24"/>
              </w:rPr>
              <w:t>年城市环境空气质量达标。本项目废气</w:t>
            </w:r>
            <w:r>
              <w:rPr>
                <w:rFonts w:hint="eastAsia"/>
                <w:sz w:val="24"/>
              </w:rPr>
              <w:t>经</w:t>
            </w:r>
            <w:r>
              <w:rPr>
                <w:sz w:val="24"/>
              </w:rPr>
              <w:t>收集处理后均能达到相关污染物排放限值要求，通过增强车间通风等措施后，未能完全收集的无组织排放废气得到充分扩散稀释</w:t>
            </w:r>
            <w:r>
              <w:rPr>
                <w:rFonts w:hint="eastAsia"/>
                <w:sz w:val="24"/>
              </w:rPr>
              <w:t>、削减</w:t>
            </w:r>
            <w:r>
              <w:rPr>
                <w:sz w:val="24"/>
              </w:rPr>
              <w:t>，厂界下风向处无组织排放浓度可符合企业边界标准，本项目最近敏感点为</w:t>
            </w:r>
            <w:r>
              <w:rPr>
                <w:rFonts w:hint="eastAsia"/>
                <w:sz w:val="24"/>
              </w:rPr>
              <w:t>东南侧57m 处居民房（临马路居民房），距离生产车间109m，</w:t>
            </w:r>
            <w:r>
              <w:rPr>
                <w:sz w:val="24"/>
              </w:rPr>
              <w:t>距离厂界较远，项目污染物排放较小，对周围大气环境及附近敏感点影响甚微。采取上述措施后，本项目废气排放不会对周围大气环境产生不利影响，周边环境空气质量可维持现状。</w:t>
            </w:r>
          </w:p>
          <w:p>
            <w:pPr>
              <w:tabs>
                <w:tab w:val="center" w:pos="4407"/>
              </w:tabs>
              <w:spacing w:line="360" w:lineRule="auto"/>
              <w:ind w:firstLine="482" w:firstLineChars="200"/>
              <w:rPr>
                <w:b/>
                <w:bCs/>
                <w:sz w:val="24"/>
              </w:rPr>
            </w:pPr>
            <w:r>
              <w:rPr>
                <w:b/>
                <w:bCs/>
                <w:kern w:val="0"/>
                <w:sz w:val="24"/>
              </w:rPr>
              <w:t>(</w:t>
            </w:r>
            <w:r>
              <w:rPr>
                <w:rFonts w:hint="eastAsia"/>
                <w:b/>
                <w:bCs/>
                <w:kern w:val="0"/>
                <w:sz w:val="24"/>
              </w:rPr>
              <w:t>5</w:t>
            </w:r>
            <w:r>
              <w:rPr>
                <w:b/>
                <w:bCs/>
                <w:kern w:val="0"/>
                <w:sz w:val="24"/>
              </w:rPr>
              <w:t>)</w:t>
            </w:r>
            <w:r>
              <w:rPr>
                <w:rFonts w:hint="eastAsia"/>
                <w:b/>
                <w:bCs/>
                <w:sz w:val="24"/>
              </w:rPr>
              <w:t>监测计划</w:t>
            </w:r>
          </w:p>
          <w:p>
            <w:pPr>
              <w:pStyle w:val="40"/>
              <w:spacing w:before="0" w:after="0" w:line="360" w:lineRule="auto"/>
              <w:ind w:firstLine="480" w:firstLineChars="200"/>
              <w:rPr>
                <w:rFonts w:ascii="Times New Roman" w:cs="Times New Roman"/>
                <w:kern w:val="2"/>
              </w:rPr>
            </w:pPr>
            <w:r>
              <w:rPr>
                <w:rFonts w:ascii="Times New Roman" w:cs="Times New Roman"/>
                <w:kern w:val="2"/>
              </w:rPr>
              <w:t>根据《重点排污单位名录管理规定(试行)》(环办监测</w:t>
            </w:r>
            <w:r>
              <w:rPr>
                <w:rFonts w:hint="eastAsia" w:hAnsi="宋体" w:cs="Times New Roman"/>
                <w:kern w:val="2"/>
              </w:rPr>
              <w:t>〔</w:t>
            </w:r>
            <w:r>
              <w:rPr>
                <w:rFonts w:ascii="Times New Roman" w:cs="Times New Roman"/>
                <w:kern w:val="2"/>
              </w:rPr>
              <w:t>2017</w:t>
            </w:r>
            <w:r>
              <w:rPr>
                <w:rFonts w:hint="eastAsia" w:hAnsi="宋体" w:cs="Times New Roman"/>
                <w:kern w:val="2"/>
              </w:rPr>
              <w:t>〕</w:t>
            </w:r>
            <w:r>
              <w:rPr>
                <w:rFonts w:ascii="Times New Roman" w:cs="Times New Roman"/>
                <w:kern w:val="2"/>
              </w:rPr>
              <w:t>86号)，本项目不属于重点排污单位，根据《固定污染源排污许可分类管理名录（2019版）》中的“34.木质制品制造203”“涉及通用工序重点管理的做重点管理，涉及通用工序简化管理的做简化管理，”本项目使用有机溶剂低于10吨，应做登记管理，因此排污单位可不进行自行监测。</w:t>
            </w:r>
          </w:p>
          <w:p>
            <w:pPr>
              <w:spacing w:line="360" w:lineRule="auto"/>
              <w:ind w:firstLine="482" w:firstLineChars="200"/>
              <w:rPr>
                <w:b/>
                <w:bCs/>
                <w:sz w:val="24"/>
              </w:rPr>
            </w:pPr>
            <w:r>
              <w:rPr>
                <w:rFonts w:hAnsi="宋体"/>
                <w:b/>
                <w:bCs/>
                <w:sz w:val="24"/>
              </w:rPr>
              <w:fldChar w:fldCharType="begin"/>
            </w:r>
            <w:r>
              <w:rPr>
                <w:rFonts w:hAnsi="宋体"/>
                <w:b/>
                <w:bCs/>
                <w:sz w:val="24"/>
              </w:rPr>
              <w:instrText xml:space="preserve"> = 6 \* GB2 \* MERGEFORMAT </w:instrText>
            </w:r>
            <w:r>
              <w:rPr>
                <w:rFonts w:hAnsi="宋体"/>
                <w:b/>
                <w:bCs/>
                <w:sz w:val="24"/>
              </w:rPr>
              <w:fldChar w:fldCharType="separate"/>
            </w:r>
            <w:r>
              <w:rPr>
                <w:b/>
                <w:bCs/>
                <w:sz w:val="24"/>
              </w:rPr>
              <w:t>⑹</w:t>
            </w:r>
            <w:r>
              <w:rPr>
                <w:rFonts w:hAnsi="宋体"/>
                <w:b/>
                <w:bCs/>
                <w:sz w:val="24"/>
              </w:rPr>
              <w:fldChar w:fldCharType="end"/>
            </w:r>
            <w:r>
              <w:rPr>
                <w:rFonts w:hAnsi="宋体"/>
                <w:b/>
                <w:bCs/>
                <w:sz w:val="24"/>
              </w:rPr>
              <w:t>卫生防护距离</w:t>
            </w:r>
          </w:p>
          <w:p>
            <w:pPr>
              <w:spacing w:line="360" w:lineRule="auto"/>
              <w:ind w:firstLine="480" w:firstLineChars="200"/>
              <w:rPr>
                <w:color w:val="000000"/>
                <w:sz w:val="24"/>
              </w:rPr>
            </w:pPr>
            <w:r>
              <w:rPr>
                <w:rFonts w:hint="eastAsia"/>
                <w:color w:val="000000"/>
                <w:sz w:val="24"/>
              </w:rPr>
              <w:t>根据《大气有害物质无组织排放卫生防护距离推导技术导则》（GB/T 39499-2020）规定，无组织排放有害物质的生产单元（生产区、车间、工段）与居民区之间应设置卫生防护距离，计算公式如下：</w:t>
            </w:r>
          </w:p>
          <w:p>
            <w:pPr>
              <w:spacing w:line="360" w:lineRule="auto"/>
              <w:ind w:firstLine="480" w:firstLineChars="200"/>
              <w:rPr>
                <w:color w:val="000000"/>
                <w:sz w:val="24"/>
              </w:rPr>
            </w:pPr>
            <w:r>
              <w:rPr>
                <w:rFonts w:hint="eastAsia"/>
                <w:color w:val="000000"/>
                <w:sz w:val="24"/>
              </w:rPr>
              <w:t>确定项目车间的卫生防护距离的计算公式为：</w:t>
            </w:r>
          </w:p>
          <w:p>
            <w:pPr>
              <w:jc w:val="center"/>
              <w:rPr>
                <w:color w:val="000000"/>
                <w:sz w:val="24"/>
              </w:rPr>
            </w:pPr>
            <w:r>
              <w:rPr>
                <w:color w:val="000000"/>
                <w:sz w:val="24"/>
              </w:rPr>
              <w:drawing>
                <wp:inline distT="0" distB="0" distL="114300" distR="114300">
                  <wp:extent cx="278130" cy="387985"/>
                  <wp:effectExtent l="0" t="0" r="0" b="12700"/>
                  <wp:docPr id="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pic:cNvPicPr>
                            <a:picLocks noChangeAspect="1"/>
                          </pic:cNvPicPr>
                        </pic:nvPicPr>
                        <pic:blipFill>
                          <a:blip r:embed="rId21"/>
                          <a:stretch>
                            <a:fillRect/>
                          </a:stretch>
                        </pic:blipFill>
                        <pic:spPr>
                          <a:xfrm>
                            <a:off x="0" y="0"/>
                            <a:ext cx="278130" cy="387985"/>
                          </a:xfrm>
                          <a:prstGeom prst="rect">
                            <a:avLst/>
                          </a:prstGeom>
                          <a:noFill/>
                          <a:ln>
                            <a:noFill/>
                          </a:ln>
                        </pic:spPr>
                      </pic:pic>
                    </a:graphicData>
                  </a:graphic>
                </wp:inline>
              </w:drawing>
            </w:r>
            <w:r>
              <w:rPr>
                <w:color w:val="000000"/>
                <w:sz w:val="24"/>
              </w:rPr>
              <w:t>＝</w:t>
            </w:r>
            <w:r>
              <w:rPr>
                <w:color w:val="000000"/>
                <w:sz w:val="24"/>
              </w:rPr>
              <w:drawing>
                <wp:inline distT="0" distB="0" distL="114300" distR="114300">
                  <wp:extent cx="1382395" cy="387985"/>
                  <wp:effectExtent l="0" t="0" r="0" b="12700"/>
                  <wp:docPr id="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0"/>
                          <pic:cNvPicPr>
                            <a:picLocks noChangeAspect="1"/>
                          </pic:cNvPicPr>
                        </pic:nvPicPr>
                        <pic:blipFill>
                          <a:blip r:embed="rId22"/>
                          <a:stretch>
                            <a:fillRect/>
                          </a:stretch>
                        </pic:blipFill>
                        <pic:spPr>
                          <a:xfrm>
                            <a:off x="0" y="0"/>
                            <a:ext cx="1382395" cy="387985"/>
                          </a:xfrm>
                          <a:prstGeom prst="rect">
                            <a:avLst/>
                          </a:prstGeom>
                          <a:noFill/>
                          <a:ln>
                            <a:noFill/>
                          </a:ln>
                        </pic:spPr>
                      </pic:pic>
                    </a:graphicData>
                  </a:graphic>
                </wp:inline>
              </w:drawing>
            </w:r>
          </w:p>
          <w:p>
            <w:pPr>
              <w:spacing w:line="360" w:lineRule="auto"/>
              <w:ind w:firstLine="480"/>
              <w:rPr>
                <w:color w:val="000000"/>
                <w:sz w:val="24"/>
              </w:rPr>
            </w:pPr>
            <w:r>
              <w:rPr>
                <w:color w:val="000000"/>
                <w:sz w:val="24"/>
              </w:rPr>
              <w:t>其中：A、B、C、D—卫生防护距离计算系数；</w:t>
            </w:r>
          </w:p>
          <w:p>
            <w:pPr>
              <w:spacing w:line="360" w:lineRule="auto"/>
              <w:ind w:firstLine="482"/>
              <w:rPr>
                <w:color w:val="000000"/>
                <w:sz w:val="24"/>
              </w:rPr>
            </w:pPr>
            <w:r>
              <w:rPr>
                <w:color w:val="000000"/>
                <w:sz w:val="24"/>
              </w:rPr>
              <w:t xml:space="preserve">      Cm—大气有害物质环境空气质量的标准限值，mg/m</w:t>
            </w:r>
            <w:r>
              <w:rPr>
                <w:color w:val="000000"/>
                <w:sz w:val="24"/>
                <w:vertAlign w:val="superscript"/>
              </w:rPr>
              <w:t>3</w:t>
            </w:r>
            <w:r>
              <w:rPr>
                <w:color w:val="000000"/>
                <w:sz w:val="24"/>
              </w:rPr>
              <w:t xml:space="preserve">； </w:t>
            </w:r>
          </w:p>
          <w:p>
            <w:pPr>
              <w:spacing w:line="360" w:lineRule="auto"/>
              <w:ind w:firstLine="960" w:firstLineChars="400"/>
              <w:rPr>
                <w:color w:val="000000"/>
                <w:sz w:val="24"/>
              </w:rPr>
            </w:pPr>
            <w:r>
              <w:rPr>
                <w:color w:val="000000"/>
                <w:sz w:val="24"/>
              </w:rPr>
              <w:t xml:space="preserve">  L—大气有害物质卫生防护距离初值，m。</w:t>
            </w:r>
          </w:p>
          <w:p>
            <w:pPr>
              <w:spacing w:line="360" w:lineRule="auto"/>
              <w:ind w:firstLine="1200" w:firstLineChars="500"/>
              <w:rPr>
                <w:color w:val="000000"/>
                <w:sz w:val="24"/>
              </w:rPr>
            </w:pPr>
            <w:r>
              <w:rPr>
                <w:color w:val="000000"/>
                <w:sz w:val="24"/>
              </w:rPr>
              <w:t>Qc—大气有害物质的无组织排放量，kg/h；</w:t>
            </w:r>
          </w:p>
          <w:p>
            <w:pPr>
              <w:spacing w:line="360" w:lineRule="auto"/>
              <w:ind w:firstLine="1200" w:firstLineChars="500"/>
              <w:rPr>
                <w:rFonts w:hint="eastAsia" w:eastAsia="宋体"/>
                <w:color w:val="000000"/>
                <w:sz w:val="24"/>
                <w:lang w:eastAsia="zh-CN"/>
              </w:rPr>
            </w:pPr>
            <w:r>
              <w:rPr>
                <w:color w:val="000000"/>
                <w:sz w:val="24"/>
              </w:rPr>
              <w:t>r—大气有害物质无组织排放源所在生产单元的等效半径，m</w:t>
            </w:r>
            <w:r>
              <w:rPr>
                <w:rFonts w:hint="eastAsia"/>
                <w:color w:val="000000"/>
                <w:sz w:val="24"/>
                <w:lang w:eastAsia="zh-CN"/>
              </w:rPr>
              <w:t>。</w:t>
            </w:r>
          </w:p>
          <w:p>
            <w:pPr>
              <w:spacing w:line="360" w:lineRule="auto"/>
              <w:ind w:firstLine="420" w:firstLineChars="200"/>
              <w:rPr>
                <w:color w:val="000000"/>
                <w:sz w:val="24"/>
              </w:rPr>
            </w:pPr>
            <w:r>
              <w:rPr>
                <w:rFonts w:hint="eastAsia"/>
              </w:rPr>
              <w:t xml:space="preserve">  </w:t>
            </w:r>
            <w:r>
              <w:rPr>
                <w:rFonts w:hint="eastAsia"/>
                <w:color w:val="000000"/>
                <w:sz w:val="24"/>
              </w:rPr>
              <w:t>①生产车间</w:t>
            </w:r>
          </w:p>
          <w:p>
            <w:pPr>
              <w:spacing w:line="360" w:lineRule="auto"/>
              <w:ind w:firstLine="480" w:firstLineChars="200"/>
              <w:rPr>
                <w:color w:val="000000"/>
                <w:sz w:val="24"/>
              </w:rPr>
            </w:pPr>
            <w:r>
              <w:rPr>
                <w:rFonts w:hint="eastAsia"/>
                <w:color w:val="000000"/>
                <w:sz w:val="24"/>
              </w:rPr>
              <w:t>根据《大气</w:t>
            </w:r>
            <w:r>
              <w:rPr>
                <w:color w:val="000000"/>
                <w:sz w:val="24"/>
              </w:rPr>
              <w:t>有害物质无组织排放卫生防护距离推导技术导则》（GB/T 39499-2020）：当企业无组织排放存在多种有毒有害污染物时，基于单个污染物的等标排放量计算结果，优先选择等标排放量较大的污染物为企业无组织排放的主要特征大气有害物质。当前两种污染物的等标排放量相差在10%以内时，需同时选择这两种特征大气有害物质分别计算卫生防护距离初值。</w:t>
            </w:r>
          </w:p>
          <w:p>
            <w:pPr>
              <w:pStyle w:val="40"/>
              <w:spacing w:line="360" w:lineRule="auto"/>
              <w:ind w:firstLine="480" w:firstLineChars="200"/>
              <w:rPr>
                <w:rFonts w:ascii="Times New Roman" w:cs="Times New Roman"/>
              </w:rPr>
            </w:pPr>
            <w:r>
              <w:rPr>
                <w:rFonts w:ascii="Times New Roman" w:cs="Times New Roman"/>
              </w:rPr>
              <w:t>等标排放量公式如下：</w:t>
            </w:r>
          </w:p>
          <w:p>
            <w:pPr>
              <w:jc w:val="center"/>
              <w:rPr>
                <w:color w:val="000000"/>
                <w:sz w:val="24"/>
              </w:rPr>
            </w:pPr>
            <w:r>
              <w:rPr>
                <w:color w:val="000000"/>
                <w:sz w:val="24"/>
              </w:rPr>
              <w:t>Pi=Qi/Coi×10</w:t>
            </w:r>
            <w:r>
              <w:rPr>
                <w:rFonts w:hint="eastAsia"/>
                <w:color w:val="000000"/>
                <w:sz w:val="24"/>
                <w:vertAlign w:val="superscript"/>
              </w:rPr>
              <w:t>6</w:t>
            </w:r>
          </w:p>
          <w:p>
            <w:pPr>
              <w:pStyle w:val="40"/>
              <w:keepNext w:val="0"/>
              <w:keepLines w:val="0"/>
              <w:pageBreakBefore w:val="0"/>
              <w:widowControl w:val="0"/>
              <w:kinsoku/>
              <w:wordWrap/>
              <w:overflowPunct/>
              <w:topLinePunct w:val="0"/>
              <w:autoSpaceDE w:val="0"/>
              <w:autoSpaceDN w:val="0"/>
              <w:bidi w:val="0"/>
              <w:adjustRightInd w:val="0"/>
              <w:snapToGrid/>
              <w:spacing w:before="0" w:after="0" w:line="360" w:lineRule="auto"/>
              <w:ind w:left="0" w:leftChars="0" w:firstLine="278" w:firstLineChars="116"/>
              <w:textAlignment w:val="auto"/>
              <w:rPr>
                <w:rFonts w:ascii="Times New Roman" w:cs="Times New Roman"/>
              </w:rPr>
            </w:pPr>
            <w:r>
              <w:rPr>
                <w:rFonts w:ascii="Times New Roman" w:cs="Times New Roman"/>
              </w:rPr>
              <w:t>式中</w:t>
            </w:r>
            <w:r>
              <w:rPr>
                <w:rFonts w:hint="eastAsia" w:ascii="Times New Roman" w:cs="Times New Roman"/>
                <w:lang w:eastAsia="zh-CN"/>
              </w:rPr>
              <w:t>：</w:t>
            </w:r>
            <w:r>
              <w:rPr>
                <w:rFonts w:ascii="Times New Roman" w:cs="Times New Roman"/>
              </w:rPr>
              <w:t>Pi—评价等级判别参数，通常所谓的等标排放量，m</w:t>
            </w:r>
            <w:r>
              <w:rPr>
                <w:rFonts w:ascii="Times New Roman" w:cs="Times New Roman"/>
                <w:vertAlign w:val="superscript"/>
              </w:rPr>
              <w:t>3</w:t>
            </w:r>
            <w:r>
              <w:rPr>
                <w:rFonts w:ascii="Times New Roman" w:cs="Times New Roman"/>
              </w:rPr>
              <w:t>/h；</w:t>
            </w:r>
          </w:p>
          <w:p>
            <w:pPr>
              <w:pStyle w:val="40"/>
              <w:keepNext w:val="0"/>
              <w:keepLines w:val="0"/>
              <w:pageBreakBefore w:val="0"/>
              <w:widowControl w:val="0"/>
              <w:kinsoku/>
              <w:wordWrap/>
              <w:overflowPunct/>
              <w:topLinePunct w:val="0"/>
              <w:autoSpaceDE w:val="0"/>
              <w:autoSpaceDN w:val="0"/>
              <w:bidi w:val="0"/>
              <w:adjustRightInd w:val="0"/>
              <w:snapToGrid/>
              <w:spacing w:before="0" w:after="0" w:line="360" w:lineRule="auto"/>
              <w:ind w:left="0" w:leftChars="0" w:firstLine="480" w:firstLineChars="200"/>
              <w:textAlignment w:val="auto"/>
              <w:rPr>
                <w:rFonts w:ascii="Times New Roman" w:cs="Times New Roman"/>
              </w:rPr>
            </w:pPr>
            <w:r>
              <w:rPr>
                <w:rFonts w:ascii="Times New Roman" w:cs="Times New Roman"/>
              </w:rPr>
              <w:t>Qi—单位时间的排放量，t/h；</w:t>
            </w:r>
          </w:p>
          <w:p>
            <w:pPr>
              <w:pStyle w:val="40"/>
              <w:keepNext w:val="0"/>
              <w:keepLines w:val="0"/>
              <w:pageBreakBefore w:val="0"/>
              <w:widowControl w:val="0"/>
              <w:kinsoku/>
              <w:wordWrap/>
              <w:overflowPunct/>
              <w:topLinePunct w:val="0"/>
              <w:autoSpaceDE w:val="0"/>
              <w:autoSpaceDN w:val="0"/>
              <w:bidi w:val="0"/>
              <w:adjustRightInd w:val="0"/>
              <w:snapToGrid/>
              <w:spacing w:before="0" w:after="0" w:line="360" w:lineRule="auto"/>
              <w:ind w:left="0" w:leftChars="0" w:firstLine="480" w:firstLineChars="200"/>
              <w:textAlignment w:val="auto"/>
              <w:rPr>
                <w:rFonts w:ascii="Times New Roman" w:cs="Times New Roman"/>
              </w:rPr>
            </w:pPr>
            <w:r>
              <w:rPr>
                <w:rFonts w:ascii="Times New Roman" w:cs="Times New Roman"/>
              </w:rPr>
              <w:t>Coi—环境空气质量标准，mg/m</w:t>
            </w:r>
            <w:r>
              <w:rPr>
                <w:rFonts w:ascii="Times New Roman" w:cs="Times New Roman"/>
                <w:vertAlign w:val="superscript"/>
              </w:rPr>
              <w:t>3</w:t>
            </w:r>
            <w:r>
              <w:rPr>
                <w:rFonts w:ascii="Times New Roman" w:cs="Times New Roman"/>
              </w:rPr>
              <w:t>。</w:t>
            </w:r>
          </w:p>
          <w:p>
            <w:pPr>
              <w:pStyle w:val="81"/>
              <w:spacing w:before="120"/>
              <w:rPr>
                <w:rFonts w:eastAsia="黑体"/>
                <w:b w:val="0"/>
              </w:rPr>
            </w:pPr>
            <w:r>
              <w:rPr>
                <w:rFonts w:hint="eastAsia" w:eastAsia="黑体"/>
                <w:b w:val="0"/>
              </w:rPr>
              <w:t>表4-18  等标排放量</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51"/>
              <w:gridCol w:w="1510"/>
              <w:gridCol w:w="1351"/>
              <w:gridCol w:w="1550"/>
              <w:gridCol w:w="20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jc w:val="center"/>
                    <w:rPr>
                      <w:color w:val="000000"/>
                      <w:szCs w:val="21"/>
                    </w:rPr>
                  </w:pPr>
                  <w:r>
                    <w:rPr>
                      <w:color w:val="000000"/>
                      <w:szCs w:val="21"/>
                    </w:rPr>
                    <w:t>污染物</w:t>
                  </w:r>
                </w:p>
              </w:tc>
              <w:tc>
                <w:tcPr>
                  <w:tcW w:w="1162" w:type="dxa"/>
                  <w:vAlign w:val="center"/>
                </w:tcPr>
                <w:p>
                  <w:pPr>
                    <w:jc w:val="center"/>
                    <w:rPr>
                      <w:color w:val="000000"/>
                      <w:szCs w:val="21"/>
                    </w:rPr>
                  </w:pPr>
                  <w:r>
                    <w:rPr>
                      <w:color w:val="000000"/>
                      <w:szCs w:val="21"/>
                    </w:rPr>
                    <w:t>单位时间排放量（kg/h）</w:t>
                  </w:r>
                </w:p>
              </w:tc>
              <w:tc>
                <w:tcPr>
                  <w:tcW w:w="1525" w:type="dxa"/>
                  <w:vAlign w:val="center"/>
                </w:tcPr>
                <w:p>
                  <w:pPr>
                    <w:jc w:val="center"/>
                    <w:rPr>
                      <w:color w:val="000000"/>
                      <w:szCs w:val="21"/>
                    </w:rPr>
                  </w:pPr>
                  <w:r>
                    <w:rPr>
                      <w:color w:val="000000"/>
                      <w:szCs w:val="21"/>
                    </w:rPr>
                    <w:t>环境空气质量标准值（mg/m</w:t>
                  </w:r>
                  <w:r>
                    <w:rPr>
                      <w:color w:val="000000"/>
                      <w:szCs w:val="21"/>
                      <w:vertAlign w:val="superscript"/>
                    </w:rPr>
                    <w:t>3</w:t>
                  </w:r>
                  <w:r>
                    <w:rPr>
                      <w:color w:val="000000"/>
                      <w:szCs w:val="21"/>
                    </w:rPr>
                    <w:t>）</w:t>
                  </w:r>
                </w:p>
              </w:tc>
              <w:tc>
                <w:tcPr>
                  <w:tcW w:w="1364" w:type="dxa"/>
                  <w:vAlign w:val="center"/>
                </w:tcPr>
                <w:p>
                  <w:pPr>
                    <w:jc w:val="center"/>
                    <w:rPr>
                      <w:color w:val="000000"/>
                      <w:szCs w:val="21"/>
                    </w:rPr>
                  </w:pPr>
                  <w:r>
                    <w:rPr>
                      <w:color w:val="000000"/>
                      <w:szCs w:val="21"/>
                    </w:rPr>
                    <w:t>等标排放量（m</w:t>
                  </w:r>
                  <w:r>
                    <w:rPr>
                      <w:color w:val="000000"/>
                      <w:szCs w:val="21"/>
                      <w:vertAlign w:val="superscript"/>
                    </w:rPr>
                    <w:t>3</w:t>
                  </w:r>
                  <w:r>
                    <w:rPr>
                      <w:color w:val="000000"/>
                      <w:szCs w:val="21"/>
                    </w:rPr>
                    <w:t>/h）</w:t>
                  </w:r>
                </w:p>
              </w:tc>
              <w:tc>
                <w:tcPr>
                  <w:tcW w:w="1565" w:type="dxa"/>
                  <w:vAlign w:val="center"/>
                </w:tcPr>
                <w:p>
                  <w:pPr>
                    <w:jc w:val="center"/>
                    <w:rPr>
                      <w:color w:val="000000"/>
                      <w:szCs w:val="21"/>
                    </w:rPr>
                  </w:pPr>
                  <w:r>
                    <w:rPr>
                      <w:color w:val="000000"/>
                      <w:szCs w:val="21"/>
                    </w:rPr>
                    <w:t>相差值（%）</w:t>
                  </w:r>
                </w:p>
              </w:tc>
              <w:tc>
                <w:tcPr>
                  <w:tcW w:w="2111" w:type="dxa"/>
                  <w:vAlign w:val="center"/>
                </w:tcPr>
                <w:p>
                  <w:pPr>
                    <w:jc w:val="center"/>
                    <w:rPr>
                      <w:color w:val="000000"/>
                      <w:szCs w:val="21"/>
                    </w:rPr>
                  </w:pPr>
                  <w:r>
                    <w:rPr>
                      <w:color w:val="000000"/>
                      <w:szCs w:val="21"/>
                    </w:rPr>
                    <w:t>判定结果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6" w:type="dxa"/>
                  <w:vAlign w:val="center"/>
                </w:tcPr>
                <w:p>
                  <w:pPr>
                    <w:adjustRightInd w:val="0"/>
                    <w:snapToGrid w:val="0"/>
                    <w:jc w:val="center"/>
                    <w:rPr>
                      <w:kern w:val="0"/>
                      <w:szCs w:val="21"/>
                    </w:rPr>
                  </w:pPr>
                  <w:r>
                    <w:rPr>
                      <w:rFonts w:hint="eastAsia"/>
                      <w:kern w:val="0"/>
                      <w:szCs w:val="21"/>
                    </w:rPr>
                    <w:t>粉尘</w:t>
                  </w:r>
                </w:p>
              </w:tc>
              <w:tc>
                <w:tcPr>
                  <w:tcW w:w="1162" w:type="dxa"/>
                  <w:vAlign w:val="center"/>
                </w:tcPr>
                <w:p>
                  <w:pPr>
                    <w:adjustRightInd w:val="0"/>
                    <w:snapToGrid w:val="0"/>
                    <w:jc w:val="center"/>
                    <w:rPr>
                      <w:rFonts w:hint="default" w:eastAsia="宋体"/>
                      <w:kern w:val="0"/>
                      <w:szCs w:val="21"/>
                      <w:lang w:val="en-US" w:eastAsia="zh-CN"/>
                    </w:rPr>
                  </w:pPr>
                  <w:r>
                    <w:rPr>
                      <w:rFonts w:hint="eastAsia"/>
                      <w:kern w:val="0"/>
                      <w:szCs w:val="21"/>
                    </w:rPr>
                    <w:t>0.</w:t>
                  </w:r>
                  <w:r>
                    <w:rPr>
                      <w:rFonts w:hint="eastAsia"/>
                      <w:kern w:val="0"/>
                      <w:szCs w:val="21"/>
                      <w:lang w:val="en-US" w:eastAsia="zh-CN"/>
                    </w:rPr>
                    <w:t>0875</w:t>
                  </w:r>
                </w:p>
              </w:tc>
              <w:tc>
                <w:tcPr>
                  <w:tcW w:w="1525" w:type="dxa"/>
                  <w:vAlign w:val="center"/>
                </w:tcPr>
                <w:p>
                  <w:pPr>
                    <w:adjustRightInd w:val="0"/>
                    <w:snapToGrid w:val="0"/>
                    <w:jc w:val="center"/>
                    <w:rPr>
                      <w:kern w:val="0"/>
                      <w:szCs w:val="21"/>
                    </w:rPr>
                  </w:pPr>
                  <w:r>
                    <w:rPr>
                      <w:rFonts w:hint="eastAsia"/>
                      <w:kern w:val="0"/>
                      <w:szCs w:val="21"/>
                    </w:rPr>
                    <w:t>0.9</w:t>
                  </w:r>
                </w:p>
              </w:tc>
              <w:tc>
                <w:tcPr>
                  <w:tcW w:w="1364"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97222.2</w:t>
                  </w:r>
                </w:p>
              </w:tc>
              <w:tc>
                <w:tcPr>
                  <w:tcW w:w="1565" w:type="dxa"/>
                  <w:vAlign w:val="center"/>
                </w:tcPr>
                <w:p>
                  <w:pPr>
                    <w:adjustRightInd w:val="0"/>
                    <w:snapToGrid w:val="0"/>
                    <w:jc w:val="center"/>
                    <w:rPr>
                      <w:kern w:val="0"/>
                      <w:szCs w:val="21"/>
                    </w:rPr>
                  </w:pPr>
                  <w:r>
                    <w:rPr>
                      <w:rFonts w:hint="eastAsia"/>
                      <w:kern w:val="0"/>
                      <w:szCs w:val="21"/>
                    </w:rPr>
                    <w:t>/</w:t>
                  </w:r>
                </w:p>
              </w:tc>
              <w:tc>
                <w:tcPr>
                  <w:tcW w:w="2111" w:type="dxa"/>
                  <w:vMerge w:val="restart"/>
                  <w:vAlign w:val="center"/>
                </w:tcPr>
                <w:p>
                  <w:pPr>
                    <w:jc w:val="left"/>
                    <w:rPr>
                      <w:color w:val="000000"/>
                      <w:szCs w:val="21"/>
                    </w:rPr>
                  </w:pPr>
                  <w:r>
                    <w:rPr>
                      <w:color w:val="000000"/>
                      <w:szCs w:val="21"/>
                    </w:rPr>
                    <w:t>以</w:t>
                  </w:r>
                  <w:r>
                    <w:rPr>
                      <w:rFonts w:hint="eastAsia"/>
                      <w:color w:val="000000"/>
                      <w:szCs w:val="21"/>
                    </w:rPr>
                    <w:t>粉尘</w:t>
                  </w:r>
                  <w:r>
                    <w:rPr>
                      <w:color w:val="000000"/>
                      <w:szCs w:val="21"/>
                    </w:rPr>
                    <w:t>作为卫生防护距离初值计算对象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6" w:type="dxa"/>
                  <w:vAlign w:val="center"/>
                </w:tcPr>
                <w:p>
                  <w:pPr>
                    <w:adjustRightInd w:val="0"/>
                    <w:snapToGrid w:val="0"/>
                    <w:jc w:val="center"/>
                    <w:rPr>
                      <w:kern w:val="0"/>
                      <w:szCs w:val="21"/>
                    </w:rPr>
                  </w:pPr>
                  <w:r>
                    <w:rPr>
                      <w:rFonts w:hint="eastAsia"/>
                      <w:kern w:val="0"/>
                      <w:szCs w:val="21"/>
                    </w:rPr>
                    <w:t>TVOC</w:t>
                  </w:r>
                </w:p>
              </w:tc>
              <w:tc>
                <w:tcPr>
                  <w:tcW w:w="1162" w:type="dxa"/>
                  <w:vAlign w:val="center"/>
                </w:tcPr>
                <w:p>
                  <w:pPr>
                    <w:adjustRightInd w:val="0"/>
                    <w:snapToGrid w:val="0"/>
                    <w:jc w:val="center"/>
                    <w:rPr>
                      <w:kern w:val="0"/>
                      <w:szCs w:val="21"/>
                    </w:rPr>
                  </w:pPr>
                  <w:r>
                    <w:rPr>
                      <w:rFonts w:hint="eastAsia"/>
                      <w:kern w:val="0"/>
                      <w:szCs w:val="21"/>
                    </w:rPr>
                    <w:t>0.0623</w:t>
                  </w:r>
                </w:p>
              </w:tc>
              <w:tc>
                <w:tcPr>
                  <w:tcW w:w="1525" w:type="dxa"/>
                  <w:vAlign w:val="center"/>
                </w:tcPr>
                <w:p>
                  <w:pPr>
                    <w:adjustRightInd w:val="0"/>
                    <w:snapToGrid w:val="0"/>
                    <w:jc w:val="center"/>
                    <w:rPr>
                      <w:kern w:val="0"/>
                      <w:szCs w:val="21"/>
                    </w:rPr>
                  </w:pPr>
                  <w:r>
                    <w:rPr>
                      <w:rFonts w:hint="eastAsia"/>
                      <w:kern w:val="0"/>
                      <w:szCs w:val="21"/>
                    </w:rPr>
                    <w:t>1.2</w:t>
                  </w:r>
                </w:p>
              </w:tc>
              <w:tc>
                <w:tcPr>
                  <w:tcW w:w="1364"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51916.7</w:t>
                  </w:r>
                </w:p>
              </w:tc>
              <w:tc>
                <w:tcPr>
                  <w:tcW w:w="1565" w:type="dxa"/>
                  <w:vAlign w:val="center"/>
                </w:tcPr>
                <w:p>
                  <w:pPr>
                    <w:adjustRightInd w:val="0"/>
                    <w:snapToGrid w:val="0"/>
                    <w:jc w:val="center"/>
                    <w:rPr>
                      <w:kern w:val="0"/>
                      <w:szCs w:val="21"/>
                    </w:rPr>
                  </w:pPr>
                  <w:r>
                    <w:rPr>
                      <w:rFonts w:hint="eastAsia"/>
                      <w:kern w:val="0"/>
                      <w:szCs w:val="21"/>
                      <w:lang w:val="en-US" w:eastAsia="zh-CN"/>
                    </w:rPr>
                    <w:t>46.6</w:t>
                  </w:r>
                  <w:r>
                    <w:rPr>
                      <w:rFonts w:hint="eastAsia"/>
                      <w:kern w:val="0"/>
                      <w:szCs w:val="21"/>
                    </w:rPr>
                    <w:t>（与粉尘相差）</w:t>
                  </w:r>
                </w:p>
              </w:tc>
              <w:tc>
                <w:tcPr>
                  <w:tcW w:w="2111" w:type="dxa"/>
                  <w:vMerge w:val="continue"/>
                  <w:vAlign w:val="center"/>
                </w:tcPr>
                <w:p>
                  <w:pPr>
                    <w:jc w:val="center"/>
                    <w:rPr>
                      <w:color w:val="000000"/>
                      <w:szCs w:val="21"/>
                    </w:rPr>
                  </w:pPr>
                </w:p>
              </w:tc>
            </w:tr>
          </w:tbl>
          <w:p>
            <w:pPr>
              <w:spacing w:line="360" w:lineRule="auto"/>
              <w:ind w:firstLine="480" w:firstLineChars="200"/>
              <w:rPr>
                <w:rFonts w:eastAsia="黑体"/>
                <w:bCs/>
                <w:color w:val="000000"/>
                <w:kern w:val="0"/>
                <w:sz w:val="24"/>
                <w:szCs w:val="21"/>
              </w:rPr>
            </w:pPr>
            <w:r>
              <w:rPr>
                <w:rFonts w:hint="eastAsia"/>
                <w:color w:val="000000"/>
                <w:sz w:val="24"/>
              </w:rPr>
              <w:t>以生产车间作为计算项目卫生防护距离的无组织排放单元，具体各种参数选取见表4-19。</w:t>
            </w:r>
          </w:p>
          <w:p>
            <w:pPr>
              <w:pStyle w:val="81"/>
              <w:spacing w:before="120"/>
              <w:rPr>
                <w:rFonts w:eastAsia="黑体"/>
                <w:b w:val="0"/>
              </w:rPr>
            </w:pPr>
            <w:r>
              <w:rPr>
                <w:rFonts w:hint="eastAsia" w:eastAsia="黑体"/>
                <w:b w:val="0"/>
              </w:rPr>
              <w:t>表4-19  无组织排放卫生防护距离的计算表</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45"/>
              <w:gridCol w:w="1004"/>
              <w:gridCol w:w="1299"/>
              <w:gridCol w:w="1401"/>
              <w:gridCol w:w="1129"/>
              <w:gridCol w:w="992"/>
              <w:gridCol w:w="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06" w:type="pct"/>
                  <w:vAlign w:val="center"/>
                </w:tcPr>
                <w:p>
                  <w:pPr>
                    <w:pStyle w:val="135"/>
                    <w:snapToGrid w:val="0"/>
                    <w:spacing w:before="0" w:after="0" w:line="240" w:lineRule="auto"/>
                    <w:rPr>
                      <w:color w:val="000000"/>
                      <w:sz w:val="21"/>
                      <w:szCs w:val="21"/>
                    </w:rPr>
                  </w:pPr>
                  <w:r>
                    <w:rPr>
                      <w:color w:val="000000"/>
                      <w:sz w:val="21"/>
                      <w:szCs w:val="21"/>
                    </w:rPr>
                    <w:t>位置</w:t>
                  </w:r>
                </w:p>
              </w:tc>
              <w:tc>
                <w:tcPr>
                  <w:tcW w:w="442" w:type="pct"/>
                  <w:vAlign w:val="center"/>
                </w:tcPr>
                <w:p>
                  <w:pPr>
                    <w:pStyle w:val="135"/>
                    <w:snapToGrid w:val="0"/>
                    <w:spacing w:before="0" w:after="0" w:line="240" w:lineRule="auto"/>
                    <w:rPr>
                      <w:color w:val="000000"/>
                      <w:sz w:val="21"/>
                      <w:szCs w:val="21"/>
                    </w:rPr>
                  </w:pPr>
                  <w:r>
                    <w:rPr>
                      <w:color w:val="000000"/>
                      <w:sz w:val="21"/>
                      <w:szCs w:val="21"/>
                    </w:rPr>
                    <w:t>污染因子</w:t>
                  </w:r>
                </w:p>
              </w:tc>
              <w:tc>
                <w:tcPr>
                  <w:tcW w:w="596" w:type="pct"/>
                  <w:vAlign w:val="center"/>
                </w:tcPr>
                <w:p>
                  <w:pPr>
                    <w:pStyle w:val="135"/>
                    <w:snapToGrid w:val="0"/>
                    <w:spacing w:before="0" w:after="0" w:line="240" w:lineRule="auto"/>
                    <w:rPr>
                      <w:color w:val="000000"/>
                      <w:sz w:val="21"/>
                      <w:szCs w:val="21"/>
                    </w:rPr>
                  </w:pPr>
                  <w:r>
                    <w:rPr>
                      <w:rFonts w:hint="eastAsia"/>
                      <w:color w:val="000000"/>
                      <w:sz w:val="21"/>
                      <w:szCs w:val="21"/>
                      <w:lang w:eastAsia="zh-CN"/>
                    </w:rPr>
                    <w:t>排放速率</w:t>
                  </w:r>
                  <w:r>
                    <w:rPr>
                      <w:color w:val="000000"/>
                      <w:sz w:val="21"/>
                      <w:szCs w:val="21"/>
                    </w:rPr>
                    <w:t>（kg/h）</w:t>
                  </w:r>
                </w:p>
              </w:tc>
              <w:tc>
                <w:tcPr>
                  <w:tcW w:w="771" w:type="pct"/>
                  <w:vAlign w:val="center"/>
                </w:tcPr>
                <w:p>
                  <w:pPr>
                    <w:pStyle w:val="135"/>
                    <w:snapToGrid w:val="0"/>
                    <w:spacing w:before="0" w:after="0" w:line="240" w:lineRule="auto"/>
                    <w:rPr>
                      <w:color w:val="000000"/>
                      <w:sz w:val="21"/>
                      <w:szCs w:val="21"/>
                    </w:rPr>
                  </w:pPr>
                  <w:r>
                    <w:rPr>
                      <w:color w:val="000000"/>
                      <w:sz w:val="21"/>
                      <w:szCs w:val="21"/>
                    </w:rPr>
                    <w:t>标准浓度限值（mg/m</w:t>
                  </w:r>
                  <w:r>
                    <w:rPr>
                      <w:color w:val="000000"/>
                      <w:sz w:val="21"/>
                      <w:szCs w:val="21"/>
                      <w:vertAlign w:val="superscript"/>
                    </w:rPr>
                    <w:t>3</w:t>
                  </w:r>
                  <w:r>
                    <w:rPr>
                      <w:color w:val="000000"/>
                      <w:sz w:val="21"/>
                      <w:szCs w:val="21"/>
                    </w:rPr>
                    <w:t>）</w:t>
                  </w:r>
                </w:p>
              </w:tc>
              <w:tc>
                <w:tcPr>
                  <w:tcW w:w="832" w:type="pct"/>
                  <w:vAlign w:val="center"/>
                </w:tcPr>
                <w:p>
                  <w:pPr>
                    <w:pStyle w:val="135"/>
                    <w:snapToGrid w:val="0"/>
                    <w:spacing w:before="0" w:after="0" w:line="240" w:lineRule="auto"/>
                    <w:rPr>
                      <w:color w:val="000000"/>
                      <w:sz w:val="21"/>
                      <w:szCs w:val="21"/>
                    </w:rPr>
                  </w:pPr>
                  <w:r>
                    <w:rPr>
                      <w:color w:val="000000"/>
                      <w:sz w:val="21"/>
                      <w:szCs w:val="21"/>
                    </w:rPr>
                    <w:t>生产单元占地面积（m</w:t>
                  </w:r>
                  <w:r>
                    <w:rPr>
                      <w:color w:val="000000"/>
                      <w:sz w:val="21"/>
                      <w:szCs w:val="21"/>
                      <w:vertAlign w:val="superscript"/>
                    </w:rPr>
                    <w:t>2</w:t>
                  </w:r>
                  <w:r>
                    <w:rPr>
                      <w:color w:val="000000"/>
                      <w:sz w:val="21"/>
                      <w:szCs w:val="21"/>
                    </w:rPr>
                    <w:t>）</w:t>
                  </w:r>
                </w:p>
              </w:tc>
              <w:tc>
                <w:tcPr>
                  <w:tcW w:w="670" w:type="pct"/>
                  <w:vAlign w:val="center"/>
                </w:tcPr>
                <w:p>
                  <w:pPr>
                    <w:pStyle w:val="135"/>
                    <w:snapToGrid w:val="0"/>
                    <w:spacing w:before="0" w:after="0" w:line="240" w:lineRule="auto"/>
                    <w:rPr>
                      <w:color w:val="000000"/>
                      <w:sz w:val="21"/>
                      <w:szCs w:val="21"/>
                    </w:rPr>
                  </w:pPr>
                  <w:r>
                    <w:rPr>
                      <w:color w:val="000000"/>
                      <w:sz w:val="21"/>
                      <w:szCs w:val="21"/>
                    </w:rPr>
                    <w:t>近5年平均风速（m/s）</w:t>
                  </w:r>
                </w:p>
              </w:tc>
              <w:tc>
                <w:tcPr>
                  <w:tcW w:w="589" w:type="pct"/>
                  <w:vAlign w:val="center"/>
                </w:tcPr>
                <w:p>
                  <w:pPr>
                    <w:pStyle w:val="135"/>
                    <w:snapToGrid w:val="0"/>
                    <w:spacing w:before="0" w:after="0" w:line="240" w:lineRule="auto"/>
                    <w:rPr>
                      <w:color w:val="000000"/>
                      <w:sz w:val="21"/>
                      <w:szCs w:val="21"/>
                    </w:rPr>
                  </w:pPr>
                  <w:r>
                    <w:rPr>
                      <w:color w:val="000000"/>
                      <w:sz w:val="21"/>
                      <w:szCs w:val="21"/>
                    </w:rPr>
                    <w:t>卫生防护距离（m）</w:t>
                  </w:r>
                </w:p>
              </w:tc>
              <w:tc>
                <w:tcPr>
                  <w:tcW w:w="589" w:type="pct"/>
                  <w:vAlign w:val="center"/>
                </w:tcPr>
                <w:p>
                  <w:pPr>
                    <w:pStyle w:val="135"/>
                    <w:snapToGrid w:val="0"/>
                    <w:spacing w:before="0" w:after="0" w:line="240" w:lineRule="auto"/>
                    <w:rPr>
                      <w:color w:val="000000"/>
                      <w:sz w:val="21"/>
                      <w:szCs w:val="21"/>
                    </w:rPr>
                  </w:pPr>
                  <w:r>
                    <w:rPr>
                      <w:rFonts w:hint="eastAsia"/>
                      <w:color w:val="000000"/>
                      <w:sz w:val="21"/>
                      <w:szCs w:val="21"/>
                    </w:rPr>
                    <w:t>卫生防护距离取值</w:t>
                  </w:r>
                  <w:r>
                    <w:rPr>
                      <w:color w:val="000000"/>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506" w:type="pct"/>
                  <w:vAlign w:val="center"/>
                </w:tcPr>
                <w:p>
                  <w:pPr>
                    <w:pStyle w:val="135"/>
                    <w:snapToGrid w:val="0"/>
                    <w:spacing w:before="0" w:after="0" w:line="240" w:lineRule="auto"/>
                    <w:rPr>
                      <w:color w:val="000000"/>
                      <w:sz w:val="21"/>
                      <w:szCs w:val="21"/>
                    </w:rPr>
                  </w:pPr>
                  <w:r>
                    <w:rPr>
                      <w:rFonts w:hint="eastAsia"/>
                      <w:color w:val="000000"/>
                      <w:sz w:val="21"/>
                      <w:szCs w:val="21"/>
                    </w:rPr>
                    <w:t>生产车间</w:t>
                  </w:r>
                </w:p>
              </w:tc>
              <w:tc>
                <w:tcPr>
                  <w:tcW w:w="442" w:type="pct"/>
                  <w:vAlign w:val="center"/>
                </w:tcPr>
                <w:p>
                  <w:pPr>
                    <w:pStyle w:val="135"/>
                    <w:snapToGrid w:val="0"/>
                    <w:spacing w:before="0" w:after="0" w:line="240" w:lineRule="auto"/>
                    <w:rPr>
                      <w:color w:val="000000"/>
                      <w:sz w:val="21"/>
                      <w:szCs w:val="21"/>
                    </w:rPr>
                  </w:pPr>
                  <w:r>
                    <w:rPr>
                      <w:rFonts w:hint="eastAsia" w:ascii="宋体" w:hAnsi="宋体" w:cs="宋体"/>
                      <w:color w:val="000000"/>
                      <w:sz w:val="21"/>
                      <w:szCs w:val="21"/>
                      <w:lang w:bidi="ar"/>
                    </w:rPr>
                    <w:t>粉尘</w:t>
                  </w:r>
                </w:p>
              </w:tc>
              <w:tc>
                <w:tcPr>
                  <w:tcW w:w="596" w:type="pct"/>
                  <w:vAlign w:val="center"/>
                </w:tcPr>
                <w:p>
                  <w:pPr>
                    <w:widowControl/>
                    <w:jc w:val="center"/>
                    <w:textAlignment w:val="center"/>
                    <w:rPr>
                      <w:color w:val="000000"/>
                      <w:sz w:val="21"/>
                      <w:szCs w:val="21"/>
                    </w:rPr>
                  </w:pPr>
                  <w:r>
                    <w:rPr>
                      <w:rFonts w:hint="eastAsia"/>
                      <w:kern w:val="0"/>
                      <w:szCs w:val="21"/>
                    </w:rPr>
                    <w:t>0.</w:t>
                  </w:r>
                  <w:r>
                    <w:rPr>
                      <w:rFonts w:hint="eastAsia"/>
                      <w:kern w:val="0"/>
                      <w:szCs w:val="21"/>
                      <w:lang w:val="en-US" w:eastAsia="zh-CN"/>
                    </w:rPr>
                    <w:t>0875</w:t>
                  </w:r>
                </w:p>
              </w:tc>
              <w:tc>
                <w:tcPr>
                  <w:tcW w:w="771" w:type="pct"/>
                  <w:vAlign w:val="center"/>
                </w:tcPr>
                <w:p>
                  <w:pPr>
                    <w:spacing w:line="340" w:lineRule="exact"/>
                    <w:jc w:val="center"/>
                    <w:rPr>
                      <w:color w:val="000000"/>
                      <w:sz w:val="21"/>
                      <w:szCs w:val="21"/>
                    </w:rPr>
                  </w:pPr>
                  <w:r>
                    <w:rPr>
                      <w:rFonts w:hint="eastAsia"/>
                      <w:color w:val="000000"/>
                      <w:sz w:val="21"/>
                      <w:szCs w:val="21"/>
                    </w:rPr>
                    <w:t>0.9</w:t>
                  </w:r>
                </w:p>
              </w:tc>
              <w:tc>
                <w:tcPr>
                  <w:tcW w:w="832" w:type="pct"/>
                  <w:vAlign w:val="center"/>
                </w:tcPr>
                <w:p>
                  <w:pPr>
                    <w:pStyle w:val="135"/>
                    <w:snapToGrid w:val="0"/>
                    <w:spacing w:before="0" w:after="0" w:line="240" w:lineRule="auto"/>
                    <w:rPr>
                      <w:color w:val="000000"/>
                      <w:sz w:val="21"/>
                      <w:szCs w:val="21"/>
                    </w:rPr>
                  </w:pPr>
                  <w:r>
                    <w:rPr>
                      <w:rFonts w:hint="eastAsia"/>
                      <w:color w:val="000000"/>
                      <w:sz w:val="21"/>
                      <w:szCs w:val="21"/>
                    </w:rPr>
                    <w:t>5000</w:t>
                  </w:r>
                </w:p>
              </w:tc>
              <w:tc>
                <w:tcPr>
                  <w:tcW w:w="670" w:type="pct"/>
                  <w:vAlign w:val="center"/>
                </w:tcPr>
                <w:p>
                  <w:pPr>
                    <w:spacing w:line="340" w:lineRule="exact"/>
                    <w:jc w:val="center"/>
                    <w:rPr>
                      <w:color w:val="000000"/>
                      <w:kern w:val="0"/>
                      <w:sz w:val="21"/>
                      <w:szCs w:val="21"/>
                    </w:rPr>
                  </w:pPr>
                  <w:r>
                    <w:rPr>
                      <w:rFonts w:hint="eastAsia"/>
                      <w:color w:val="000000"/>
                      <w:kern w:val="0"/>
                      <w:sz w:val="21"/>
                      <w:szCs w:val="21"/>
                    </w:rPr>
                    <w:t>1.5</w:t>
                  </w:r>
                </w:p>
              </w:tc>
              <w:tc>
                <w:tcPr>
                  <w:tcW w:w="589" w:type="pct"/>
                  <w:vAlign w:val="center"/>
                </w:tcPr>
                <w:p>
                  <w:pPr>
                    <w:spacing w:line="340" w:lineRule="exact"/>
                    <w:jc w:val="center"/>
                    <w:rPr>
                      <w:color w:val="000000"/>
                      <w:kern w:val="0"/>
                      <w:sz w:val="21"/>
                      <w:szCs w:val="21"/>
                    </w:rPr>
                  </w:pPr>
                  <w:r>
                    <w:rPr>
                      <w:rFonts w:hint="eastAsia"/>
                      <w:color w:val="000000"/>
                      <w:kern w:val="0"/>
                      <w:sz w:val="21"/>
                      <w:szCs w:val="21"/>
                    </w:rPr>
                    <w:t>2.353</w:t>
                  </w:r>
                </w:p>
              </w:tc>
              <w:tc>
                <w:tcPr>
                  <w:tcW w:w="589" w:type="pct"/>
                  <w:vAlign w:val="center"/>
                </w:tcPr>
                <w:p>
                  <w:pPr>
                    <w:spacing w:line="340" w:lineRule="exact"/>
                    <w:jc w:val="center"/>
                    <w:rPr>
                      <w:color w:val="000000"/>
                      <w:kern w:val="0"/>
                      <w:sz w:val="21"/>
                      <w:szCs w:val="21"/>
                    </w:rPr>
                  </w:pPr>
                  <w:r>
                    <w:rPr>
                      <w:rFonts w:hint="eastAsia"/>
                      <w:color w:val="000000"/>
                      <w:kern w:val="0"/>
                      <w:sz w:val="21"/>
                      <w:szCs w:val="21"/>
                    </w:rPr>
                    <w:t>50</w:t>
                  </w:r>
                </w:p>
              </w:tc>
            </w:tr>
          </w:tbl>
          <w:p>
            <w:pPr>
              <w:adjustRightInd w:val="0"/>
              <w:snapToGrid w:val="0"/>
              <w:spacing w:line="360" w:lineRule="auto"/>
              <w:ind w:firstLine="480" w:firstLineChars="200"/>
              <w:rPr>
                <w:color w:val="000000"/>
                <w:sz w:val="24"/>
              </w:rPr>
            </w:pPr>
            <w:r>
              <w:rPr>
                <w:rFonts w:hint="eastAsia"/>
                <w:color w:val="000000"/>
                <w:sz w:val="24"/>
              </w:rPr>
              <w:t>经过计算，项目生产车间卫生防护距离为2.353m，根据《大气有害物质无组织排放卫生防护距离推导技术导则》（GB/T 39499-2020），卫生防护距离初值小于50m时，级差为50m。如计算初值小于50m，卫生防护距离终值取50m。因此确定生产车间卫生防护距离为50m。</w:t>
            </w:r>
          </w:p>
          <w:p>
            <w:pPr>
              <w:spacing w:line="360" w:lineRule="auto"/>
              <w:ind w:firstLine="420" w:firstLineChars="200"/>
              <w:rPr>
                <w:color w:val="000000"/>
                <w:sz w:val="24"/>
              </w:rPr>
            </w:pPr>
            <w:r>
              <w:rPr>
                <w:rFonts w:hint="default" w:ascii="Times New Roman" w:hAnsi="Times New Roman" w:cs="Times New Roman"/>
              </w:rPr>
              <w:t xml:space="preserve"> ②</w:t>
            </w:r>
            <w:r>
              <w:rPr>
                <w:rFonts w:hint="eastAsia"/>
                <w:color w:val="000000"/>
                <w:sz w:val="24"/>
              </w:rPr>
              <w:t>喷漆房</w:t>
            </w:r>
          </w:p>
          <w:p>
            <w:pPr>
              <w:spacing w:line="360" w:lineRule="auto"/>
              <w:ind w:firstLine="480" w:firstLineChars="200"/>
              <w:rPr>
                <w:color w:val="000000"/>
                <w:sz w:val="24"/>
              </w:rPr>
            </w:pPr>
            <w:r>
              <w:rPr>
                <w:rFonts w:hint="eastAsia"/>
                <w:color w:val="000000"/>
                <w:sz w:val="24"/>
              </w:rPr>
              <w:t>根据《大气</w:t>
            </w:r>
            <w:r>
              <w:rPr>
                <w:color w:val="000000"/>
                <w:sz w:val="24"/>
              </w:rPr>
              <w:t>有害物质无组织排放卫生防护距离推导技术导则》（GB/T 39499-2020）：当企业无组织排放存在多种有毒有害污染物时，基于单个污染物的等标排放量计算结果，优先选择等标排放量较大的污染物为企业无组织排放的主要特征大气有害物质。当前两种污染物的等标排放量相差在10%以内时，需同时选择这两种特征大气有害物质分别计算卫生防护距离初值。</w:t>
            </w:r>
          </w:p>
          <w:p>
            <w:pPr>
              <w:pStyle w:val="40"/>
              <w:spacing w:line="360" w:lineRule="auto"/>
              <w:ind w:firstLine="480" w:firstLineChars="200"/>
              <w:rPr>
                <w:rFonts w:ascii="Times New Roman" w:cs="Times New Roman"/>
              </w:rPr>
            </w:pPr>
            <w:r>
              <w:rPr>
                <w:rFonts w:ascii="Times New Roman" w:cs="Times New Roman"/>
              </w:rPr>
              <w:t>等标排放量公式如下：</w:t>
            </w:r>
          </w:p>
          <w:p>
            <w:pPr>
              <w:jc w:val="center"/>
              <w:rPr>
                <w:color w:val="000000"/>
                <w:sz w:val="24"/>
              </w:rPr>
            </w:pPr>
            <w:r>
              <w:rPr>
                <w:color w:val="000000"/>
                <w:sz w:val="24"/>
              </w:rPr>
              <w:t>Pi=Qi/Coi×10</w:t>
            </w:r>
            <w:r>
              <w:rPr>
                <w:rFonts w:hint="eastAsia"/>
                <w:color w:val="000000"/>
                <w:sz w:val="24"/>
                <w:vertAlign w:val="superscript"/>
              </w:rPr>
              <w:t>6</w:t>
            </w:r>
          </w:p>
          <w:p>
            <w:pPr>
              <w:pStyle w:val="40"/>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239" w:leftChars="114" w:firstLine="278" w:firstLineChars="116"/>
              <w:textAlignment w:val="auto"/>
              <w:rPr>
                <w:rFonts w:ascii="Times New Roman" w:cs="Times New Roman"/>
              </w:rPr>
            </w:pPr>
          </w:p>
          <w:p>
            <w:pPr>
              <w:pStyle w:val="40"/>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239" w:leftChars="114" w:firstLine="278" w:firstLineChars="116"/>
              <w:textAlignment w:val="auto"/>
              <w:rPr>
                <w:rFonts w:ascii="Times New Roman" w:cs="Times New Roman"/>
              </w:rPr>
            </w:pPr>
            <w:r>
              <w:rPr>
                <w:rFonts w:ascii="Times New Roman" w:cs="Times New Roman"/>
              </w:rPr>
              <w:t>式中</w:t>
            </w:r>
            <w:r>
              <w:rPr>
                <w:rFonts w:hint="eastAsia" w:ascii="Times New Roman" w:cs="Times New Roman"/>
                <w:lang w:eastAsia="zh-CN"/>
              </w:rPr>
              <w:t>：</w:t>
            </w:r>
            <w:r>
              <w:rPr>
                <w:rFonts w:ascii="Times New Roman" w:cs="Times New Roman"/>
              </w:rPr>
              <w:t>Pi—评价等级判别参数，通常所谓的等标排放量，m</w:t>
            </w:r>
            <w:r>
              <w:rPr>
                <w:rFonts w:ascii="Times New Roman" w:cs="Times New Roman"/>
                <w:vertAlign w:val="superscript"/>
              </w:rPr>
              <w:t>3</w:t>
            </w:r>
            <w:r>
              <w:rPr>
                <w:rFonts w:ascii="Times New Roman" w:cs="Times New Roman"/>
              </w:rPr>
              <w:t>/h；</w:t>
            </w:r>
          </w:p>
          <w:p>
            <w:pPr>
              <w:pStyle w:val="40"/>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480" w:firstLineChars="200"/>
              <w:textAlignment w:val="auto"/>
              <w:rPr>
                <w:rFonts w:ascii="Times New Roman" w:cs="Times New Roman"/>
              </w:rPr>
            </w:pPr>
            <w:r>
              <w:rPr>
                <w:rFonts w:ascii="Times New Roman" w:cs="Times New Roman"/>
              </w:rPr>
              <w:t>Qi—单位时间的排放量，t/h；</w:t>
            </w:r>
          </w:p>
          <w:p>
            <w:pPr>
              <w:pStyle w:val="40"/>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480" w:firstLineChars="200"/>
              <w:textAlignment w:val="auto"/>
              <w:rPr>
                <w:rFonts w:ascii="Times New Roman" w:cs="Times New Roman"/>
              </w:rPr>
            </w:pPr>
            <w:r>
              <w:rPr>
                <w:rFonts w:ascii="Times New Roman" w:cs="Times New Roman"/>
              </w:rPr>
              <w:t>Coi—环境空气质量标准，mg/m</w:t>
            </w:r>
            <w:r>
              <w:rPr>
                <w:rFonts w:ascii="Times New Roman" w:cs="Times New Roman"/>
                <w:vertAlign w:val="superscript"/>
              </w:rPr>
              <w:t>3</w:t>
            </w:r>
            <w:r>
              <w:rPr>
                <w:rFonts w:ascii="Times New Roman" w:cs="Times New Roman"/>
              </w:rPr>
              <w:t>。</w:t>
            </w:r>
          </w:p>
          <w:p>
            <w:pPr>
              <w:pStyle w:val="81"/>
              <w:spacing w:before="120"/>
              <w:rPr>
                <w:rFonts w:eastAsia="黑体"/>
                <w:b w:val="0"/>
              </w:rPr>
            </w:pPr>
            <w:r>
              <w:rPr>
                <w:rFonts w:hint="eastAsia" w:eastAsia="黑体"/>
                <w:b w:val="0"/>
              </w:rPr>
              <w:t>表4-20  等标排放量</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0"/>
              <w:gridCol w:w="981"/>
              <w:gridCol w:w="1492"/>
              <w:gridCol w:w="1346"/>
              <w:gridCol w:w="1681"/>
              <w:gridCol w:w="19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0" w:type="dxa"/>
                  <w:vAlign w:val="center"/>
                </w:tcPr>
                <w:p>
                  <w:pPr>
                    <w:jc w:val="center"/>
                    <w:rPr>
                      <w:color w:val="000000"/>
                      <w:szCs w:val="21"/>
                    </w:rPr>
                  </w:pPr>
                  <w:r>
                    <w:rPr>
                      <w:color w:val="000000"/>
                      <w:szCs w:val="21"/>
                    </w:rPr>
                    <w:t>污染物</w:t>
                  </w:r>
                </w:p>
              </w:tc>
              <w:tc>
                <w:tcPr>
                  <w:tcW w:w="981" w:type="dxa"/>
                  <w:vAlign w:val="center"/>
                </w:tcPr>
                <w:p>
                  <w:pPr>
                    <w:jc w:val="center"/>
                    <w:rPr>
                      <w:color w:val="000000"/>
                      <w:szCs w:val="21"/>
                    </w:rPr>
                  </w:pPr>
                  <w:r>
                    <w:rPr>
                      <w:rFonts w:hint="eastAsia"/>
                      <w:color w:val="000000"/>
                      <w:sz w:val="21"/>
                      <w:szCs w:val="21"/>
                      <w:lang w:eastAsia="zh-CN"/>
                    </w:rPr>
                    <w:t>排放速率</w:t>
                  </w:r>
                  <w:r>
                    <w:rPr>
                      <w:color w:val="000000"/>
                      <w:sz w:val="21"/>
                      <w:szCs w:val="21"/>
                    </w:rPr>
                    <w:t>（kg/h）</w:t>
                  </w:r>
                </w:p>
              </w:tc>
              <w:tc>
                <w:tcPr>
                  <w:tcW w:w="1492" w:type="dxa"/>
                  <w:vAlign w:val="center"/>
                </w:tcPr>
                <w:p>
                  <w:pPr>
                    <w:jc w:val="center"/>
                    <w:rPr>
                      <w:color w:val="000000"/>
                      <w:szCs w:val="21"/>
                    </w:rPr>
                  </w:pPr>
                  <w:r>
                    <w:rPr>
                      <w:color w:val="000000"/>
                      <w:szCs w:val="21"/>
                    </w:rPr>
                    <w:t>环境空气质量标准值（mg/m</w:t>
                  </w:r>
                  <w:r>
                    <w:rPr>
                      <w:color w:val="000000"/>
                      <w:szCs w:val="21"/>
                      <w:vertAlign w:val="superscript"/>
                    </w:rPr>
                    <w:t>3</w:t>
                  </w:r>
                  <w:r>
                    <w:rPr>
                      <w:color w:val="000000"/>
                      <w:szCs w:val="21"/>
                    </w:rPr>
                    <w:t>）</w:t>
                  </w:r>
                </w:p>
              </w:tc>
              <w:tc>
                <w:tcPr>
                  <w:tcW w:w="1346" w:type="dxa"/>
                  <w:vAlign w:val="center"/>
                </w:tcPr>
                <w:p>
                  <w:pPr>
                    <w:jc w:val="center"/>
                    <w:rPr>
                      <w:color w:val="000000"/>
                      <w:szCs w:val="21"/>
                    </w:rPr>
                  </w:pPr>
                  <w:r>
                    <w:rPr>
                      <w:color w:val="000000"/>
                      <w:szCs w:val="21"/>
                    </w:rPr>
                    <w:t>等标排放量（m</w:t>
                  </w:r>
                  <w:r>
                    <w:rPr>
                      <w:color w:val="000000"/>
                      <w:szCs w:val="21"/>
                      <w:vertAlign w:val="superscript"/>
                    </w:rPr>
                    <w:t>3</w:t>
                  </w:r>
                  <w:r>
                    <w:rPr>
                      <w:color w:val="000000"/>
                      <w:szCs w:val="21"/>
                    </w:rPr>
                    <w:t>/h）</w:t>
                  </w:r>
                </w:p>
              </w:tc>
              <w:tc>
                <w:tcPr>
                  <w:tcW w:w="1681" w:type="dxa"/>
                  <w:vAlign w:val="center"/>
                </w:tcPr>
                <w:p>
                  <w:pPr>
                    <w:jc w:val="center"/>
                    <w:rPr>
                      <w:color w:val="000000"/>
                      <w:szCs w:val="21"/>
                    </w:rPr>
                  </w:pPr>
                  <w:r>
                    <w:rPr>
                      <w:color w:val="000000"/>
                      <w:szCs w:val="21"/>
                    </w:rPr>
                    <w:t>相差值（%）</w:t>
                  </w:r>
                </w:p>
              </w:tc>
              <w:tc>
                <w:tcPr>
                  <w:tcW w:w="1993" w:type="dxa"/>
                  <w:vAlign w:val="center"/>
                </w:tcPr>
                <w:p>
                  <w:pPr>
                    <w:jc w:val="center"/>
                    <w:rPr>
                      <w:color w:val="000000"/>
                      <w:szCs w:val="21"/>
                    </w:rPr>
                  </w:pPr>
                  <w:r>
                    <w:rPr>
                      <w:color w:val="000000"/>
                      <w:szCs w:val="21"/>
                    </w:rPr>
                    <w:t>判定结果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0" w:type="dxa"/>
                  <w:vAlign w:val="center"/>
                </w:tcPr>
                <w:p>
                  <w:pPr>
                    <w:adjustRightInd w:val="0"/>
                    <w:snapToGrid w:val="0"/>
                    <w:jc w:val="center"/>
                    <w:rPr>
                      <w:kern w:val="0"/>
                      <w:szCs w:val="21"/>
                    </w:rPr>
                  </w:pPr>
                  <w:r>
                    <w:rPr>
                      <w:rFonts w:hint="eastAsia"/>
                      <w:kern w:val="0"/>
                      <w:szCs w:val="21"/>
                    </w:rPr>
                    <w:t>TVOC</w:t>
                  </w:r>
                </w:p>
              </w:tc>
              <w:tc>
                <w:tcPr>
                  <w:tcW w:w="981" w:type="dxa"/>
                  <w:vAlign w:val="center"/>
                </w:tcPr>
                <w:p>
                  <w:pPr>
                    <w:adjustRightInd w:val="0"/>
                    <w:snapToGrid w:val="0"/>
                    <w:jc w:val="center"/>
                    <w:rPr>
                      <w:kern w:val="0"/>
                      <w:szCs w:val="21"/>
                    </w:rPr>
                  </w:pPr>
                  <w:r>
                    <w:rPr>
                      <w:rFonts w:hint="eastAsia"/>
                      <w:kern w:val="0"/>
                      <w:szCs w:val="21"/>
                    </w:rPr>
                    <w:t>0.145</w:t>
                  </w:r>
                </w:p>
              </w:tc>
              <w:tc>
                <w:tcPr>
                  <w:tcW w:w="1492" w:type="dxa"/>
                  <w:vAlign w:val="center"/>
                </w:tcPr>
                <w:p>
                  <w:pPr>
                    <w:spacing w:line="340" w:lineRule="exact"/>
                    <w:jc w:val="center"/>
                    <w:rPr>
                      <w:color w:val="000000"/>
                      <w:szCs w:val="21"/>
                    </w:rPr>
                  </w:pPr>
                  <w:r>
                    <w:rPr>
                      <w:rFonts w:hint="eastAsia"/>
                      <w:color w:val="000000"/>
                      <w:szCs w:val="21"/>
                    </w:rPr>
                    <w:t>1.2</w:t>
                  </w:r>
                </w:p>
              </w:tc>
              <w:tc>
                <w:tcPr>
                  <w:tcW w:w="1346" w:type="dxa"/>
                  <w:vAlign w:val="center"/>
                </w:tcPr>
                <w:p>
                  <w:pPr>
                    <w:widowControl/>
                    <w:spacing w:line="340" w:lineRule="exact"/>
                    <w:jc w:val="center"/>
                    <w:rPr>
                      <w:rFonts w:hint="default" w:eastAsia="宋体"/>
                      <w:color w:val="000000"/>
                      <w:szCs w:val="21"/>
                      <w:lang w:val="en-US" w:eastAsia="zh-CN"/>
                    </w:rPr>
                  </w:pPr>
                  <w:r>
                    <w:rPr>
                      <w:rFonts w:hint="eastAsia"/>
                      <w:color w:val="000000"/>
                      <w:szCs w:val="21"/>
                      <w:lang w:val="en-US" w:eastAsia="zh-CN" w:bidi="ar"/>
                    </w:rPr>
                    <w:t>120833.3</w:t>
                  </w:r>
                </w:p>
              </w:tc>
              <w:tc>
                <w:tcPr>
                  <w:tcW w:w="1681" w:type="dxa"/>
                  <w:vAlign w:val="center"/>
                </w:tcPr>
                <w:p>
                  <w:pPr>
                    <w:spacing w:line="340" w:lineRule="exact"/>
                    <w:jc w:val="center"/>
                    <w:rPr>
                      <w:color w:val="000000"/>
                      <w:szCs w:val="21"/>
                    </w:rPr>
                  </w:pPr>
                  <w:r>
                    <w:rPr>
                      <w:rFonts w:hint="eastAsia"/>
                      <w:color w:val="000000"/>
                      <w:szCs w:val="21"/>
                    </w:rPr>
                    <w:t>31%（与甲苯及二甲苯相差）</w:t>
                  </w:r>
                </w:p>
              </w:tc>
              <w:tc>
                <w:tcPr>
                  <w:tcW w:w="1993" w:type="dxa"/>
                  <w:vMerge w:val="restart"/>
                  <w:vAlign w:val="center"/>
                </w:tcPr>
                <w:p>
                  <w:pPr>
                    <w:jc w:val="left"/>
                    <w:rPr>
                      <w:color w:val="000000"/>
                      <w:szCs w:val="21"/>
                    </w:rPr>
                  </w:pPr>
                  <w:r>
                    <w:rPr>
                      <w:color w:val="000000"/>
                      <w:szCs w:val="21"/>
                    </w:rPr>
                    <w:t>以</w:t>
                  </w:r>
                  <w:r>
                    <w:rPr>
                      <w:rFonts w:hint="eastAsia"/>
                      <w:color w:val="000000"/>
                      <w:szCs w:val="21"/>
                    </w:rPr>
                    <w:t>甲苯及二甲苯</w:t>
                  </w:r>
                  <w:r>
                    <w:rPr>
                      <w:color w:val="000000"/>
                      <w:szCs w:val="21"/>
                    </w:rPr>
                    <w:t>作为卫生防护距离初值计算对象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0" w:type="dxa"/>
                  <w:vAlign w:val="center"/>
                </w:tcPr>
                <w:p>
                  <w:pPr>
                    <w:adjustRightInd w:val="0"/>
                    <w:snapToGrid w:val="0"/>
                    <w:jc w:val="center"/>
                    <w:rPr>
                      <w:kern w:val="0"/>
                      <w:szCs w:val="21"/>
                    </w:rPr>
                  </w:pPr>
                  <w:r>
                    <w:rPr>
                      <w:rFonts w:hint="eastAsia"/>
                      <w:kern w:val="0"/>
                      <w:szCs w:val="21"/>
                    </w:rPr>
                    <w:t>甲苯及二甲苯</w:t>
                  </w:r>
                </w:p>
              </w:tc>
              <w:tc>
                <w:tcPr>
                  <w:tcW w:w="981" w:type="dxa"/>
                  <w:vAlign w:val="center"/>
                </w:tcPr>
                <w:p>
                  <w:pPr>
                    <w:adjustRightInd w:val="0"/>
                    <w:snapToGrid w:val="0"/>
                    <w:jc w:val="center"/>
                    <w:rPr>
                      <w:kern w:val="0"/>
                      <w:szCs w:val="21"/>
                    </w:rPr>
                  </w:pPr>
                  <w:r>
                    <w:rPr>
                      <w:rFonts w:hint="eastAsia"/>
                      <w:kern w:val="0"/>
                      <w:szCs w:val="21"/>
                    </w:rPr>
                    <w:t>0.035</w:t>
                  </w:r>
                </w:p>
              </w:tc>
              <w:tc>
                <w:tcPr>
                  <w:tcW w:w="1492" w:type="dxa"/>
                  <w:vAlign w:val="center"/>
                </w:tcPr>
                <w:p>
                  <w:pPr>
                    <w:spacing w:line="340" w:lineRule="exact"/>
                    <w:jc w:val="center"/>
                    <w:rPr>
                      <w:color w:val="000000"/>
                      <w:szCs w:val="21"/>
                    </w:rPr>
                  </w:pPr>
                  <w:r>
                    <w:rPr>
                      <w:rFonts w:hint="eastAsia"/>
                      <w:color w:val="000000"/>
                      <w:szCs w:val="21"/>
                    </w:rPr>
                    <w:t>0.2</w:t>
                  </w:r>
                </w:p>
              </w:tc>
              <w:tc>
                <w:tcPr>
                  <w:tcW w:w="1346" w:type="dxa"/>
                  <w:vAlign w:val="center"/>
                </w:tcPr>
                <w:p>
                  <w:pPr>
                    <w:widowControl/>
                    <w:spacing w:line="340" w:lineRule="exact"/>
                    <w:jc w:val="center"/>
                    <w:rPr>
                      <w:rFonts w:hint="default" w:eastAsia="宋体"/>
                      <w:color w:val="000000"/>
                      <w:szCs w:val="21"/>
                      <w:lang w:val="en-US" w:eastAsia="zh-CN"/>
                    </w:rPr>
                  </w:pPr>
                  <w:r>
                    <w:rPr>
                      <w:rFonts w:hint="eastAsia"/>
                      <w:color w:val="000000"/>
                      <w:szCs w:val="21"/>
                      <w:lang w:val="en-US" w:eastAsia="zh-CN" w:bidi="ar"/>
                    </w:rPr>
                    <w:t>175000</w:t>
                  </w:r>
                </w:p>
              </w:tc>
              <w:tc>
                <w:tcPr>
                  <w:tcW w:w="1681" w:type="dxa"/>
                  <w:vAlign w:val="center"/>
                </w:tcPr>
                <w:p>
                  <w:pPr>
                    <w:spacing w:line="340" w:lineRule="exact"/>
                    <w:jc w:val="center"/>
                    <w:rPr>
                      <w:color w:val="000000"/>
                      <w:szCs w:val="21"/>
                    </w:rPr>
                  </w:pPr>
                  <w:r>
                    <w:rPr>
                      <w:rFonts w:hint="eastAsia"/>
                      <w:color w:val="000000"/>
                      <w:szCs w:val="21"/>
                    </w:rPr>
                    <w:t>/</w:t>
                  </w:r>
                </w:p>
              </w:tc>
              <w:tc>
                <w:tcPr>
                  <w:tcW w:w="1993" w:type="dxa"/>
                  <w:vMerge w:val="continue"/>
                  <w:vAlign w:val="center"/>
                </w:tcPr>
                <w:p>
                  <w:pPr>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0" w:type="dxa"/>
                  <w:vAlign w:val="center"/>
                </w:tcPr>
                <w:p>
                  <w:pPr>
                    <w:adjustRightInd w:val="0"/>
                    <w:snapToGrid w:val="0"/>
                    <w:jc w:val="center"/>
                    <w:rPr>
                      <w:kern w:val="0"/>
                      <w:szCs w:val="21"/>
                    </w:rPr>
                  </w:pPr>
                  <w:r>
                    <w:rPr>
                      <w:rFonts w:hint="eastAsia"/>
                      <w:kern w:val="0"/>
                      <w:szCs w:val="21"/>
                    </w:rPr>
                    <w:t>漆雾</w:t>
                  </w:r>
                </w:p>
              </w:tc>
              <w:tc>
                <w:tcPr>
                  <w:tcW w:w="981" w:type="dxa"/>
                  <w:vAlign w:val="center"/>
                </w:tcPr>
                <w:p>
                  <w:pPr>
                    <w:adjustRightInd w:val="0"/>
                    <w:snapToGrid w:val="0"/>
                    <w:jc w:val="center"/>
                    <w:rPr>
                      <w:kern w:val="0"/>
                      <w:szCs w:val="21"/>
                    </w:rPr>
                  </w:pPr>
                  <w:r>
                    <w:rPr>
                      <w:rFonts w:hint="eastAsia"/>
                      <w:kern w:val="0"/>
                      <w:szCs w:val="21"/>
                    </w:rPr>
                    <w:t>0.022</w:t>
                  </w:r>
                </w:p>
              </w:tc>
              <w:tc>
                <w:tcPr>
                  <w:tcW w:w="1492" w:type="dxa"/>
                  <w:vAlign w:val="center"/>
                </w:tcPr>
                <w:p>
                  <w:pPr>
                    <w:spacing w:line="340" w:lineRule="exact"/>
                    <w:jc w:val="center"/>
                    <w:rPr>
                      <w:color w:val="000000"/>
                      <w:szCs w:val="21"/>
                    </w:rPr>
                  </w:pPr>
                  <w:r>
                    <w:rPr>
                      <w:rFonts w:hint="eastAsia"/>
                      <w:color w:val="000000"/>
                      <w:szCs w:val="21"/>
                    </w:rPr>
                    <w:t>0.9</w:t>
                  </w:r>
                </w:p>
              </w:tc>
              <w:tc>
                <w:tcPr>
                  <w:tcW w:w="1346" w:type="dxa"/>
                  <w:vAlign w:val="center"/>
                </w:tcPr>
                <w:p>
                  <w:pPr>
                    <w:widowControl/>
                    <w:spacing w:line="340" w:lineRule="exact"/>
                    <w:jc w:val="center"/>
                    <w:rPr>
                      <w:color w:val="000000"/>
                      <w:szCs w:val="21"/>
                      <w:lang w:bidi="ar"/>
                    </w:rPr>
                  </w:pPr>
                  <w:r>
                    <w:rPr>
                      <w:rFonts w:hint="eastAsia"/>
                      <w:color w:val="000000"/>
                      <w:szCs w:val="21"/>
                      <w:lang w:bidi="ar"/>
                    </w:rPr>
                    <w:t>24444.4</w:t>
                  </w:r>
                </w:p>
              </w:tc>
              <w:tc>
                <w:tcPr>
                  <w:tcW w:w="1681" w:type="dxa"/>
                  <w:vAlign w:val="center"/>
                </w:tcPr>
                <w:p>
                  <w:pPr>
                    <w:spacing w:line="340" w:lineRule="exact"/>
                    <w:jc w:val="center"/>
                    <w:rPr>
                      <w:color w:val="000000"/>
                      <w:szCs w:val="21"/>
                    </w:rPr>
                  </w:pPr>
                  <w:r>
                    <w:rPr>
                      <w:rFonts w:hint="eastAsia"/>
                      <w:color w:val="000000"/>
                      <w:szCs w:val="21"/>
                      <w:lang w:val="en-US" w:eastAsia="zh-CN"/>
                    </w:rPr>
                    <w:t>86</w:t>
                  </w:r>
                  <w:r>
                    <w:rPr>
                      <w:rFonts w:hint="eastAsia"/>
                      <w:color w:val="000000"/>
                      <w:szCs w:val="21"/>
                    </w:rPr>
                    <w:t>%（与</w:t>
                  </w:r>
                  <w:r>
                    <w:rPr>
                      <w:rFonts w:hint="eastAsia"/>
                      <w:kern w:val="0"/>
                      <w:szCs w:val="21"/>
                    </w:rPr>
                    <w:t>甲苯及二甲苯</w:t>
                  </w:r>
                  <w:r>
                    <w:rPr>
                      <w:rFonts w:hint="eastAsia"/>
                      <w:color w:val="000000"/>
                      <w:szCs w:val="21"/>
                    </w:rPr>
                    <w:t>相差）</w:t>
                  </w:r>
                </w:p>
              </w:tc>
              <w:tc>
                <w:tcPr>
                  <w:tcW w:w="1993" w:type="dxa"/>
                  <w:vMerge w:val="continue"/>
                  <w:vAlign w:val="center"/>
                </w:tcPr>
                <w:p>
                  <w:pPr>
                    <w:jc w:val="center"/>
                    <w:rPr>
                      <w:color w:val="000000"/>
                      <w:szCs w:val="21"/>
                    </w:rPr>
                  </w:pPr>
                </w:p>
              </w:tc>
            </w:tr>
          </w:tbl>
          <w:p>
            <w:pPr>
              <w:spacing w:line="360" w:lineRule="auto"/>
              <w:ind w:firstLine="480" w:firstLineChars="200"/>
              <w:rPr>
                <w:rFonts w:eastAsia="黑体"/>
                <w:bCs/>
                <w:color w:val="000000"/>
                <w:kern w:val="0"/>
                <w:sz w:val="24"/>
                <w:szCs w:val="21"/>
              </w:rPr>
            </w:pPr>
            <w:r>
              <w:rPr>
                <w:rFonts w:hint="eastAsia"/>
                <w:color w:val="000000"/>
                <w:sz w:val="24"/>
              </w:rPr>
              <w:t>以喷漆房作为计算项目卫生防护距离的无组织排放单元，具体各种参数选取见表4-21。</w:t>
            </w:r>
          </w:p>
          <w:p>
            <w:pPr>
              <w:pStyle w:val="81"/>
              <w:spacing w:before="120"/>
              <w:rPr>
                <w:rFonts w:eastAsia="黑体"/>
                <w:b w:val="0"/>
              </w:rPr>
            </w:pPr>
            <w:r>
              <w:rPr>
                <w:rFonts w:hint="eastAsia" w:eastAsia="黑体"/>
                <w:b w:val="0"/>
              </w:rPr>
              <w:t>表4-21  无组织排放卫生防护距离的计算表</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52"/>
              <w:gridCol w:w="924"/>
              <w:gridCol w:w="1131"/>
              <w:gridCol w:w="1443"/>
              <w:gridCol w:w="1171"/>
              <w:gridCol w:w="1032"/>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92" w:type="pct"/>
                  <w:vAlign w:val="center"/>
                </w:tcPr>
                <w:p>
                  <w:pPr>
                    <w:pStyle w:val="135"/>
                    <w:snapToGrid w:val="0"/>
                    <w:spacing w:before="0" w:after="0" w:line="240" w:lineRule="auto"/>
                    <w:rPr>
                      <w:color w:val="000000"/>
                    </w:rPr>
                  </w:pPr>
                  <w:r>
                    <w:rPr>
                      <w:color w:val="000000"/>
                    </w:rPr>
                    <w:t>位置</w:t>
                  </w:r>
                </w:p>
              </w:tc>
              <w:tc>
                <w:tcPr>
                  <w:tcW w:w="506" w:type="pct"/>
                  <w:vAlign w:val="center"/>
                </w:tcPr>
                <w:p>
                  <w:pPr>
                    <w:pStyle w:val="135"/>
                    <w:snapToGrid w:val="0"/>
                    <w:spacing w:before="0" w:after="0" w:line="240" w:lineRule="auto"/>
                    <w:rPr>
                      <w:color w:val="000000"/>
                    </w:rPr>
                  </w:pPr>
                  <w:r>
                    <w:rPr>
                      <w:color w:val="000000"/>
                    </w:rPr>
                    <w:t>污染因子</w:t>
                  </w:r>
                </w:p>
              </w:tc>
              <w:tc>
                <w:tcPr>
                  <w:tcW w:w="549" w:type="pct"/>
                  <w:vAlign w:val="center"/>
                </w:tcPr>
                <w:p>
                  <w:pPr>
                    <w:pStyle w:val="135"/>
                    <w:snapToGrid w:val="0"/>
                    <w:spacing w:before="0" w:after="0" w:line="240" w:lineRule="auto"/>
                    <w:rPr>
                      <w:color w:val="000000"/>
                    </w:rPr>
                  </w:pPr>
                  <w:r>
                    <w:rPr>
                      <w:rFonts w:hint="eastAsia"/>
                      <w:color w:val="000000"/>
                      <w:sz w:val="21"/>
                      <w:szCs w:val="21"/>
                      <w:lang w:eastAsia="zh-CN"/>
                    </w:rPr>
                    <w:t>排放速率</w:t>
                  </w:r>
                  <w:r>
                    <w:rPr>
                      <w:color w:val="000000"/>
                      <w:sz w:val="21"/>
                      <w:szCs w:val="21"/>
                    </w:rPr>
                    <w:t>（kg/h）</w:t>
                  </w:r>
                </w:p>
              </w:tc>
              <w:tc>
                <w:tcPr>
                  <w:tcW w:w="672" w:type="pct"/>
                  <w:vAlign w:val="center"/>
                </w:tcPr>
                <w:p>
                  <w:pPr>
                    <w:pStyle w:val="135"/>
                    <w:snapToGrid w:val="0"/>
                    <w:spacing w:before="0" w:after="0" w:line="240" w:lineRule="auto"/>
                    <w:rPr>
                      <w:color w:val="000000"/>
                    </w:rPr>
                  </w:pPr>
                  <w:r>
                    <w:rPr>
                      <w:color w:val="000000"/>
                    </w:rPr>
                    <w:t>标准浓度限值（mg/m</w:t>
                  </w:r>
                  <w:r>
                    <w:rPr>
                      <w:color w:val="000000"/>
                      <w:vertAlign w:val="superscript"/>
                    </w:rPr>
                    <w:t>3</w:t>
                  </w:r>
                  <w:r>
                    <w:rPr>
                      <w:color w:val="000000"/>
                    </w:rPr>
                    <w:t>）</w:t>
                  </w:r>
                </w:p>
              </w:tc>
              <w:tc>
                <w:tcPr>
                  <w:tcW w:w="857" w:type="pct"/>
                  <w:vAlign w:val="center"/>
                </w:tcPr>
                <w:p>
                  <w:pPr>
                    <w:pStyle w:val="135"/>
                    <w:snapToGrid w:val="0"/>
                    <w:spacing w:before="0" w:after="0" w:line="240" w:lineRule="auto"/>
                    <w:rPr>
                      <w:color w:val="000000"/>
                    </w:rPr>
                  </w:pPr>
                  <w:r>
                    <w:rPr>
                      <w:color w:val="000000"/>
                    </w:rPr>
                    <w:t>生产单元占地面积（m</w:t>
                  </w:r>
                  <w:r>
                    <w:rPr>
                      <w:color w:val="000000"/>
                      <w:vertAlign w:val="superscript"/>
                    </w:rPr>
                    <w:t>2</w:t>
                  </w:r>
                  <w:r>
                    <w:rPr>
                      <w:color w:val="000000"/>
                    </w:rPr>
                    <w:t>）</w:t>
                  </w:r>
                </w:p>
              </w:tc>
              <w:tc>
                <w:tcPr>
                  <w:tcW w:w="695" w:type="pct"/>
                  <w:vAlign w:val="center"/>
                </w:tcPr>
                <w:p>
                  <w:pPr>
                    <w:pStyle w:val="135"/>
                    <w:snapToGrid w:val="0"/>
                    <w:spacing w:before="0" w:after="0" w:line="240" w:lineRule="auto"/>
                    <w:rPr>
                      <w:color w:val="000000"/>
                    </w:rPr>
                  </w:pPr>
                  <w:r>
                    <w:rPr>
                      <w:color w:val="000000"/>
                    </w:rPr>
                    <w:t>近5年平均风速（m/s）</w:t>
                  </w:r>
                </w:p>
              </w:tc>
              <w:tc>
                <w:tcPr>
                  <w:tcW w:w="613" w:type="pct"/>
                  <w:vAlign w:val="center"/>
                </w:tcPr>
                <w:p>
                  <w:pPr>
                    <w:pStyle w:val="135"/>
                    <w:snapToGrid w:val="0"/>
                    <w:spacing w:before="0" w:after="0" w:line="240" w:lineRule="auto"/>
                    <w:rPr>
                      <w:color w:val="000000"/>
                    </w:rPr>
                  </w:pPr>
                  <w:r>
                    <w:rPr>
                      <w:color w:val="000000"/>
                    </w:rPr>
                    <w:t>卫生防护距离（m）</w:t>
                  </w:r>
                </w:p>
              </w:tc>
              <w:tc>
                <w:tcPr>
                  <w:tcW w:w="613" w:type="pct"/>
                  <w:vAlign w:val="center"/>
                </w:tcPr>
                <w:p>
                  <w:pPr>
                    <w:pStyle w:val="135"/>
                    <w:snapToGrid w:val="0"/>
                    <w:spacing w:before="0" w:after="0" w:line="240" w:lineRule="auto"/>
                    <w:rPr>
                      <w:color w:val="000000"/>
                    </w:rPr>
                  </w:pPr>
                  <w:r>
                    <w:rPr>
                      <w:rFonts w:hint="eastAsia"/>
                      <w:color w:val="000000"/>
                    </w:rPr>
                    <w:t>卫生防护距离取值</w:t>
                  </w:r>
                  <w:r>
                    <w:rPr>
                      <w:color w:val="000000"/>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492" w:type="pct"/>
                  <w:vAlign w:val="center"/>
                </w:tcPr>
                <w:p>
                  <w:pPr>
                    <w:pStyle w:val="135"/>
                    <w:snapToGrid w:val="0"/>
                    <w:spacing w:before="0" w:after="0" w:line="240" w:lineRule="auto"/>
                    <w:rPr>
                      <w:color w:val="000000"/>
                    </w:rPr>
                  </w:pPr>
                  <w:r>
                    <w:rPr>
                      <w:rFonts w:hint="eastAsia"/>
                      <w:color w:val="000000"/>
                    </w:rPr>
                    <w:t>喷漆房</w:t>
                  </w:r>
                </w:p>
              </w:tc>
              <w:tc>
                <w:tcPr>
                  <w:tcW w:w="506" w:type="pct"/>
                  <w:vAlign w:val="center"/>
                </w:tcPr>
                <w:p>
                  <w:pPr>
                    <w:pStyle w:val="135"/>
                    <w:snapToGrid w:val="0"/>
                    <w:spacing w:before="0" w:after="0" w:line="240" w:lineRule="auto"/>
                    <w:rPr>
                      <w:color w:val="000000"/>
                    </w:rPr>
                  </w:pPr>
                  <w:r>
                    <w:rPr>
                      <w:rFonts w:hint="eastAsia"/>
                      <w:szCs w:val="21"/>
                    </w:rPr>
                    <w:t>甲苯及二甲苯</w:t>
                  </w:r>
                </w:p>
              </w:tc>
              <w:tc>
                <w:tcPr>
                  <w:tcW w:w="549" w:type="pct"/>
                  <w:vAlign w:val="center"/>
                </w:tcPr>
                <w:p>
                  <w:pPr>
                    <w:widowControl/>
                    <w:jc w:val="center"/>
                    <w:textAlignment w:val="center"/>
                    <w:rPr>
                      <w:color w:val="000000"/>
                      <w:szCs w:val="21"/>
                    </w:rPr>
                  </w:pPr>
                  <w:r>
                    <w:rPr>
                      <w:rFonts w:hint="eastAsia"/>
                      <w:color w:val="000000"/>
                      <w:szCs w:val="21"/>
                    </w:rPr>
                    <w:t>0.035</w:t>
                  </w:r>
                </w:p>
              </w:tc>
              <w:tc>
                <w:tcPr>
                  <w:tcW w:w="672" w:type="pct"/>
                  <w:vAlign w:val="center"/>
                </w:tcPr>
                <w:p>
                  <w:pPr>
                    <w:spacing w:line="340" w:lineRule="exact"/>
                    <w:jc w:val="center"/>
                    <w:rPr>
                      <w:color w:val="000000"/>
                      <w:szCs w:val="21"/>
                    </w:rPr>
                  </w:pPr>
                  <w:r>
                    <w:rPr>
                      <w:rFonts w:hint="eastAsia"/>
                      <w:color w:val="000000"/>
                      <w:szCs w:val="21"/>
                    </w:rPr>
                    <w:t>0.2</w:t>
                  </w:r>
                </w:p>
              </w:tc>
              <w:tc>
                <w:tcPr>
                  <w:tcW w:w="857" w:type="pct"/>
                  <w:vAlign w:val="center"/>
                </w:tcPr>
                <w:p>
                  <w:pPr>
                    <w:pStyle w:val="135"/>
                    <w:snapToGrid w:val="0"/>
                    <w:spacing w:before="0" w:after="0" w:line="240" w:lineRule="auto"/>
                    <w:rPr>
                      <w:color w:val="000000"/>
                    </w:rPr>
                  </w:pPr>
                  <w:r>
                    <w:rPr>
                      <w:rFonts w:hint="eastAsia"/>
                      <w:color w:val="000000"/>
                    </w:rPr>
                    <w:t>150</w:t>
                  </w:r>
                </w:p>
              </w:tc>
              <w:tc>
                <w:tcPr>
                  <w:tcW w:w="695" w:type="pct"/>
                  <w:vAlign w:val="center"/>
                </w:tcPr>
                <w:p>
                  <w:pPr>
                    <w:spacing w:line="340" w:lineRule="exact"/>
                    <w:jc w:val="center"/>
                    <w:rPr>
                      <w:color w:val="000000"/>
                      <w:kern w:val="0"/>
                    </w:rPr>
                  </w:pPr>
                  <w:r>
                    <w:rPr>
                      <w:rFonts w:hint="eastAsia"/>
                      <w:color w:val="000000"/>
                      <w:kern w:val="0"/>
                    </w:rPr>
                    <w:t>1.5</w:t>
                  </w:r>
                </w:p>
              </w:tc>
              <w:tc>
                <w:tcPr>
                  <w:tcW w:w="613" w:type="pct"/>
                  <w:vAlign w:val="center"/>
                </w:tcPr>
                <w:p>
                  <w:pPr>
                    <w:spacing w:line="340" w:lineRule="exact"/>
                    <w:jc w:val="center"/>
                    <w:rPr>
                      <w:color w:val="000000"/>
                      <w:kern w:val="0"/>
                    </w:rPr>
                  </w:pPr>
                  <w:r>
                    <w:rPr>
                      <w:rFonts w:hint="eastAsia"/>
                      <w:color w:val="000000"/>
                      <w:kern w:val="0"/>
                    </w:rPr>
                    <w:t>4.999</w:t>
                  </w:r>
                </w:p>
              </w:tc>
              <w:tc>
                <w:tcPr>
                  <w:tcW w:w="613" w:type="pct"/>
                  <w:vAlign w:val="center"/>
                </w:tcPr>
                <w:p>
                  <w:pPr>
                    <w:spacing w:line="340" w:lineRule="exact"/>
                    <w:jc w:val="center"/>
                    <w:rPr>
                      <w:color w:val="000000"/>
                      <w:kern w:val="0"/>
                    </w:rPr>
                  </w:pPr>
                  <w:r>
                    <w:rPr>
                      <w:rFonts w:hint="eastAsia"/>
                      <w:color w:val="000000"/>
                      <w:kern w:val="0"/>
                    </w:rPr>
                    <w:t>50</w:t>
                  </w:r>
                </w:p>
              </w:tc>
            </w:tr>
          </w:tbl>
          <w:p>
            <w:pPr>
              <w:adjustRightInd w:val="0"/>
              <w:snapToGrid w:val="0"/>
              <w:spacing w:line="360" w:lineRule="auto"/>
              <w:ind w:firstLine="480" w:firstLineChars="200"/>
              <w:rPr>
                <w:color w:val="000000"/>
                <w:sz w:val="24"/>
              </w:rPr>
            </w:pPr>
            <w:r>
              <w:rPr>
                <w:rFonts w:hint="eastAsia"/>
                <w:color w:val="000000"/>
                <w:sz w:val="24"/>
              </w:rPr>
              <w:t>经过计算，项目喷漆房卫生防护距离为4.999m，根据《大气有害物质无组织排放卫生防护距离推导技术导则》（GB/T 39499-2020），卫生防护距离初值小于50m时，级差为50m。如计算初值小于50m，卫生防护距离终值取50m。因此确定喷漆房卫生防护距离为50m。</w:t>
            </w:r>
          </w:p>
          <w:p>
            <w:pPr>
              <w:spacing w:line="360" w:lineRule="auto"/>
              <w:ind w:firstLine="480" w:firstLineChars="200"/>
              <w:rPr>
                <w:color w:val="000000"/>
                <w:sz w:val="24"/>
                <w:highlight w:val="yellow"/>
              </w:rPr>
            </w:pPr>
            <w:r>
              <w:rPr>
                <w:rFonts w:hint="eastAsia"/>
                <w:color w:val="000000"/>
                <w:sz w:val="24"/>
              </w:rPr>
              <w:t>经现场踏勘及周围敏感点调查情况，项目卫生防护距离范围内无敏感点，项目建设符合卫生防护距离的要求，项目卫生防护距离包络线图分别以生产车间、喷漆房的边界为起始位置，分别向外扩50m作为项目卫生防护距离包络线，在规划建设中，项目卫生防护距离范围内不得新建医院、学校、居住区等其他人群长期居住场所。项目卫生防护距离包络线图见附图</w:t>
            </w:r>
            <w:r>
              <w:rPr>
                <w:rFonts w:hint="eastAsia"/>
                <w:color w:val="000000"/>
                <w:sz w:val="24"/>
                <w:lang w:eastAsia="zh-CN"/>
              </w:rPr>
              <w:t>六</w:t>
            </w:r>
            <w:r>
              <w:rPr>
                <w:rFonts w:hint="eastAsia"/>
                <w:color w:val="000000"/>
                <w:sz w:val="24"/>
              </w:rPr>
              <w:t>。</w:t>
            </w:r>
          </w:p>
          <w:p>
            <w:pPr>
              <w:adjustRightInd w:val="0"/>
              <w:snapToGrid w:val="0"/>
              <w:spacing w:line="360" w:lineRule="auto"/>
              <w:ind w:firstLine="482" w:firstLineChars="200"/>
              <w:rPr>
                <w:b/>
                <w:sz w:val="24"/>
              </w:rPr>
            </w:pPr>
            <w:r>
              <w:rPr>
                <w:b/>
                <w:sz w:val="24"/>
              </w:rPr>
              <w:t>2、运营期废水环境影响和保护措施</w:t>
            </w:r>
          </w:p>
          <w:p>
            <w:pPr>
              <w:pStyle w:val="44"/>
              <w:spacing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本项目产生的废水主要为水帘机喷淋废水、员工生活污水。根据工程分析，水帘机喷淋废水循环使用不外排，</w:t>
            </w:r>
            <w:r>
              <w:rPr>
                <w:rFonts w:hint="eastAsia" w:ascii="Times New Roman" w:hAnsi="Times New Roman" w:cs="Times New Roman" w:eastAsiaTheme="minorEastAsia"/>
                <w:sz w:val="24"/>
                <w:lang w:eastAsia="zh-CN"/>
              </w:rPr>
              <w:t>每</w:t>
            </w:r>
            <w:r>
              <w:rPr>
                <w:rFonts w:hint="eastAsia" w:ascii="Times New Roman" w:hAnsi="Times New Roman" w:cs="Times New Roman" w:eastAsiaTheme="minorEastAsia"/>
                <w:sz w:val="24"/>
                <w:lang w:val="en-US" w:eastAsia="zh-CN"/>
              </w:rPr>
              <w:t>3个月</w:t>
            </w:r>
            <w:r>
              <w:rPr>
                <w:rFonts w:ascii="Times New Roman" w:hAnsi="Times New Roman" w:cs="Times New Roman" w:eastAsiaTheme="minorEastAsia"/>
                <w:sz w:val="24"/>
              </w:rPr>
              <w:t>更换</w:t>
            </w:r>
            <w:r>
              <w:rPr>
                <w:rFonts w:hint="eastAsia" w:ascii="Times New Roman" w:hAnsi="Times New Roman" w:cs="Times New Roman" w:eastAsiaTheme="minorEastAsia"/>
                <w:sz w:val="24"/>
              </w:rPr>
              <w:t>1</w:t>
            </w:r>
            <w:r>
              <w:rPr>
                <w:rFonts w:ascii="Times New Roman" w:hAnsi="Times New Roman" w:cs="Times New Roman" w:eastAsiaTheme="minorEastAsia"/>
                <w:sz w:val="24"/>
              </w:rPr>
              <w:t>次，更换下来的废水作为危险废物委托有资质单位处置，主要外排废水为生活污水。</w:t>
            </w:r>
          </w:p>
          <w:p>
            <w:pPr>
              <w:numPr>
                <w:ilvl w:val="0"/>
                <w:numId w:val="6"/>
              </w:numPr>
              <w:adjustRightInd w:val="0"/>
              <w:snapToGrid w:val="0"/>
              <w:spacing w:line="360" w:lineRule="auto"/>
              <w:ind w:firstLine="480" w:firstLineChars="200"/>
              <w:rPr>
                <w:rFonts w:eastAsiaTheme="minorEastAsia"/>
                <w:sz w:val="24"/>
              </w:rPr>
            </w:pPr>
            <w:r>
              <w:rPr>
                <w:rFonts w:eastAsiaTheme="minorEastAsia"/>
                <w:sz w:val="24"/>
              </w:rPr>
              <w:t>废水污染源分析</w:t>
            </w:r>
          </w:p>
          <w:p>
            <w:pPr>
              <w:adjustRightInd w:val="0"/>
              <w:snapToGrid w:val="0"/>
              <w:spacing w:line="360" w:lineRule="auto"/>
              <w:ind w:firstLine="480" w:firstLineChars="200"/>
              <w:rPr>
                <w:rFonts w:eastAsiaTheme="minorEastAsia"/>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eastAsiaTheme="minorEastAsia"/>
                <w:color w:val="000000" w:themeColor="text1"/>
                <w:sz w:val="24"/>
                <w14:textFill>
                  <w14:solidFill>
                    <w14:schemeClr w14:val="tx1"/>
                  </w14:solidFill>
                </w14:textFill>
              </w:rPr>
              <w:t>水帘机喷淋废水</w:t>
            </w:r>
          </w:p>
          <w:p>
            <w:pPr>
              <w:adjustRightInd w:val="0"/>
              <w:snapToGrid w:val="0"/>
              <w:spacing w:line="360" w:lineRule="auto"/>
              <w:ind w:firstLine="480" w:firstLineChars="200"/>
              <w:rPr>
                <w:rFonts w:eastAsiaTheme="minorEastAsia"/>
                <w:color w:val="000000" w:themeColor="text1"/>
                <w:sz w:val="24"/>
                <w:highlight w:val="none"/>
                <w14:textFill>
                  <w14:solidFill>
                    <w14:schemeClr w14:val="tx1"/>
                  </w14:solidFill>
                </w14:textFill>
              </w:rPr>
            </w:pPr>
            <w:r>
              <w:rPr>
                <w:rFonts w:eastAsiaTheme="minorEastAsia"/>
                <w:color w:val="000000" w:themeColor="text1"/>
                <w:sz w:val="24"/>
                <w:highlight w:val="none"/>
                <w14:textFill>
                  <w14:solidFill>
                    <w14:schemeClr w14:val="tx1"/>
                  </w14:solidFill>
                </w14:textFill>
              </w:rPr>
              <w:t>本项目喷漆工序产生的漆雾采用水帘除雾的净化处理方式处理，此过程会产生含有沉渣的废水，废水排入水帘除雾水箱内，沉淀后上层清液继续抽至水池循环使用，不外排，下层沉淀的沉渣定期清掏，沉渣收集后暂置于危废暂存间定期交由有资质的单位处置。本项目设有</w:t>
            </w:r>
            <w:r>
              <w:rPr>
                <w:rFonts w:hint="eastAsia" w:eastAsiaTheme="minorEastAsia"/>
                <w:color w:val="000000" w:themeColor="text1"/>
                <w:sz w:val="24"/>
                <w:highlight w:val="none"/>
                <w14:textFill>
                  <w14:solidFill>
                    <w14:schemeClr w14:val="tx1"/>
                  </w14:solidFill>
                </w14:textFill>
              </w:rPr>
              <w:t>3</w:t>
            </w:r>
            <w:r>
              <w:rPr>
                <w:rFonts w:eastAsiaTheme="minorEastAsia"/>
                <w:color w:val="000000" w:themeColor="text1"/>
                <w:sz w:val="24"/>
                <w:highlight w:val="none"/>
                <w14:textFill>
                  <w14:solidFill>
                    <w14:schemeClr w14:val="tx1"/>
                  </w14:solidFill>
                </w14:textFill>
              </w:rPr>
              <w:t>个喷漆房，因此本项目拟设置</w:t>
            </w:r>
            <w:r>
              <w:rPr>
                <w:rFonts w:hint="eastAsia" w:eastAsiaTheme="minorEastAsia"/>
                <w:color w:val="000000" w:themeColor="text1"/>
                <w:sz w:val="24"/>
                <w:highlight w:val="none"/>
                <w14:textFill>
                  <w14:solidFill>
                    <w14:schemeClr w14:val="tx1"/>
                  </w14:solidFill>
                </w14:textFill>
              </w:rPr>
              <w:t>3</w:t>
            </w:r>
            <w:r>
              <w:rPr>
                <w:rFonts w:eastAsiaTheme="minorEastAsia"/>
                <w:color w:val="000000" w:themeColor="text1"/>
                <w:sz w:val="24"/>
                <w:highlight w:val="none"/>
                <w14:textFill>
                  <w14:solidFill>
                    <w14:schemeClr w14:val="tx1"/>
                  </w14:solidFill>
                </w14:textFill>
              </w:rPr>
              <w:t>个水帘除雾水箱，各水箱尺寸为2.0m×2.0m×0.5m（有效水深0.</w:t>
            </w:r>
            <w:r>
              <w:rPr>
                <w:rFonts w:hint="eastAsia" w:eastAsiaTheme="minorEastAsia"/>
                <w:color w:val="000000" w:themeColor="text1"/>
                <w:sz w:val="24"/>
                <w:highlight w:val="none"/>
                <w14:textFill>
                  <w14:solidFill>
                    <w14:schemeClr w14:val="tx1"/>
                  </w14:solidFill>
                </w14:textFill>
              </w:rPr>
              <w:t>5</w:t>
            </w:r>
            <w:r>
              <w:rPr>
                <w:rFonts w:eastAsiaTheme="minorEastAsia"/>
                <w:color w:val="000000" w:themeColor="text1"/>
                <w:sz w:val="24"/>
                <w:highlight w:val="none"/>
                <w14:textFill>
                  <w14:solidFill>
                    <w14:schemeClr w14:val="tx1"/>
                  </w14:solidFill>
                </w14:textFill>
              </w:rPr>
              <w:t>m），水箱容积为2m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，水箱中循环水量为1m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，根据水箱容积推算出，水帘除雾水箱容积共计</w:t>
            </w:r>
            <w:r>
              <w:rPr>
                <w:rFonts w:hint="eastAsia" w:eastAsiaTheme="minorEastAsia"/>
                <w:color w:val="000000" w:themeColor="text1"/>
                <w:sz w:val="24"/>
                <w:highlight w:val="none"/>
                <w14:textFill>
                  <w14:solidFill>
                    <w14:schemeClr w14:val="tx1"/>
                  </w14:solidFill>
                </w14:textFill>
              </w:rPr>
              <w:t>6</w:t>
            </w:r>
            <w:r>
              <w:rPr>
                <w:rFonts w:eastAsiaTheme="minorEastAsia"/>
                <w:color w:val="000000" w:themeColor="text1"/>
                <w:sz w:val="24"/>
                <w:highlight w:val="none"/>
                <w14:textFill>
                  <w14:solidFill>
                    <w14:schemeClr w14:val="tx1"/>
                  </w14:solidFill>
                </w14:textFill>
              </w:rPr>
              <w:t>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，水箱中循环水量为3m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，部分处理水</w:t>
            </w:r>
            <w:r>
              <w:rPr>
                <w:rFonts w:hint="eastAsia" w:eastAsiaTheme="minorEastAsia"/>
                <w:color w:val="000000" w:themeColor="text1"/>
                <w:sz w:val="24"/>
                <w:highlight w:val="none"/>
                <w:lang w:eastAsia="zh-CN"/>
                <w14:textFill>
                  <w14:solidFill>
                    <w14:schemeClr w14:val="tx1"/>
                  </w14:solidFill>
                </w14:textFill>
              </w:rPr>
              <w:t>蒸发</w:t>
            </w:r>
            <w:r>
              <w:rPr>
                <w:rFonts w:eastAsiaTheme="minorEastAsia"/>
                <w:color w:val="000000" w:themeColor="text1"/>
                <w:sz w:val="24"/>
                <w:highlight w:val="none"/>
                <w14:textFill>
                  <w14:solidFill>
                    <w14:schemeClr w14:val="tx1"/>
                  </w14:solidFill>
                </w14:textFill>
              </w:rPr>
              <w:t>损耗，</w:t>
            </w:r>
            <w:r>
              <w:rPr>
                <w:rFonts w:hint="eastAsia" w:eastAsiaTheme="minorEastAsia"/>
                <w:color w:val="000000" w:themeColor="text1"/>
                <w:sz w:val="24"/>
                <w:highlight w:val="none"/>
                <w:lang w:eastAsia="zh-CN"/>
                <w14:textFill>
                  <w14:solidFill>
                    <w14:schemeClr w14:val="tx1"/>
                  </w14:solidFill>
                </w14:textFill>
              </w:rPr>
              <w:t>损耗量约为</w:t>
            </w:r>
            <w:r>
              <w:rPr>
                <w:rFonts w:eastAsiaTheme="minorEastAsia"/>
                <w:color w:val="000000" w:themeColor="text1"/>
                <w:sz w:val="24"/>
                <w:highlight w:val="none"/>
                <w14:textFill>
                  <w14:solidFill>
                    <w14:schemeClr w14:val="tx1"/>
                  </w14:solidFill>
                </w14:textFill>
              </w:rPr>
              <w:t>0.1m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/d</w:t>
            </w:r>
            <w:r>
              <w:rPr>
                <w:rFonts w:hint="eastAsia" w:eastAsiaTheme="minorEastAsia"/>
                <w:color w:val="000000" w:themeColor="text1"/>
                <w:sz w:val="24"/>
                <w:highlight w:val="none"/>
                <w:lang w:eastAsia="zh-CN"/>
                <w14:textFill>
                  <w14:solidFill>
                    <w14:schemeClr w14:val="tx1"/>
                  </w14:solidFill>
                </w14:textFill>
              </w:rPr>
              <w:t>，</w:t>
            </w:r>
            <w:r>
              <w:rPr>
                <w:rFonts w:eastAsiaTheme="minorEastAsia"/>
                <w:color w:val="000000" w:themeColor="text1"/>
                <w:sz w:val="24"/>
                <w:highlight w:val="none"/>
                <w14:textFill>
                  <w14:solidFill>
                    <w14:schemeClr w14:val="tx1"/>
                  </w14:solidFill>
                </w14:textFill>
              </w:rPr>
              <w:t>则</w:t>
            </w:r>
            <w:r>
              <w:rPr>
                <w:rFonts w:hint="eastAsia" w:eastAsiaTheme="minorEastAsia"/>
                <w:color w:val="000000" w:themeColor="text1"/>
                <w:sz w:val="24"/>
                <w:highlight w:val="none"/>
                <w:lang w:eastAsia="zh-CN"/>
                <w14:textFill>
                  <w14:solidFill>
                    <w14:schemeClr w14:val="tx1"/>
                  </w14:solidFill>
                </w14:textFill>
              </w:rPr>
              <w:t>新鲜水</w:t>
            </w:r>
            <w:r>
              <w:rPr>
                <w:rFonts w:eastAsiaTheme="minorEastAsia"/>
                <w:color w:val="000000" w:themeColor="text1"/>
                <w:sz w:val="24"/>
                <w:highlight w:val="none"/>
                <w14:textFill>
                  <w14:solidFill>
                    <w14:schemeClr w14:val="tx1"/>
                  </w14:solidFill>
                </w14:textFill>
              </w:rPr>
              <w:t>补充量为0.1m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/d（30m</w:t>
            </w:r>
            <w:r>
              <w:rPr>
                <w:rFonts w:eastAsiaTheme="minorEastAsia"/>
                <w:color w:val="000000" w:themeColor="text1"/>
                <w:sz w:val="24"/>
                <w:highlight w:val="none"/>
                <w:vertAlign w:val="superscript"/>
                <w14:textFill>
                  <w14:solidFill>
                    <w14:schemeClr w14:val="tx1"/>
                  </w14:solidFill>
                </w14:textFill>
              </w:rPr>
              <w:t>3</w:t>
            </w:r>
            <w:r>
              <w:rPr>
                <w:rFonts w:eastAsiaTheme="minorEastAsia"/>
                <w:color w:val="000000" w:themeColor="text1"/>
                <w:sz w:val="24"/>
                <w:highlight w:val="none"/>
                <w14:textFill>
                  <w14:solidFill>
                    <w14:schemeClr w14:val="tx1"/>
                  </w14:solidFill>
                </w14:textFill>
              </w:rPr>
              <w:t>/a）。</w:t>
            </w:r>
          </w:p>
          <w:p>
            <w:pPr>
              <w:pStyle w:val="44"/>
              <w:spacing w:line="360" w:lineRule="auto"/>
              <w:ind w:firstLine="480"/>
              <w:rPr>
                <w:rFonts w:ascii="Times New Roman" w:hAnsi="Times New Roman" w:cs="Times New Roman" w:eastAsiaTheme="minorEastAsia"/>
                <w:color w:val="000000" w:themeColor="text1"/>
                <w:sz w:val="24"/>
                <w:highlight w:val="none"/>
                <w14:textFill>
                  <w14:solidFill>
                    <w14:schemeClr w14:val="tx1"/>
                  </w14:solidFill>
                </w14:textFill>
              </w:rPr>
            </w:pPr>
            <w:r>
              <w:rPr>
                <w:rFonts w:ascii="Times New Roman" w:hAnsi="Times New Roman" w:cs="Times New Roman" w:eastAsiaTheme="minorEastAsia"/>
                <w:color w:val="000000" w:themeColor="text1"/>
                <w:sz w:val="24"/>
                <w:highlight w:val="none"/>
                <w14:textFill>
                  <w14:solidFill>
                    <w14:schemeClr w14:val="tx1"/>
                  </w14:solidFill>
                </w14:textFill>
              </w:rPr>
              <w:t>随着生产进行，水帘机和水喷淋内循环水因盐度升高达到饱和需要定期更换，确保废水对污染物的去除效率；否则水质恶化不仅影响喷淋净化效果，更影响车间环境卫生。项目水帘机和喷淋塔总储水量为3m</w:t>
            </w:r>
            <w:r>
              <w:rPr>
                <w:rFonts w:ascii="Times New Roman" w:hAnsi="Times New Roman" w:cs="Times New Roman" w:eastAsiaTheme="minorEastAsia"/>
                <w:color w:val="000000" w:themeColor="text1"/>
                <w:sz w:val="24"/>
                <w:highlight w:val="none"/>
                <w:vertAlign w:val="superscript"/>
                <w14:textFill>
                  <w14:solidFill>
                    <w14:schemeClr w14:val="tx1"/>
                  </w14:solidFill>
                </w14:textFill>
              </w:rPr>
              <w:t>3</w:t>
            </w:r>
            <w:r>
              <w:rPr>
                <w:rFonts w:ascii="Times New Roman" w:hAnsi="Times New Roman" w:cs="Times New Roman" w:eastAsiaTheme="minorEastAsia"/>
                <w:color w:val="000000" w:themeColor="text1"/>
                <w:sz w:val="24"/>
                <w:highlight w:val="none"/>
                <w14:textFill>
                  <w14:solidFill>
                    <w14:schemeClr w14:val="tx1"/>
                  </w14:solidFill>
                </w14:textFill>
              </w:rPr>
              <w:t>，根据同类型项目的类比分析，喷淋水预计每</w:t>
            </w:r>
            <w:r>
              <w:rPr>
                <w:rFonts w:hint="eastAsia" w:ascii="Times New Roman" w:hAnsi="Times New Roman" w:cs="Times New Roman" w:eastAsiaTheme="minorEastAsia"/>
                <w:color w:val="000000" w:themeColor="text1"/>
                <w:sz w:val="24"/>
                <w:highlight w:val="none"/>
                <w:lang w:val="en-US" w:eastAsia="zh-CN"/>
                <w14:textFill>
                  <w14:solidFill>
                    <w14:schemeClr w14:val="tx1"/>
                  </w14:solidFill>
                </w14:textFill>
              </w:rPr>
              <w:t>3个月</w:t>
            </w:r>
            <w:r>
              <w:rPr>
                <w:rFonts w:ascii="Times New Roman" w:hAnsi="Times New Roman" w:cs="Times New Roman" w:eastAsiaTheme="minorEastAsia"/>
                <w:color w:val="000000" w:themeColor="text1"/>
                <w:sz w:val="24"/>
                <w:highlight w:val="none"/>
                <w14:textFill>
                  <w14:solidFill>
                    <w14:schemeClr w14:val="tx1"/>
                  </w14:solidFill>
                </w14:textFill>
              </w:rPr>
              <w:t>更换1次，故每次更换量是3m</w:t>
            </w:r>
            <w:r>
              <w:rPr>
                <w:rFonts w:ascii="Times New Roman" w:hAnsi="Times New Roman" w:cs="Times New Roman" w:eastAsiaTheme="minorEastAsia"/>
                <w:color w:val="000000" w:themeColor="text1"/>
                <w:sz w:val="24"/>
                <w:highlight w:val="none"/>
                <w:vertAlign w:val="superscript"/>
                <w14:textFill>
                  <w14:solidFill>
                    <w14:schemeClr w14:val="tx1"/>
                  </w14:solidFill>
                </w14:textFill>
              </w:rPr>
              <w:t>3</w:t>
            </w:r>
            <w:r>
              <w:rPr>
                <w:rFonts w:ascii="Times New Roman" w:hAnsi="Times New Roman" w:cs="Times New Roman" w:eastAsiaTheme="minorEastAsia"/>
                <w:color w:val="000000" w:themeColor="text1"/>
                <w:sz w:val="24"/>
                <w:highlight w:val="none"/>
                <w14:textFill>
                  <w14:solidFill>
                    <w14:schemeClr w14:val="tx1"/>
                  </w14:solidFill>
                </w14:textFill>
              </w:rPr>
              <w:t>，年工作12个月，故喷淋废水每年更换量为</w:t>
            </w:r>
            <w:r>
              <w:rPr>
                <w:rFonts w:hint="eastAsia" w:ascii="Times New Roman" w:hAnsi="Times New Roman" w:cs="Times New Roman" w:eastAsiaTheme="minorEastAsia"/>
                <w:color w:val="000000" w:themeColor="text1"/>
                <w:sz w:val="24"/>
                <w:highlight w:val="none"/>
                <w:lang w:val="en-US" w:eastAsia="zh-CN"/>
                <w14:textFill>
                  <w14:solidFill>
                    <w14:schemeClr w14:val="tx1"/>
                  </w14:solidFill>
                </w14:textFill>
              </w:rPr>
              <w:t>12</w:t>
            </w:r>
            <w:r>
              <w:rPr>
                <w:rFonts w:ascii="Times New Roman" w:hAnsi="Times New Roman" w:cs="Times New Roman" w:eastAsiaTheme="minorEastAsia"/>
                <w:color w:val="000000" w:themeColor="text1"/>
                <w:sz w:val="24"/>
                <w:highlight w:val="none"/>
                <w14:textFill>
                  <w14:solidFill>
                    <w14:schemeClr w14:val="tx1"/>
                  </w14:solidFill>
                </w14:textFill>
              </w:rPr>
              <w:t>m</w:t>
            </w:r>
            <w:r>
              <w:rPr>
                <w:rFonts w:ascii="Times New Roman" w:hAnsi="Times New Roman" w:cs="Times New Roman" w:eastAsiaTheme="minorEastAsia"/>
                <w:color w:val="000000" w:themeColor="text1"/>
                <w:sz w:val="24"/>
                <w:highlight w:val="none"/>
                <w:vertAlign w:val="superscript"/>
                <w14:textFill>
                  <w14:solidFill>
                    <w14:schemeClr w14:val="tx1"/>
                  </w14:solidFill>
                </w14:textFill>
              </w:rPr>
              <w:t>3</w:t>
            </w:r>
            <w:r>
              <w:rPr>
                <w:rFonts w:ascii="Times New Roman" w:hAnsi="Times New Roman" w:cs="Times New Roman" w:eastAsiaTheme="minorEastAsia"/>
                <w:color w:val="000000" w:themeColor="text1"/>
                <w:sz w:val="24"/>
                <w:highlight w:val="none"/>
                <w14:textFill>
                  <w14:solidFill>
                    <w14:schemeClr w14:val="tx1"/>
                  </w14:solidFill>
                </w14:textFill>
              </w:rPr>
              <w:t>，该类废水不外排，定期委托该类废水处理能力的单位进行处理</w:t>
            </w:r>
            <w:r>
              <w:rPr>
                <w:rFonts w:hint="eastAsia" w:ascii="Times New Roman" w:hAnsi="Times New Roman" w:cs="Times New Roman" w:eastAsiaTheme="minorEastAsia"/>
                <w:color w:val="000000" w:themeColor="text1"/>
                <w:sz w:val="24"/>
                <w:highlight w:val="none"/>
                <w14:textFill>
                  <w14:solidFill>
                    <w14:schemeClr w14:val="tx1"/>
                  </w14:solidFill>
                </w14:textFill>
              </w:rPr>
              <w:t>。</w:t>
            </w:r>
          </w:p>
          <w:p>
            <w:pPr>
              <w:adjustRightInd w:val="0"/>
              <w:snapToGrid w:val="0"/>
              <w:spacing w:line="360" w:lineRule="auto"/>
              <w:ind w:firstLine="480" w:firstLineChars="200"/>
              <w:rPr>
                <w:sz w:val="24"/>
              </w:rPr>
            </w:pPr>
            <w:r>
              <w:rPr>
                <w:rFonts w:hint="eastAsia" w:ascii="宋体" w:hAnsi="宋体" w:cs="宋体"/>
                <w:sz w:val="24"/>
              </w:rPr>
              <w:t>②</w:t>
            </w:r>
            <w:r>
              <w:rPr>
                <w:sz w:val="24"/>
              </w:rPr>
              <w:t>生活污水</w:t>
            </w:r>
          </w:p>
          <w:p>
            <w:pPr>
              <w:adjustRightInd w:val="0"/>
              <w:snapToGrid w:val="0"/>
              <w:spacing w:line="360" w:lineRule="auto"/>
              <w:ind w:firstLine="480" w:firstLineChars="200"/>
              <w:rPr>
                <w:sz w:val="24"/>
              </w:rPr>
            </w:pPr>
            <w:r>
              <w:rPr>
                <w:sz w:val="24"/>
              </w:rPr>
              <w:t>本项目生产过程产生的废水主要是员工的生活污水，项目劳动定员</w:t>
            </w:r>
            <w:r>
              <w:rPr>
                <w:rFonts w:hint="eastAsia"/>
                <w:sz w:val="24"/>
              </w:rPr>
              <w:t>100</w:t>
            </w:r>
            <w:r>
              <w:rPr>
                <w:sz w:val="24"/>
              </w:rPr>
              <w:t>人，均不在厂区内食宿，依据《建筑给水排水设计规范》（GB 50015-2003）和《江西省城市生活用水定额》（DB36/T419-2017）中的相关规定，非住宿员工用水量按50L/人·d计，每年生产300天，生活用水量</w:t>
            </w:r>
            <w:r>
              <w:rPr>
                <w:rFonts w:hint="eastAsia"/>
                <w:sz w:val="24"/>
              </w:rPr>
              <w:t>1500</w:t>
            </w:r>
            <w:r>
              <w:rPr>
                <w:sz w:val="24"/>
              </w:rPr>
              <w:t>m</w:t>
            </w:r>
            <w:r>
              <w:rPr>
                <w:sz w:val="24"/>
                <w:vertAlign w:val="superscript"/>
              </w:rPr>
              <w:t>3</w:t>
            </w:r>
            <w:r>
              <w:rPr>
                <w:sz w:val="24"/>
              </w:rPr>
              <w:t>/a（5m</w:t>
            </w:r>
            <w:r>
              <w:rPr>
                <w:sz w:val="24"/>
                <w:vertAlign w:val="superscript"/>
              </w:rPr>
              <w:t>3</w:t>
            </w:r>
            <w:r>
              <w:rPr>
                <w:sz w:val="24"/>
              </w:rPr>
              <w:t>/d），产污率按80%计，生活污水产生量</w:t>
            </w:r>
            <w:r>
              <w:rPr>
                <w:rFonts w:hint="eastAsia"/>
                <w:sz w:val="24"/>
              </w:rPr>
              <w:t>4</w:t>
            </w:r>
            <w:r>
              <w:rPr>
                <w:sz w:val="24"/>
              </w:rPr>
              <w:t>m</w:t>
            </w:r>
            <w:r>
              <w:rPr>
                <w:sz w:val="24"/>
                <w:vertAlign w:val="superscript"/>
              </w:rPr>
              <w:t>3</w:t>
            </w:r>
            <w:r>
              <w:rPr>
                <w:sz w:val="24"/>
              </w:rPr>
              <w:t>/d（</w:t>
            </w:r>
            <w:r>
              <w:rPr>
                <w:rFonts w:hint="eastAsia"/>
                <w:sz w:val="24"/>
              </w:rPr>
              <w:t>12</w:t>
            </w:r>
            <w:r>
              <w:rPr>
                <w:sz w:val="24"/>
              </w:rPr>
              <w:t>00m</w:t>
            </w:r>
            <w:r>
              <w:rPr>
                <w:sz w:val="24"/>
                <w:vertAlign w:val="superscript"/>
              </w:rPr>
              <w:t>3</w:t>
            </w:r>
            <w:r>
              <w:rPr>
                <w:sz w:val="24"/>
              </w:rPr>
              <w:t>/a）。生活污水中主要污染物浓度为CODcr250mg/L、BOD</w:t>
            </w:r>
            <w:r>
              <w:rPr>
                <w:sz w:val="24"/>
                <w:vertAlign w:val="subscript"/>
              </w:rPr>
              <w:t>5</w:t>
            </w:r>
            <w:r>
              <w:rPr>
                <w:sz w:val="24"/>
              </w:rPr>
              <w:t>100mg/L、SS150mg/L、NH</w:t>
            </w:r>
            <w:r>
              <w:rPr>
                <w:sz w:val="24"/>
                <w:vertAlign w:val="subscript"/>
              </w:rPr>
              <w:t>3</w:t>
            </w:r>
            <w:r>
              <w:rPr>
                <w:sz w:val="24"/>
              </w:rPr>
              <w:t>-N25mg/L。项目废水产生情况见表4-</w:t>
            </w:r>
            <w:r>
              <w:rPr>
                <w:rFonts w:hint="eastAsia"/>
                <w:sz w:val="24"/>
              </w:rPr>
              <w:t>23</w:t>
            </w:r>
            <w:r>
              <w:rPr>
                <w:sz w:val="24"/>
              </w:rPr>
              <w:t>。</w:t>
            </w:r>
          </w:p>
          <w:p>
            <w:pPr>
              <w:pStyle w:val="128"/>
              <w:widowControl/>
              <w:adjustRightInd w:val="0"/>
              <w:ind w:firstLine="480"/>
              <w:rPr>
                <w:color w:val="0000FF"/>
              </w:rPr>
            </w:pPr>
            <w:r>
              <w:rPr>
                <w:rFonts w:hint="eastAsia"/>
                <w:color w:val="0000FF"/>
              </w:rPr>
              <w:t>项目新鲜水用量为</w:t>
            </w:r>
            <w:r>
              <w:rPr>
                <w:rFonts w:hint="eastAsia"/>
                <w:color w:val="0000FF"/>
                <w:lang w:val="en-US" w:eastAsia="zh-CN"/>
              </w:rPr>
              <w:t>5.14</w:t>
            </w:r>
            <w:r>
              <w:rPr>
                <w:color w:val="0000FF"/>
              </w:rPr>
              <w:t>m</w:t>
            </w:r>
            <w:r>
              <w:rPr>
                <w:color w:val="0000FF"/>
                <w:vertAlign w:val="superscript"/>
              </w:rPr>
              <w:t>3</w:t>
            </w:r>
            <w:r>
              <w:rPr>
                <w:color w:val="0000FF"/>
              </w:rPr>
              <w:t>/d</w:t>
            </w:r>
            <w:r>
              <w:rPr>
                <w:rFonts w:hint="eastAsia"/>
                <w:color w:val="0000FF"/>
              </w:rPr>
              <w:t>，废水排放量为</w:t>
            </w:r>
            <w:r>
              <w:rPr>
                <w:rFonts w:hint="eastAsia"/>
                <w:color w:val="0000FF"/>
                <w:lang w:val="en-US" w:eastAsia="zh-CN"/>
              </w:rPr>
              <w:t>4</w:t>
            </w:r>
            <w:r>
              <w:rPr>
                <w:color w:val="0000FF"/>
              </w:rPr>
              <w:t>m</w:t>
            </w:r>
            <w:r>
              <w:rPr>
                <w:color w:val="0000FF"/>
                <w:vertAlign w:val="superscript"/>
              </w:rPr>
              <w:t>3</w:t>
            </w:r>
            <w:r>
              <w:rPr>
                <w:color w:val="0000FF"/>
              </w:rPr>
              <w:t>/d</w:t>
            </w:r>
            <w:r>
              <w:rPr>
                <w:rFonts w:hint="eastAsia"/>
                <w:color w:val="0000FF"/>
              </w:rPr>
              <w:t>。</w:t>
            </w:r>
          </w:p>
          <w:p>
            <w:pPr>
              <w:pStyle w:val="128"/>
              <w:widowControl/>
              <w:adjustRightInd w:val="0"/>
              <w:spacing w:line="240" w:lineRule="auto"/>
              <w:ind w:firstLine="0" w:firstLineChars="0"/>
              <w:jc w:val="center"/>
              <w:rPr>
                <w:rFonts w:hint="eastAsia" w:ascii="宋体" w:hAnsi="宋体" w:cs="宋体"/>
                <w:color w:val="0000FF"/>
              </w:rPr>
            </w:pPr>
          </w:p>
          <w:p>
            <w:pPr>
              <w:pStyle w:val="128"/>
              <w:widowControl/>
              <w:adjustRightInd w:val="0"/>
              <w:spacing w:line="240" w:lineRule="auto"/>
              <w:ind w:firstLine="0" w:firstLineChars="0"/>
              <w:jc w:val="center"/>
              <w:rPr>
                <w:rFonts w:hint="eastAsia" w:ascii="宋体" w:hAnsi="宋体" w:cs="宋体"/>
                <w:color w:val="0000FF"/>
              </w:rPr>
            </w:pPr>
          </w:p>
          <w:p>
            <w:pPr>
              <w:pStyle w:val="128"/>
              <w:widowControl/>
              <w:adjustRightInd w:val="0"/>
              <w:spacing w:line="240" w:lineRule="auto"/>
              <w:ind w:firstLine="0" w:firstLineChars="0"/>
              <w:jc w:val="center"/>
              <w:rPr>
                <w:rFonts w:hint="eastAsia" w:ascii="宋体" w:hAnsi="宋体" w:cs="宋体"/>
                <w:color w:val="0000FF"/>
              </w:rPr>
            </w:pPr>
          </w:p>
          <w:p>
            <w:pPr>
              <w:pStyle w:val="128"/>
              <w:widowControl/>
              <w:adjustRightInd w:val="0"/>
              <w:spacing w:line="240" w:lineRule="auto"/>
              <w:ind w:firstLine="0" w:firstLineChars="0"/>
              <w:jc w:val="center"/>
              <w:rPr>
                <w:rFonts w:hint="eastAsia" w:ascii="宋体" w:hAnsi="宋体" w:cs="宋体"/>
                <w:color w:val="0000FF"/>
              </w:rPr>
            </w:pPr>
          </w:p>
          <w:p>
            <w:pPr>
              <w:pStyle w:val="128"/>
              <w:widowControl/>
              <w:adjustRightInd w:val="0"/>
              <w:spacing w:line="240" w:lineRule="auto"/>
              <w:ind w:firstLine="0" w:firstLineChars="0"/>
              <w:jc w:val="center"/>
              <w:rPr>
                <w:rFonts w:hint="eastAsia" w:ascii="宋体" w:hAnsi="宋体" w:cs="宋体"/>
                <w:b w:val="0"/>
                <w:bCs w:val="0"/>
                <w:color w:val="0000FF"/>
              </w:rPr>
            </w:pPr>
            <w:r>
              <w:rPr>
                <w:rFonts w:hint="eastAsia" w:eastAsia="黑体"/>
                <w:b w:val="0"/>
                <w:bCs w:val="0"/>
                <w:color w:val="0000FF"/>
              </w:rPr>
              <w:t>表4-2</w:t>
            </w:r>
            <w:r>
              <w:rPr>
                <w:rFonts w:hint="eastAsia" w:eastAsia="黑体"/>
                <w:b w:val="0"/>
                <w:bCs w:val="0"/>
                <w:color w:val="0000FF"/>
                <w:lang w:val="en-US" w:eastAsia="zh-CN"/>
              </w:rPr>
              <w:t xml:space="preserve">2 </w:t>
            </w:r>
            <w:r>
              <w:rPr>
                <w:rFonts w:hint="eastAsia" w:ascii="宋体" w:hAnsi="宋体" w:cs="宋体"/>
                <w:b w:val="0"/>
                <w:bCs w:val="0"/>
                <w:color w:val="0000FF"/>
              </w:rPr>
              <w:t xml:space="preserve"> </w:t>
            </w:r>
            <w:r>
              <w:rPr>
                <w:rFonts w:hint="eastAsia" w:ascii="黑体" w:hAnsi="黑体" w:eastAsia="黑体" w:cs="黑体"/>
                <w:b w:val="0"/>
                <w:bCs w:val="0"/>
                <w:color w:val="0000FF"/>
              </w:rPr>
              <w:t>项目给排水量一览表</w:t>
            </w:r>
          </w:p>
          <w:tbl>
            <w:tblPr>
              <w:tblStyle w:val="33"/>
              <w:tblW w:w="500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806"/>
              <w:gridCol w:w="1593"/>
              <w:gridCol w:w="1356"/>
              <w:gridCol w:w="2024"/>
              <w:gridCol w:w="1639"/>
              <w:gridCol w:w="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57" w:type="pct"/>
                <w:trHeight w:val="374" w:hRule="atLeast"/>
              </w:trPr>
              <w:tc>
                <w:tcPr>
                  <w:tcW w:w="1060" w:type="pct"/>
                  <w:tcBorders>
                    <w:tl2br w:val="nil"/>
                    <w:tr2bl w:val="nil"/>
                  </w:tcBorders>
                  <w:noWrap w:val="0"/>
                  <w:vAlign w:val="center"/>
                </w:tcPr>
                <w:p>
                  <w:pPr>
                    <w:pStyle w:val="113"/>
                    <w:adjustRightInd w:val="0"/>
                    <w:snapToGrid w:val="0"/>
                    <w:jc w:val="center"/>
                    <w:rPr>
                      <w:color w:val="0000FF"/>
                      <w:szCs w:val="21"/>
                    </w:rPr>
                  </w:pPr>
                  <w:r>
                    <w:rPr>
                      <w:color w:val="0000FF"/>
                      <w:szCs w:val="21"/>
                    </w:rPr>
                    <w:t>废水种类</w:t>
                  </w:r>
                </w:p>
              </w:tc>
              <w:tc>
                <w:tcPr>
                  <w:tcW w:w="935" w:type="pct"/>
                  <w:tcBorders>
                    <w:tl2br w:val="nil"/>
                    <w:tr2bl w:val="nil"/>
                  </w:tcBorders>
                  <w:noWrap w:val="0"/>
                  <w:vAlign w:val="center"/>
                </w:tcPr>
                <w:p>
                  <w:pPr>
                    <w:pStyle w:val="113"/>
                    <w:adjustRightInd w:val="0"/>
                    <w:snapToGrid w:val="0"/>
                    <w:jc w:val="center"/>
                    <w:rPr>
                      <w:color w:val="0000FF"/>
                      <w:szCs w:val="21"/>
                    </w:rPr>
                  </w:pPr>
                  <w:r>
                    <w:rPr>
                      <w:color w:val="0000FF"/>
                      <w:szCs w:val="21"/>
                    </w:rPr>
                    <w:t>规模</w:t>
                  </w:r>
                </w:p>
              </w:tc>
              <w:tc>
                <w:tcPr>
                  <w:tcW w:w="796" w:type="pct"/>
                  <w:tcBorders>
                    <w:tl2br w:val="nil"/>
                    <w:tr2bl w:val="nil"/>
                  </w:tcBorders>
                  <w:noWrap w:val="0"/>
                  <w:vAlign w:val="center"/>
                </w:tcPr>
                <w:p>
                  <w:pPr>
                    <w:pStyle w:val="113"/>
                    <w:adjustRightInd w:val="0"/>
                    <w:snapToGrid w:val="0"/>
                    <w:jc w:val="center"/>
                    <w:rPr>
                      <w:color w:val="0000FF"/>
                      <w:szCs w:val="21"/>
                    </w:rPr>
                  </w:pPr>
                  <w:r>
                    <w:rPr>
                      <w:color w:val="0000FF"/>
                      <w:szCs w:val="21"/>
                    </w:rPr>
                    <w:t>用水标准</w:t>
                  </w:r>
                </w:p>
              </w:tc>
              <w:tc>
                <w:tcPr>
                  <w:tcW w:w="1188" w:type="pct"/>
                  <w:tcBorders>
                    <w:tl2br w:val="nil"/>
                    <w:tr2bl w:val="nil"/>
                  </w:tcBorders>
                  <w:noWrap w:val="0"/>
                  <w:vAlign w:val="center"/>
                </w:tcPr>
                <w:p>
                  <w:pPr>
                    <w:pStyle w:val="113"/>
                    <w:adjustRightInd w:val="0"/>
                    <w:snapToGrid w:val="0"/>
                    <w:jc w:val="center"/>
                    <w:rPr>
                      <w:color w:val="0000FF"/>
                      <w:szCs w:val="21"/>
                    </w:rPr>
                  </w:pPr>
                  <w:r>
                    <w:rPr>
                      <w:color w:val="0000FF"/>
                      <w:spacing w:val="-17"/>
                      <w:szCs w:val="21"/>
                    </w:rPr>
                    <w:t>日用水量</w:t>
                  </w:r>
                  <w:r>
                    <w:rPr>
                      <w:rFonts w:ascii="Times New Roman" w:hAnsi="Times New Roman" w:cs="Times New Roman"/>
                      <w:color w:val="0000FF"/>
                      <w:szCs w:val="21"/>
                    </w:rPr>
                    <w:t>（m</w:t>
                  </w:r>
                  <w:r>
                    <w:rPr>
                      <w:rFonts w:ascii="Times New Roman" w:hAnsi="Times New Roman" w:cs="Times New Roman"/>
                      <w:color w:val="0000FF"/>
                      <w:szCs w:val="21"/>
                      <w:vertAlign w:val="superscript"/>
                    </w:rPr>
                    <w:t>3</w:t>
                  </w:r>
                  <w:r>
                    <w:rPr>
                      <w:rFonts w:ascii="Times New Roman" w:hAnsi="Times New Roman" w:cs="Times New Roman"/>
                      <w:color w:val="0000FF"/>
                      <w:szCs w:val="21"/>
                    </w:rPr>
                    <w:t>/d）</w:t>
                  </w:r>
                </w:p>
              </w:tc>
              <w:tc>
                <w:tcPr>
                  <w:tcW w:w="962" w:type="pct"/>
                  <w:tcBorders>
                    <w:tl2br w:val="nil"/>
                    <w:tr2bl w:val="nil"/>
                  </w:tcBorders>
                  <w:noWrap w:val="0"/>
                  <w:vAlign w:val="center"/>
                </w:tcPr>
                <w:p>
                  <w:pPr>
                    <w:pStyle w:val="113"/>
                    <w:adjustRightInd w:val="0"/>
                    <w:snapToGrid w:val="0"/>
                    <w:jc w:val="center"/>
                    <w:rPr>
                      <w:color w:val="0000FF"/>
                      <w:szCs w:val="21"/>
                    </w:rPr>
                  </w:pPr>
                  <w:r>
                    <w:rPr>
                      <w:color w:val="0000FF"/>
                      <w:szCs w:val="21"/>
                    </w:rPr>
                    <w:t>排水量</w:t>
                  </w:r>
                  <w:r>
                    <w:rPr>
                      <w:rFonts w:ascii="Times New Roman" w:hAnsi="Times New Roman" w:cs="Times New Roman"/>
                      <w:color w:val="0000FF"/>
                      <w:szCs w:val="21"/>
                    </w:rPr>
                    <w:t>（m</w:t>
                  </w:r>
                  <w:r>
                    <w:rPr>
                      <w:rFonts w:ascii="Times New Roman" w:hAnsi="Times New Roman" w:cs="Times New Roman"/>
                      <w:color w:val="0000FF"/>
                      <w:szCs w:val="21"/>
                      <w:vertAlign w:val="superscript"/>
                    </w:rPr>
                    <w:t>3</w:t>
                  </w:r>
                  <w:r>
                    <w:rPr>
                      <w:rFonts w:ascii="Times New Roman" w:hAnsi="Times New Roman" w:cs="Times New Roman"/>
                      <w:color w:val="0000FF"/>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57" w:type="pct"/>
                <w:trHeight w:val="556" w:hRule="atLeast"/>
              </w:trPr>
              <w:tc>
                <w:tcPr>
                  <w:tcW w:w="1060" w:type="pct"/>
                  <w:tcBorders>
                    <w:tl2br w:val="nil"/>
                    <w:tr2bl w:val="nil"/>
                  </w:tcBorders>
                  <w:noWrap w:val="0"/>
                  <w:vAlign w:val="center"/>
                </w:tcPr>
                <w:p>
                  <w:pPr>
                    <w:pStyle w:val="113"/>
                    <w:adjustRightInd w:val="0"/>
                    <w:snapToGrid w:val="0"/>
                    <w:jc w:val="center"/>
                    <w:rPr>
                      <w:color w:val="0000FF"/>
                      <w:szCs w:val="21"/>
                    </w:rPr>
                  </w:pPr>
                  <w:r>
                    <w:rPr>
                      <w:rFonts w:hint="eastAsia"/>
                      <w:color w:val="0000FF"/>
                      <w:szCs w:val="21"/>
                    </w:rPr>
                    <w:t>水帘机喷淋废水</w:t>
                  </w:r>
                </w:p>
              </w:tc>
              <w:tc>
                <w:tcPr>
                  <w:tcW w:w="935" w:type="pct"/>
                  <w:tcBorders>
                    <w:tl2br w:val="nil"/>
                    <w:tr2bl w:val="nil"/>
                  </w:tcBorders>
                  <w:noWrap w:val="0"/>
                  <w:vAlign w:val="center"/>
                </w:tcPr>
                <w:p>
                  <w:pPr>
                    <w:adjustRightInd w:val="0"/>
                    <w:snapToGrid w:val="0"/>
                    <w:jc w:val="center"/>
                    <w:rPr>
                      <w:color w:val="0000FF"/>
                      <w:szCs w:val="21"/>
                    </w:rPr>
                  </w:pPr>
                  <w:r>
                    <w:rPr>
                      <w:rFonts w:hint="eastAsia"/>
                      <w:color w:val="0000FF"/>
                      <w:szCs w:val="21"/>
                    </w:rPr>
                    <w:t>/</w:t>
                  </w:r>
                </w:p>
              </w:tc>
              <w:tc>
                <w:tcPr>
                  <w:tcW w:w="796" w:type="pct"/>
                  <w:tcBorders>
                    <w:tl2br w:val="nil"/>
                    <w:tr2bl w:val="nil"/>
                  </w:tcBorders>
                  <w:noWrap w:val="0"/>
                  <w:vAlign w:val="center"/>
                </w:tcPr>
                <w:p>
                  <w:pPr>
                    <w:adjustRightInd w:val="0"/>
                    <w:snapToGrid w:val="0"/>
                    <w:jc w:val="center"/>
                    <w:rPr>
                      <w:color w:val="0000FF"/>
                      <w:szCs w:val="21"/>
                    </w:rPr>
                  </w:pPr>
                  <w:r>
                    <w:rPr>
                      <w:rFonts w:hint="eastAsia"/>
                      <w:color w:val="0000FF"/>
                      <w:szCs w:val="21"/>
                    </w:rPr>
                    <w:t>/</w:t>
                  </w:r>
                </w:p>
              </w:tc>
              <w:tc>
                <w:tcPr>
                  <w:tcW w:w="1188" w:type="pct"/>
                  <w:tcBorders>
                    <w:tl2br w:val="nil"/>
                    <w:tr2bl w:val="nil"/>
                  </w:tcBorders>
                  <w:noWrap w:val="0"/>
                  <w:vAlign w:val="center"/>
                </w:tcPr>
                <w:p>
                  <w:pPr>
                    <w:widowControl/>
                    <w:jc w:val="center"/>
                    <w:textAlignment w:val="center"/>
                    <w:rPr>
                      <w:rFonts w:hint="default" w:eastAsia="宋体"/>
                      <w:color w:val="0000FF"/>
                      <w:szCs w:val="21"/>
                      <w:lang w:val="en-US" w:eastAsia="zh-CN"/>
                    </w:rPr>
                  </w:pPr>
                  <w:r>
                    <w:rPr>
                      <w:rFonts w:hint="eastAsia"/>
                      <w:color w:val="0000FF"/>
                      <w:kern w:val="0"/>
                      <w:szCs w:val="21"/>
                      <w:lang w:val="en-US" w:eastAsia="zh-CN" w:bidi="ar"/>
                    </w:rPr>
                    <w:t>0.14</w:t>
                  </w:r>
                </w:p>
              </w:tc>
              <w:tc>
                <w:tcPr>
                  <w:tcW w:w="962" w:type="pct"/>
                  <w:tcBorders>
                    <w:tl2br w:val="nil"/>
                    <w:tr2bl w:val="nil"/>
                  </w:tcBorders>
                  <w:noWrap w:val="0"/>
                  <w:vAlign w:val="center"/>
                </w:tcPr>
                <w:p>
                  <w:pPr>
                    <w:widowControl/>
                    <w:jc w:val="center"/>
                    <w:textAlignment w:val="center"/>
                    <w:rPr>
                      <w:color w:val="0000FF"/>
                      <w:szCs w:val="21"/>
                    </w:rPr>
                  </w:pPr>
                  <w:r>
                    <w:rPr>
                      <w:rFonts w:hint="eastAsia"/>
                      <w:color w:val="0000FF"/>
                      <w:szCs w:val="21"/>
                    </w:rPr>
                    <w:t>0（</w:t>
                  </w:r>
                  <w:r>
                    <w:rPr>
                      <w:rFonts w:hint="eastAsia"/>
                      <w:color w:val="0000FF"/>
                      <w:lang w:val="en-US" w:eastAsia="zh-CN"/>
                    </w:rPr>
                    <w:t>0.04</w:t>
                  </w:r>
                  <w:r>
                    <w:rPr>
                      <w:rFonts w:hint="eastAsia"/>
                      <w:color w:val="0000FF"/>
                    </w:rPr>
                    <w:t>委托由资质单位处置</w:t>
                  </w:r>
                  <w:r>
                    <w:rPr>
                      <w:rFonts w:hint="eastAsia"/>
                      <w:color w:val="0000FF"/>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1060" w:type="pct"/>
                  <w:tcBorders>
                    <w:tl2br w:val="nil"/>
                    <w:tr2bl w:val="nil"/>
                  </w:tcBorders>
                  <w:noWrap w:val="0"/>
                  <w:vAlign w:val="center"/>
                </w:tcPr>
                <w:p>
                  <w:pPr>
                    <w:pStyle w:val="113"/>
                    <w:adjustRightInd w:val="0"/>
                    <w:snapToGrid w:val="0"/>
                    <w:jc w:val="center"/>
                    <w:rPr>
                      <w:color w:val="0000FF"/>
                      <w:szCs w:val="21"/>
                    </w:rPr>
                  </w:pPr>
                  <w:r>
                    <w:rPr>
                      <w:rFonts w:hint="eastAsia"/>
                      <w:color w:val="0000FF"/>
                      <w:szCs w:val="21"/>
                    </w:rPr>
                    <w:t>生活污水</w:t>
                  </w:r>
                </w:p>
              </w:tc>
              <w:tc>
                <w:tcPr>
                  <w:tcW w:w="935" w:type="pct"/>
                  <w:tcBorders>
                    <w:tl2br w:val="nil"/>
                    <w:tr2bl w:val="nil"/>
                  </w:tcBorders>
                  <w:noWrap w:val="0"/>
                  <w:vAlign w:val="center"/>
                </w:tcPr>
                <w:p>
                  <w:pPr>
                    <w:pStyle w:val="113"/>
                    <w:adjustRightInd w:val="0"/>
                    <w:snapToGrid w:val="0"/>
                    <w:jc w:val="center"/>
                    <w:rPr>
                      <w:color w:val="0000FF"/>
                      <w:szCs w:val="21"/>
                    </w:rPr>
                  </w:pPr>
                  <w:r>
                    <w:rPr>
                      <w:rFonts w:hint="eastAsia" w:ascii="Times New Roman" w:hAnsi="Times New Roman" w:cs="Times New Roman"/>
                      <w:color w:val="0000FF"/>
                      <w:szCs w:val="21"/>
                      <w:lang w:val="en-US" w:eastAsia="zh-CN"/>
                    </w:rPr>
                    <w:t>100</w:t>
                  </w:r>
                  <w:r>
                    <w:rPr>
                      <w:rFonts w:hint="eastAsia"/>
                      <w:color w:val="0000FF"/>
                      <w:szCs w:val="21"/>
                    </w:rPr>
                    <w:t>人</w:t>
                  </w:r>
                </w:p>
              </w:tc>
              <w:tc>
                <w:tcPr>
                  <w:tcW w:w="796" w:type="pct"/>
                  <w:tcBorders>
                    <w:tl2br w:val="nil"/>
                    <w:tr2bl w:val="nil"/>
                  </w:tcBorders>
                  <w:noWrap w:val="0"/>
                  <w:vAlign w:val="center"/>
                </w:tcPr>
                <w:p>
                  <w:pPr>
                    <w:pStyle w:val="113"/>
                    <w:adjustRightInd w:val="0"/>
                    <w:snapToGrid w:val="0"/>
                    <w:jc w:val="center"/>
                    <w:rPr>
                      <w:rFonts w:hint="eastAsia"/>
                      <w:color w:val="0000FF"/>
                      <w:szCs w:val="21"/>
                    </w:rPr>
                  </w:pPr>
                  <w:r>
                    <w:rPr>
                      <w:rFonts w:ascii="Times New Roman" w:hAnsi="Times New Roman" w:cs="Times New Roman"/>
                      <w:color w:val="0000FF"/>
                      <w:szCs w:val="21"/>
                    </w:rPr>
                    <w:t>50L/人·d</w:t>
                  </w:r>
                </w:p>
              </w:tc>
              <w:tc>
                <w:tcPr>
                  <w:tcW w:w="1188" w:type="pct"/>
                  <w:tcBorders>
                    <w:tl2br w:val="nil"/>
                    <w:tr2bl w:val="nil"/>
                  </w:tcBorders>
                  <w:noWrap w:val="0"/>
                  <w:vAlign w:val="center"/>
                </w:tcPr>
                <w:p>
                  <w:pPr>
                    <w:widowControl/>
                    <w:jc w:val="center"/>
                    <w:textAlignment w:val="center"/>
                    <w:rPr>
                      <w:rFonts w:hint="eastAsia" w:eastAsia="宋体"/>
                      <w:color w:val="0000FF"/>
                      <w:szCs w:val="21"/>
                      <w:lang w:eastAsia="zh-CN"/>
                    </w:rPr>
                  </w:pPr>
                  <w:r>
                    <w:rPr>
                      <w:rFonts w:hint="eastAsia"/>
                      <w:color w:val="0000FF"/>
                      <w:szCs w:val="21"/>
                      <w:lang w:val="en-US" w:eastAsia="zh-CN"/>
                    </w:rPr>
                    <w:t>5</w:t>
                  </w:r>
                </w:p>
              </w:tc>
              <w:tc>
                <w:tcPr>
                  <w:tcW w:w="962" w:type="pct"/>
                  <w:tcBorders>
                    <w:tl2br w:val="nil"/>
                    <w:tr2bl w:val="nil"/>
                  </w:tcBorders>
                  <w:noWrap w:val="0"/>
                  <w:vAlign w:val="center"/>
                </w:tcPr>
                <w:p>
                  <w:pPr>
                    <w:pStyle w:val="113"/>
                    <w:adjustRightInd w:val="0"/>
                    <w:snapToGrid w:val="0"/>
                    <w:jc w:val="center"/>
                    <w:rPr>
                      <w:rFonts w:hint="eastAsia" w:ascii="Times New Roman" w:hAnsi="Times New Roman" w:eastAsia="宋体" w:cs="Times New Roman"/>
                      <w:color w:val="0000FF"/>
                      <w:szCs w:val="21"/>
                      <w:lang w:eastAsia="zh-CN"/>
                    </w:rPr>
                  </w:pPr>
                  <w:r>
                    <w:rPr>
                      <w:rFonts w:hint="eastAsia" w:ascii="Times New Roman" w:hAnsi="Times New Roman" w:cs="Times New Roman"/>
                      <w:color w:val="0000FF"/>
                      <w:szCs w:val="21"/>
                      <w:lang w:val="en-US" w:eastAsia="zh-CN"/>
                    </w:rPr>
                    <w:t>4</w:t>
                  </w:r>
                </w:p>
              </w:tc>
              <w:tc>
                <w:tcPr>
                  <w:tcW w:w="57" w:type="pct"/>
                  <w:tcBorders>
                    <w:tl2br w:val="nil"/>
                    <w:tr2bl w:val="nil"/>
                  </w:tcBorders>
                  <w:noWrap w:val="0"/>
                  <w:vAlign w:val="center"/>
                </w:tcPr>
                <w:p>
                  <w:pPr>
                    <w:widowControl/>
                    <w:jc w:val="left"/>
                    <w:rPr>
                      <w:color w:val="0000FF"/>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57" w:type="pct"/>
                <w:trHeight w:val="403" w:hRule="atLeast"/>
              </w:trPr>
              <w:tc>
                <w:tcPr>
                  <w:tcW w:w="1060" w:type="pct"/>
                  <w:tcBorders>
                    <w:tl2br w:val="nil"/>
                    <w:tr2bl w:val="nil"/>
                  </w:tcBorders>
                  <w:noWrap w:val="0"/>
                  <w:vAlign w:val="center"/>
                </w:tcPr>
                <w:p>
                  <w:pPr>
                    <w:pStyle w:val="113"/>
                    <w:adjustRightInd w:val="0"/>
                    <w:snapToGrid w:val="0"/>
                    <w:jc w:val="center"/>
                    <w:rPr>
                      <w:color w:val="0000FF"/>
                      <w:szCs w:val="21"/>
                    </w:rPr>
                  </w:pPr>
                  <w:r>
                    <w:rPr>
                      <w:color w:val="0000FF"/>
                      <w:szCs w:val="21"/>
                    </w:rPr>
                    <w:t>合计</w:t>
                  </w:r>
                </w:p>
              </w:tc>
              <w:tc>
                <w:tcPr>
                  <w:tcW w:w="1731" w:type="pct"/>
                  <w:gridSpan w:val="2"/>
                  <w:tcBorders>
                    <w:tl2br w:val="nil"/>
                    <w:tr2bl w:val="nil"/>
                  </w:tcBorders>
                  <w:noWrap w:val="0"/>
                  <w:vAlign w:val="center"/>
                </w:tcPr>
                <w:p>
                  <w:pPr>
                    <w:pStyle w:val="113"/>
                    <w:adjustRightInd w:val="0"/>
                    <w:snapToGrid w:val="0"/>
                    <w:jc w:val="center"/>
                    <w:rPr>
                      <w:color w:val="0000FF"/>
                      <w:szCs w:val="21"/>
                    </w:rPr>
                  </w:pPr>
                  <w:r>
                    <w:rPr>
                      <w:color w:val="0000FF"/>
                      <w:szCs w:val="21"/>
                    </w:rPr>
                    <w:t>/</w:t>
                  </w:r>
                </w:p>
              </w:tc>
              <w:tc>
                <w:tcPr>
                  <w:tcW w:w="1188" w:type="pct"/>
                  <w:tcBorders>
                    <w:tl2br w:val="nil"/>
                    <w:tr2bl w:val="nil"/>
                  </w:tcBorders>
                  <w:noWrap w:val="0"/>
                  <w:vAlign w:val="center"/>
                </w:tcPr>
                <w:p>
                  <w:pPr>
                    <w:widowControl/>
                    <w:jc w:val="center"/>
                    <w:textAlignment w:val="center"/>
                    <w:rPr>
                      <w:rFonts w:hint="default" w:eastAsia="宋体"/>
                      <w:color w:val="0000FF"/>
                      <w:szCs w:val="21"/>
                      <w:lang w:val="en-US" w:eastAsia="zh-CN"/>
                    </w:rPr>
                  </w:pPr>
                  <w:r>
                    <w:rPr>
                      <w:rFonts w:hint="eastAsia"/>
                      <w:color w:val="0000FF"/>
                      <w:kern w:val="0"/>
                      <w:szCs w:val="21"/>
                      <w:lang w:val="en-US" w:eastAsia="zh-CN" w:bidi="ar"/>
                    </w:rPr>
                    <w:t>5.14</w:t>
                  </w:r>
                </w:p>
              </w:tc>
              <w:tc>
                <w:tcPr>
                  <w:tcW w:w="962" w:type="pct"/>
                  <w:tcBorders>
                    <w:tl2br w:val="nil"/>
                    <w:tr2bl w:val="nil"/>
                  </w:tcBorders>
                  <w:noWrap w:val="0"/>
                  <w:vAlign w:val="center"/>
                </w:tcPr>
                <w:p>
                  <w:pPr>
                    <w:widowControl/>
                    <w:jc w:val="center"/>
                    <w:rPr>
                      <w:rFonts w:hint="eastAsia" w:eastAsia="宋体"/>
                      <w:color w:val="0000FF"/>
                      <w:szCs w:val="21"/>
                      <w:lang w:eastAsia="zh-CN"/>
                    </w:rPr>
                  </w:pPr>
                  <w:r>
                    <w:rPr>
                      <w:rFonts w:hint="eastAsia"/>
                      <w:color w:val="0000FF"/>
                      <w:szCs w:val="21"/>
                      <w:lang w:val="en-US" w:eastAsia="zh-CN"/>
                    </w:rPr>
                    <w:t>4</w:t>
                  </w:r>
                </w:p>
              </w:tc>
            </w:tr>
          </w:tbl>
          <w:p>
            <w:pPr>
              <w:pStyle w:val="128"/>
              <w:widowControl/>
              <w:adjustRightInd w:val="0"/>
              <w:ind w:firstLine="480"/>
              <w:rPr>
                <w:rFonts w:hint="eastAsia" w:ascii="黑体" w:hAnsi="黑体" w:eastAsia="黑体" w:cs="黑体"/>
                <w:bCs/>
                <w:color w:val="0000FF"/>
              </w:rPr>
            </w:pPr>
            <w:r>
              <w:rPr>
                <w:rFonts w:hint="eastAsia"/>
                <w:color w:val="0000FF"/>
              </w:rPr>
              <w:t>项目水平衡见表</w:t>
            </w:r>
            <w:r>
              <w:rPr>
                <w:rFonts w:hint="eastAsia" w:eastAsia="黑体"/>
                <w:b w:val="0"/>
                <w:bCs w:val="0"/>
                <w:color w:val="0000FF"/>
              </w:rPr>
              <w:t>4-2</w:t>
            </w:r>
            <w:r>
              <w:rPr>
                <w:rFonts w:hint="eastAsia" w:eastAsia="黑体"/>
                <w:b w:val="0"/>
                <w:bCs w:val="0"/>
                <w:color w:val="0000FF"/>
                <w:lang w:val="en-US" w:eastAsia="zh-CN"/>
              </w:rPr>
              <w:t>3</w:t>
            </w:r>
            <w:r>
              <w:rPr>
                <w:rFonts w:hint="eastAsia"/>
                <w:color w:val="0000FF"/>
              </w:rPr>
              <w:t>和图</w:t>
            </w:r>
            <w:r>
              <w:rPr>
                <w:rFonts w:hint="eastAsia"/>
                <w:color w:val="0000FF"/>
                <w:lang w:val="en-US" w:eastAsia="zh-CN"/>
              </w:rPr>
              <w:t>4</w:t>
            </w:r>
            <w:r>
              <w:rPr>
                <w:rFonts w:hint="eastAsia"/>
                <w:color w:val="0000FF"/>
              </w:rPr>
              <w:t>-</w:t>
            </w:r>
            <w:r>
              <w:rPr>
                <w:rFonts w:hint="eastAsia"/>
                <w:color w:val="0000FF"/>
                <w:lang w:val="en-US" w:eastAsia="zh-CN"/>
              </w:rPr>
              <w:t>4</w:t>
            </w:r>
            <w:r>
              <w:rPr>
                <w:rFonts w:hint="eastAsia"/>
                <w:color w:val="0000FF"/>
              </w:rPr>
              <w:t>。</w:t>
            </w:r>
          </w:p>
          <w:p>
            <w:pPr>
              <w:pStyle w:val="113"/>
              <w:tabs>
                <w:tab w:val="left" w:pos="2894"/>
                <w:tab w:val="left" w:pos="4580"/>
              </w:tabs>
              <w:adjustRightInd w:val="0"/>
              <w:snapToGrid w:val="0"/>
              <w:jc w:val="center"/>
              <w:rPr>
                <w:rFonts w:ascii="Times New Roman" w:hAnsi="Times New Roman" w:cs="Times New Roman"/>
                <w:b/>
                <w:color w:val="0000FF"/>
                <w:sz w:val="24"/>
              </w:rPr>
            </w:pPr>
            <w:r>
              <w:rPr>
                <w:rFonts w:hint="eastAsia" w:eastAsia="黑体"/>
                <w:b w:val="0"/>
                <w:bCs w:val="0"/>
                <w:color w:val="0000FF"/>
              </w:rPr>
              <w:t>表4-2</w:t>
            </w:r>
            <w:r>
              <w:rPr>
                <w:rFonts w:hint="eastAsia" w:eastAsia="黑体"/>
                <w:b w:val="0"/>
                <w:bCs w:val="0"/>
                <w:color w:val="0000FF"/>
                <w:lang w:val="en-US" w:eastAsia="zh-CN"/>
              </w:rPr>
              <w:t>3</w:t>
            </w:r>
            <w:r>
              <w:rPr>
                <w:rFonts w:hint="eastAsia"/>
                <w:bCs/>
                <w:color w:val="0000FF"/>
                <w:sz w:val="24"/>
              </w:rPr>
              <w:t xml:space="preserve">  </w:t>
            </w:r>
            <w:r>
              <w:rPr>
                <w:rFonts w:hint="eastAsia" w:ascii="黑体" w:hAnsi="黑体" w:eastAsia="黑体" w:cs="黑体"/>
                <w:b w:val="0"/>
                <w:bCs/>
                <w:color w:val="0000FF"/>
                <w:sz w:val="24"/>
              </w:rPr>
              <w:t>项目水平衡表</w:t>
            </w:r>
            <w:r>
              <w:rPr>
                <w:rFonts w:hint="eastAsia" w:ascii="黑体" w:hAnsi="黑体" w:eastAsia="黑体" w:cs="黑体"/>
                <w:b w:val="0"/>
                <w:bCs/>
                <w:color w:val="0000FF"/>
                <w:sz w:val="24"/>
                <w:lang w:val="en-US" w:eastAsia="zh-CN"/>
              </w:rPr>
              <w:t xml:space="preserve">  </w:t>
            </w:r>
            <w:r>
              <w:rPr>
                <w:rFonts w:hint="eastAsia" w:ascii="黑体" w:hAnsi="黑体" w:eastAsia="黑体" w:cs="黑体"/>
                <w:b w:val="0"/>
                <w:bCs/>
                <w:color w:val="0000FF"/>
                <w:sz w:val="24"/>
              </w:rPr>
              <w:t>单位</w:t>
            </w:r>
            <w:r>
              <w:rPr>
                <w:rFonts w:ascii="Times New Roman" w:hAnsi="Times New Roman" w:cs="Times New Roman"/>
                <w:bCs/>
                <w:color w:val="0000FF"/>
                <w:sz w:val="24"/>
              </w:rPr>
              <w:t>（</w:t>
            </w:r>
            <w:r>
              <w:rPr>
                <w:rFonts w:ascii="Times New Roman" w:hAnsi="Times New Roman" w:cs="Times New Roman"/>
                <w:bCs/>
                <w:color w:val="0000FF"/>
                <w:position w:val="1"/>
                <w:sz w:val="24"/>
              </w:rPr>
              <w:t>m</w:t>
            </w:r>
            <w:r>
              <w:rPr>
                <w:rFonts w:ascii="Times New Roman" w:hAnsi="Times New Roman" w:cs="Times New Roman"/>
                <w:bCs/>
                <w:color w:val="0000FF"/>
                <w:position w:val="1"/>
                <w:sz w:val="24"/>
                <w:vertAlign w:val="superscript"/>
              </w:rPr>
              <w:t>3</w:t>
            </w:r>
            <w:r>
              <w:rPr>
                <w:rFonts w:ascii="Times New Roman" w:hAnsi="Times New Roman" w:cs="Times New Roman"/>
                <w:bCs/>
                <w:color w:val="0000FF"/>
                <w:position w:val="1"/>
                <w:sz w:val="24"/>
              </w:rPr>
              <w:t>/d</w:t>
            </w:r>
            <w:r>
              <w:rPr>
                <w:rFonts w:ascii="Times New Roman" w:hAnsi="Times New Roman" w:cs="Times New Roman"/>
                <w:bCs/>
                <w:color w:val="0000FF"/>
                <w:sz w:val="24"/>
              </w:rPr>
              <w:t>）</w:t>
            </w:r>
          </w:p>
          <w:tbl>
            <w:tblPr>
              <w:tblStyle w:val="33"/>
              <w:tblW w:w="8558" w:type="dxa"/>
              <w:tblInd w:w="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726"/>
              <w:gridCol w:w="1131"/>
              <w:gridCol w:w="1189"/>
              <w:gridCol w:w="1189"/>
              <w:gridCol w:w="815"/>
              <w:gridCol w:w="25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726" w:type="dxa"/>
                  <w:tcBorders>
                    <w:tl2br w:val="nil"/>
                    <w:tr2bl w:val="nil"/>
                  </w:tcBorders>
                  <w:noWrap w:val="0"/>
                  <w:vAlign w:val="center"/>
                </w:tcPr>
                <w:p>
                  <w:pPr>
                    <w:pStyle w:val="113"/>
                    <w:adjustRightInd w:val="0"/>
                    <w:snapToGrid w:val="0"/>
                    <w:jc w:val="center"/>
                    <w:rPr>
                      <w:color w:val="0000FF"/>
                    </w:rPr>
                  </w:pPr>
                  <w:r>
                    <w:rPr>
                      <w:color w:val="0000FF"/>
                    </w:rPr>
                    <w:t>用水点</w:t>
                  </w:r>
                </w:p>
              </w:tc>
              <w:tc>
                <w:tcPr>
                  <w:tcW w:w="3509" w:type="dxa"/>
                  <w:gridSpan w:val="3"/>
                  <w:tcBorders>
                    <w:tl2br w:val="nil"/>
                    <w:tr2bl w:val="nil"/>
                  </w:tcBorders>
                  <w:noWrap w:val="0"/>
                  <w:vAlign w:val="center"/>
                </w:tcPr>
                <w:p>
                  <w:pPr>
                    <w:pStyle w:val="113"/>
                    <w:tabs>
                      <w:tab w:val="left" w:pos="640"/>
                    </w:tabs>
                    <w:adjustRightInd w:val="0"/>
                    <w:snapToGrid w:val="0"/>
                    <w:jc w:val="center"/>
                    <w:rPr>
                      <w:color w:val="0000FF"/>
                    </w:rPr>
                  </w:pPr>
                  <w:r>
                    <w:rPr>
                      <w:color w:val="0000FF"/>
                    </w:rPr>
                    <w:t>给水</w:t>
                  </w:r>
                </w:p>
              </w:tc>
              <w:tc>
                <w:tcPr>
                  <w:tcW w:w="815" w:type="dxa"/>
                  <w:vMerge w:val="restart"/>
                  <w:tcBorders>
                    <w:tl2br w:val="nil"/>
                    <w:tr2bl w:val="nil"/>
                  </w:tcBorders>
                  <w:noWrap w:val="0"/>
                  <w:vAlign w:val="center"/>
                </w:tcPr>
                <w:p>
                  <w:pPr>
                    <w:pStyle w:val="113"/>
                    <w:adjustRightInd w:val="0"/>
                    <w:snapToGrid w:val="0"/>
                    <w:jc w:val="center"/>
                    <w:rPr>
                      <w:color w:val="0000FF"/>
                    </w:rPr>
                  </w:pPr>
                  <w:r>
                    <w:rPr>
                      <w:color w:val="0000FF"/>
                    </w:rPr>
                    <w:t>排水</w:t>
                  </w:r>
                </w:p>
              </w:tc>
              <w:tc>
                <w:tcPr>
                  <w:tcW w:w="2508" w:type="dxa"/>
                  <w:vMerge w:val="restart"/>
                  <w:tcBorders>
                    <w:tl2br w:val="nil"/>
                    <w:tr2bl w:val="nil"/>
                  </w:tcBorders>
                  <w:noWrap w:val="0"/>
                  <w:vAlign w:val="center"/>
                </w:tcPr>
                <w:p>
                  <w:pPr>
                    <w:pStyle w:val="113"/>
                    <w:adjustRightInd w:val="0"/>
                    <w:snapToGrid w:val="0"/>
                    <w:jc w:val="center"/>
                    <w:rPr>
                      <w:color w:val="0000FF"/>
                    </w:rPr>
                  </w:pPr>
                  <w:r>
                    <w:rPr>
                      <w:color w:val="0000FF"/>
                    </w:rPr>
                    <w:t>损耗水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726" w:type="dxa"/>
                  <w:tcBorders>
                    <w:tl2br w:val="nil"/>
                    <w:tr2bl w:val="nil"/>
                  </w:tcBorders>
                  <w:noWrap w:val="0"/>
                  <w:vAlign w:val="center"/>
                </w:tcPr>
                <w:p>
                  <w:pPr>
                    <w:pStyle w:val="113"/>
                    <w:tabs>
                      <w:tab w:val="left" w:pos="451"/>
                    </w:tabs>
                    <w:adjustRightInd w:val="0"/>
                    <w:snapToGrid w:val="0"/>
                    <w:jc w:val="center"/>
                    <w:rPr>
                      <w:color w:val="0000FF"/>
                    </w:rPr>
                  </w:pPr>
                  <w:r>
                    <w:rPr>
                      <w:color w:val="0000FF"/>
                    </w:rPr>
                    <w:t>名称</w:t>
                  </w:r>
                </w:p>
              </w:tc>
              <w:tc>
                <w:tcPr>
                  <w:tcW w:w="1131" w:type="dxa"/>
                  <w:tcBorders>
                    <w:tl2br w:val="nil"/>
                    <w:tr2bl w:val="nil"/>
                  </w:tcBorders>
                  <w:noWrap w:val="0"/>
                  <w:vAlign w:val="center"/>
                </w:tcPr>
                <w:p>
                  <w:pPr>
                    <w:pStyle w:val="113"/>
                    <w:adjustRightInd w:val="0"/>
                    <w:snapToGrid w:val="0"/>
                    <w:jc w:val="center"/>
                    <w:rPr>
                      <w:color w:val="0000FF"/>
                    </w:rPr>
                  </w:pPr>
                  <w:r>
                    <w:rPr>
                      <w:color w:val="0000FF"/>
                    </w:rPr>
                    <w:t>总用水</w:t>
                  </w:r>
                </w:p>
              </w:tc>
              <w:tc>
                <w:tcPr>
                  <w:tcW w:w="1189" w:type="dxa"/>
                  <w:tcBorders>
                    <w:tl2br w:val="nil"/>
                    <w:tr2bl w:val="nil"/>
                  </w:tcBorders>
                  <w:noWrap w:val="0"/>
                  <w:vAlign w:val="center"/>
                </w:tcPr>
                <w:p>
                  <w:pPr>
                    <w:pStyle w:val="113"/>
                    <w:adjustRightInd w:val="0"/>
                    <w:snapToGrid w:val="0"/>
                    <w:jc w:val="center"/>
                    <w:rPr>
                      <w:color w:val="0000FF"/>
                    </w:rPr>
                  </w:pPr>
                  <w:r>
                    <w:rPr>
                      <w:color w:val="0000FF"/>
                    </w:rPr>
                    <w:t>新水</w:t>
                  </w:r>
                </w:p>
              </w:tc>
              <w:tc>
                <w:tcPr>
                  <w:tcW w:w="1189" w:type="dxa"/>
                  <w:tcBorders>
                    <w:tl2br w:val="nil"/>
                    <w:tr2bl w:val="nil"/>
                  </w:tcBorders>
                  <w:noWrap w:val="0"/>
                  <w:vAlign w:val="center"/>
                </w:tcPr>
                <w:p>
                  <w:pPr>
                    <w:pStyle w:val="113"/>
                    <w:adjustRightInd w:val="0"/>
                    <w:snapToGrid w:val="0"/>
                    <w:jc w:val="center"/>
                    <w:rPr>
                      <w:color w:val="0000FF"/>
                    </w:rPr>
                  </w:pPr>
                  <w:r>
                    <w:rPr>
                      <w:color w:val="0000FF"/>
                    </w:rPr>
                    <w:t>回用水</w:t>
                  </w:r>
                </w:p>
              </w:tc>
              <w:tc>
                <w:tcPr>
                  <w:tcW w:w="815" w:type="dxa"/>
                  <w:vMerge w:val="continue"/>
                  <w:tcBorders>
                    <w:tl2br w:val="nil"/>
                    <w:tr2bl w:val="nil"/>
                  </w:tcBorders>
                  <w:noWrap w:val="0"/>
                  <w:vAlign w:val="center"/>
                </w:tcPr>
                <w:p>
                  <w:pPr>
                    <w:adjustRightInd w:val="0"/>
                    <w:snapToGrid w:val="0"/>
                    <w:jc w:val="center"/>
                    <w:rPr>
                      <w:color w:val="0000FF"/>
                      <w:sz w:val="2"/>
                      <w:szCs w:val="2"/>
                    </w:rPr>
                  </w:pPr>
                </w:p>
              </w:tc>
              <w:tc>
                <w:tcPr>
                  <w:tcW w:w="2508" w:type="dxa"/>
                  <w:vMerge w:val="continue"/>
                  <w:tcBorders>
                    <w:tl2br w:val="nil"/>
                    <w:tr2bl w:val="nil"/>
                  </w:tcBorders>
                  <w:noWrap w:val="0"/>
                  <w:vAlign w:val="center"/>
                </w:tcPr>
                <w:p>
                  <w:pPr>
                    <w:adjustRightInd w:val="0"/>
                    <w:snapToGrid w:val="0"/>
                    <w:jc w:val="center"/>
                    <w:rPr>
                      <w:color w:val="0000FF"/>
                      <w:sz w:val="2"/>
                      <w:szCs w:val="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726" w:type="dxa"/>
                  <w:tcBorders>
                    <w:tl2br w:val="nil"/>
                    <w:tr2bl w:val="nil"/>
                  </w:tcBorders>
                  <w:noWrap w:val="0"/>
                  <w:vAlign w:val="center"/>
                </w:tcPr>
                <w:p>
                  <w:pPr>
                    <w:pStyle w:val="113"/>
                    <w:adjustRightInd w:val="0"/>
                    <w:snapToGrid w:val="0"/>
                    <w:jc w:val="center"/>
                    <w:rPr>
                      <w:rFonts w:hint="eastAsia"/>
                      <w:color w:val="0000FF"/>
                    </w:rPr>
                  </w:pPr>
                  <w:r>
                    <w:rPr>
                      <w:rFonts w:hint="eastAsia"/>
                      <w:color w:val="0000FF"/>
                      <w:szCs w:val="21"/>
                    </w:rPr>
                    <w:t>水帘机喷淋</w:t>
                  </w:r>
                </w:p>
              </w:tc>
              <w:tc>
                <w:tcPr>
                  <w:tcW w:w="1131" w:type="dxa"/>
                  <w:tcBorders>
                    <w:tl2br w:val="nil"/>
                    <w:tr2bl w:val="nil"/>
                  </w:tcBorders>
                  <w:noWrap w:val="0"/>
                  <w:vAlign w:val="center"/>
                </w:tcPr>
                <w:p>
                  <w:pPr>
                    <w:widowControl/>
                    <w:jc w:val="center"/>
                    <w:textAlignment w:val="center"/>
                    <w:rPr>
                      <w:rFonts w:hint="default" w:eastAsia="宋体"/>
                      <w:color w:val="0000FF"/>
                      <w:lang w:val="en-US" w:eastAsia="zh-CN"/>
                    </w:rPr>
                  </w:pPr>
                  <w:r>
                    <w:rPr>
                      <w:rFonts w:hint="eastAsia"/>
                      <w:color w:val="0000FF"/>
                      <w:lang w:val="en-US" w:eastAsia="zh-CN"/>
                    </w:rPr>
                    <w:t>/</w:t>
                  </w:r>
                </w:p>
              </w:tc>
              <w:tc>
                <w:tcPr>
                  <w:tcW w:w="1189" w:type="dxa"/>
                  <w:tcBorders>
                    <w:tl2br w:val="nil"/>
                    <w:tr2bl w:val="nil"/>
                  </w:tcBorders>
                  <w:noWrap w:val="0"/>
                  <w:vAlign w:val="center"/>
                </w:tcPr>
                <w:p>
                  <w:pPr>
                    <w:widowControl/>
                    <w:jc w:val="center"/>
                    <w:textAlignment w:val="center"/>
                    <w:rPr>
                      <w:rFonts w:hint="default" w:eastAsia="宋体"/>
                      <w:color w:val="0000FF"/>
                      <w:lang w:val="en-US" w:eastAsia="zh-CN"/>
                    </w:rPr>
                  </w:pPr>
                  <w:r>
                    <w:rPr>
                      <w:rFonts w:hint="eastAsia"/>
                      <w:color w:val="0000FF"/>
                      <w:lang w:val="en-US" w:eastAsia="zh-CN"/>
                    </w:rPr>
                    <w:t>0.14</w:t>
                  </w:r>
                </w:p>
              </w:tc>
              <w:tc>
                <w:tcPr>
                  <w:tcW w:w="1189" w:type="dxa"/>
                  <w:tcBorders>
                    <w:tl2br w:val="nil"/>
                    <w:tr2bl w:val="nil"/>
                  </w:tcBorders>
                  <w:noWrap w:val="0"/>
                  <w:vAlign w:val="center"/>
                </w:tcPr>
                <w:p>
                  <w:pPr>
                    <w:pStyle w:val="113"/>
                    <w:adjustRightInd w:val="0"/>
                    <w:snapToGrid w:val="0"/>
                    <w:jc w:val="center"/>
                    <w:rPr>
                      <w:rFonts w:hint="eastAsia" w:ascii="Times New Roman" w:hAnsi="Times New Roman" w:eastAsia="宋体" w:cs="Times New Roman"/>
                      <w:color w:val="0000FF"/>
                      <w:lang w:eastAsia="zh-CN"/>
                    </w:rPr>
                  </w:pPr>
                  <w:r>
                    <w:rPr>
                      <w:rFonts w:hint="eastAsia" w:ascii="Times New Roman" w:hAnsi="Times New Roman" w:cs="Times New Roman"/>
                      <w:color w:val="0000FF"/>
                      <w:lang w:val="en-US" w:eastAsia="zh-CN"/>
                    </w:rPr>
                    <w:t>/</w:t>
                  </w:r>
                </w:p>
              </w:tc>
              <w:tc>
                <w:tcPr>
                  <w:tcW w:w="815" w:type="dxa"/>
                  <w:tcBorders>
                    <w:tl2br w:val="nil"/>
                    <w:tr2bl w:val="nil"/>
                  </w:tcBorders>
                  <w:noWrap w:val="0"/>
                  <w:vAlign w:val="center"/>
                </w:tcPr>
                <w:p>
                  <w:pPr>
                    <w:pStyle w:val="113"/>
                    <w:adjustRightInd w:val="0"/>
                    <w:snapToGrid w:val="0"/>
                    <w:jc w:val="center"/>
                    <w:rPr>
                      <w:color w:val="0000FF"/>
                    </w:rPr>
                  </w:pPr>
                  <w:r>
                    <w:rPr>
                      <w:rFonts w:ascii="Times New Roman" w:hAnsi="Times New Roman" w:cs="Times New Roman"/>
                      <w:color w:val="0000FF"/>
                      <w:szCs w:val="21"/>
                    </w:rPr>
                    <w:t>0</w:t>
                  </w:r>
                </w:p>
              </w:tc>
              <w:tc>
                <w:tcPr>
                  <w:tcW w:w="2508" w:type="dxa"/>
                  <w:tcBorders>
                    <w:tl2br w:val="nil"/>
                    <w:tr2bl w:val="nil"/>
                  </w:tcBorders>
                  <w:noWrap w:val="0"/>
                  <w:vAlign w:val="center"/>
                </w:tcPr>
                <w:p>
                  <w:pPr>
                    <w:pStyle w:val="113"/>
                    <w:adjustRightInd w:val="0"/>
                    <w:snapToGrid w:val="0"/>
                    <w:jc w:val="center"/>
                    <w:rPr>
                      <w:rFonts w:hint="default" w:ascii="Times New Roman" w:hAnsi="Times New Roman" w:eastAsia="宋体" w:cs="Times New Roman"/>
                      <w:color w:val="0000FF"/>
                      <w:lang w:val="en-US" w:eastAsia="zh-CN"/>
                    </w:rPr>
                  </w:pPr>
                  <w:r>
                    <w:rPr>
                      <w:rFonts w:hint="eastAsia" w:ascii="Times New Roman" w:hAnsi="Times New Roman" w:cs="Times New Roman"/>
                      <w:color w:val="0000FF"/>
                      <w:lang w:val="en-US" w:eastAsia="zh-CN"/>
                    </w:rPr>
                    <w:t>0.14</w:t>
                  </w:r>
                  <w:r>
                    <w:rPr>
                      <w:rFonts w:ascii="Times New Roman" w:hAnsi="Times New Roman" w:cs="Times New Roman"/>
                      <w:color w:val="0000FF"/>
                      <w:szCs w:val="21"/>
                    </w:rPr>
                    <w:t>（</w:t>
                  </w:r>
                  <w:r>
                    <w:rPr>
                      <w:rFonts w:hint="eastAsia" w:ascii="Times New Roman" w:hAnsi="Times New Roman" w:cs="Times New Roman"/>
                      <w:color w:val="0000FF"/>
                      <w:szCs w:val="21"/>
                      <w:lang w:val="en-US" w:eastAsia="zh-CN"/>
                    </w:rPr>
                    <w:t>0.04</w:t>
                  </w:r>
                  <w:r>
                    <w:rPr>
                      <w:rFonts w:ascii="Times New Roman" w:hAnsi="Times New Roman" w:cs="Times New Roman"/>
                      <w:color w:val="0000FF"/>
                      <w:szCs w:val="21"/>
                    </w:rPr>
                    <w:t>委托由资质单位处置</w:t>
                  </w:r>
                  <w:r>
                    <w:rPr>
                      <w:rFonts w:hint="eastAsia" w:ascii="Times New Roman" w:hAnsi="Times New Roman" w:cs="Times New Roman"/>
                      <w:color w:val="0000FF"/>
                      <w:szCs w:val="21"/>
                      <w:lang w:eastAsia="zh-CN"/>
                    </w:rPr>
                    <w:t>、</w:t>
                  </w:r>
                  <w:r>
                    <w:rPr>
                      <w:rFonts w:hint="eastAsia" w:ascii="Times New Roman" w:hAnsi="Times New Roman" w:cs="Times New Roman"/>
                      <w:color w:val="0000FF"/>
                      <w:szCs w:val="21"/>
                      <w:lang w:val="en-US" w:eastAsia="zh-CN"/>
                    </w:rPr>
                    <w:t>0.1蒸发损耗</w:t>
                  </w:r>
                  <w:r>
                    <w:rPr>
                      <w:rFonts w:ascii="Times New Roman" w:hAnsi="Times New Roman" w:cs="Times New Roman"/>
                      <w:color w:val="0000FF"/>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726" w:type="dxa"/>
                  <w:tcBorders>
                    <w:tl2br w:val="nil"/>
                    <w:tr2bl w:val="nil"/>
                  </w:tcBorders>
                  <w:noWrap w:val="0"/>
                  <w:vAlign w:val="center"/>
                </w:tcPr>
                <w:p>
                  <w:pPr>
                    <w:pStyle w:val="113"/>
                    <w:adjustRightInd w:val="0"/>
                    <w:snapToGrid w:val="0"/>
                    <w:jc w:val="center"/>
                    <w:rPr>
                      <w:color w:val="0000FF"/>
                    </w:rPr>
                  </w:pPr>
                  <w:r>
                    <w:rPr>
                      <w:rFonts w:hint="eastAsia"/>
                      <w:color w:val="0000FF"/>
                      <w:szCs w:val="21"/>
                    </w:rPr>
                    <w:t>员工生活</w:t>
                  </w:r>
                </w:p>
              </w:tc>
              <w:tc>
                <w:tcPr>
                  <w:tcW w:w="1131" w:type="dxa"/>
                  <w:tcBorders>
                    <w:tl2br w:val="nil"/>
                    <w:tr2bl w:val="nil"/>
                  </w:tcBorders>
                  <w:noWrap w:val="0"/>
                  <w:vAlign w:val="center"/>
                </w:tcPr>
                <w:p>
                  <w:pPr>
                    <w:widowControl/>
                    <w:jc w:val="center"/>
                    <w:textAlignment w:val="center"/>
                    <w:rPr>
                      <w:rFonts w:hint="eastAsia" w:eastAsia="宋体"/>
                      <w:color w:val="0000FF"/>
                      <w:lang w:eastAsia="zh-CN"/>
                    </w:rPr>
                  </w:pPr>
                  <w:r>
                    <w:rPr>
                      <w:rFonts w:hint="eastAsia"/>
                      <w:color w:val="0000FF"/>
                      <w:lang w:val="en-US" w:eastAsia="zh-CN"/>
                    </w:rPr>
                    <w:t>5</w:t>
                  </w:r>
                </w:p>
              </w:tc>
              <w:tc>
                <w:tcPr>
                  <w:tcW w:w="1189" w:type="dxa"/>
                  <w:tcBorders>
                    <w:tl2br w:val="nil"/>
                    <w:tr2bl w:val="nil"/>
                  </w:tcBorders>
                  <w:noWrap w:val="0"/>
                  <w:vAlign w:val="center"/>
                </w:tcPr>
                <w:p>
                  <w:pPr>
                    <w:widowControl/>
                    <w:jc w:val="center"/>
                    <w:textAlignment w:val="center"/>
                    <w:rPr>
                      <w:rFonts w:hint="eastAsia" w:eastAsia="宋体"/>
                      <w:color w:val="0000FF"/>
                      <w:lang w:eastAsia="zh-CN"/>
                    </w:rPr>
                  </w:pPr>
                  <w:r>
                    <w:rPr>
                      <w:rFonts w:hint="eastAsia"/>
                      <w:color w:val="0000FF"/>
                      <w:lang w:val="en-US" w:eastAsia="zh-CN"/>
                    </w:rPr>
                    <w:t>5</w:t>
                  </w:r>
                </w:p>
              </w:tc>
              <w:tc>
                <w:tcPr>
                  <w:tcW w:w="1189" w:type="dxa"/>
                  <w:tcBorders>
                    <w:tl2br w:val="nil"/>
                    <w:tr2bl w:val="nil"/>
                  </w:tcBorders>
                  <w:noWrap w:val="0"/>
                  <w:vAlign w:val="center"/>
                </w:tcPr>
                <w:p>
                  <w:pPr>
                    <w:pStyle w:val="113"/>
                    <w:adjustRightInd w:val="0"/>
                    <w:snapToGrid w:val="0"/>
                    <w:jc w:val="center"/>
                    <w:rPr>
                      <w:rFonts w:ascii="Times New Roman" w:hAnsi="Times New Roman" w:cs="Times New Roman"/>
                      <w:color w:val="0000FF"/>
                    </w:rPr>
                  </w:pPr>
                  <w:r>
                    <w:rPr>
                      <w:rFonts w:ascii="Times New Roman" w:hAnsi="Times New Roman" w:cs="Times New Roman"/>
                      <w:color w:val="0000FF"/>
                    </w:rPr>
                    <w:t>0</w:t>
                  </w:r>
                </w:p>
              </w:tc>
              <w:tc>
                <w:tcPr>
                  <w:tcW w:w="815" w:type="dxa"/>
                  <w:tcBorders>
                    <w:tl2br w:val="nil"/>
                    <w:tr2bl w:val="nil"/>
                  </w:tcBorders>
                  <w:noWrap w:val="0"/>
                  <w:vAlign w:val="center"/>
                </w:tcPr>
                <w:p>
                  <w:pPr>
                    <w:pStyle w:val="113"/>
                    <w:adjustRightInd w:val="0"/>
                    <w:snapToGrid w:val="0"/>
                    <w:jc w:val="center"/>
                    <w:rPr>
                      <w:rFonts w:hint="eastAsia" w:ascii="Times New Roman" w:hAnsi="Times New Roman" w:eastAsia="宋体" w:cs="Times New Roman"/>
                      <w:color w:val="0000FF"/>
                      <w:lang w:val="en-US" w:eastAsia="zh-CN"/>
                    </w:rPr>
                  </w:pPr>
                  <w:r>
                    <w:rPr>
                      <w:rFonts w:hint="eastAsia" w:ascii="Times New Roman" w:hAnsi="Times New Roman" w:cs="Times New Roman"/>
                      <w:color w:val="0000FF"/>
                      <w:lang w:val="en-US" w:eastAsia="zh-CN"/>
                    </w:rPr>
                    <w:t>4</w:t>
                  </w:r>
                </w:p>
              </w:tc>
              <w:tc>
                <w:tcPr>
                  <w:tcW w:w="2508" w:type="dxa"/>
                  <w:tcBorders>
                    <w:tl2br w:val="nil"/>
                    <w:tr2bl w:val="nil"/>
                  </w:tcBorders>
                  <w:noWrap w:val="0"/>
                  <w:vAlign w:val="center"/>
                </w:tcPr>
                <w:p>
                  <w:pPr>
                    <w:pStyle w:val="113"/>
                    <w:adjustRightInd w:val="0"/>
                    <w:snapToGrid w:val="0"/>
                    <w:jc w:val="center"/>
                    <w:rPr>
                      <w:rFonts w:hint="eastAsia" w:ascii="Times New Roman" w:hAnsi="Times New Roman" w:eastAsia="宋体" w:cs="Times New Roman"/>
                      <w:color w:val="0000FF"/>
                      <w:lang w:val="en-US" w:eastAsia="zh-CN"/>
                    </w:rPr>
                  </w:pPr>
                  <w:r>
                    <w:rPr>
                      <w:rFonts w:hint="eastAsia" w:ascii="Times New Roman" w:hAnsi="Times New Roman" w:cs="Times New Roman"/>
                      <w:color w:val="0000FF"/>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726" w:type="dxa"/>
                  <w:tcBorders>
                    <w:tl2br w:val="nil"/>
                    <w:tr2bl w:val="nil"/>
                  </w:tcBorders>
                  <w:noWrap w:val="0"/>
                  <w:vAlign w:val="center"/>
                </w:tcPr>
                <w:p>
                  <w:pPr>
                    <w:pStyle w:val="113"/>
                    <w:adjustRightInd w:val="0"/>
                    <w:snapToGrid w:val="0"/>
                    <w:jc w:val="center"/>
                    <w:rPr>
                      <w:color w:val="0000FF"/>
                    </w:rPr>
                  </w:pPr>
                  <w:r>
                    <w:rPr>
                      <w:color w:val="0000FF"/>
                    </w:rPr>
                    <w:t>合计</w:t>
                  </w:r>
                </w:p>
              </w:tc>
              <w:tc>
                <w:tcPr>
                  <w:tcW w:w="1131" w:type="dxa"/>
                  <w:tcBorders>
                    <w:tl2br w:val="nil"/>
                    <w:tr2bl w:val="nil"/>
                  </w:tcBorders>
                  <w:noWrap w:val="0"/>
                  <w:vAlign w:val="center"/>
                </w:tcPr>
                <w:p>
                  <w:pPr>
                    <w:pStyle w:val="113"/>
                    <w:adjustRightInd w:val="0"/>
                    <w:snapToGrid w:val="0"/>
                    <w:jc w:val="center"/>
                    <w:rPr>
                      <w:rFonts w:hint="default" w:ascii="Times New Roman" w:hAnsi="Times New Roman" w:eastAsia="宋体" w:cs="Times New Roman"/>
                      <w:color w:val="0000FF"/>
                      <w:lang w:val="en-US" w:eastAsia="zh-CN"/>
                    </w:rPr>
                  </w:pPr>
                  <w:r>
                    <w:rPr>
                      <w:rFonts w:hint="eastAsia" w:ascii="Times New Roman" w:hAnsi="Times New Roman" w:cs="Times New Roman"/>
                      <w:color w:val="0000FF"/>
                      <w:lang w:val="en-US" w:eastAsia="zh-CN"/>
                    </w:rPr>
                    <w:t>/</w:t>
                  </w:r>
                </w:p>
              </w:tc>
              <w:tc>
                <w:tcPr>
                  <w:tcW w:w="1189" w:type="dxa"/>
                  <w:tcBorders>
                    <w:tl2br w:val="nil"/>
                    <w:tr2bl w:val="nil"/>
                  </w:tcBorders>
                  <w:noWrap w:val="0"/>
                  <w:vAlign w:val="center"/>
                </w:tcPr>
                <w:p>
                  <w:pPr>
                    <w:pStyle w:val="113"/>
                    <w:adjustRightInd w:val="0"/>
                    <w:snapToGrid w:val="0"/>
                    <w:jc w:val="center"/>
                    <w:rPr>
                      <w:rFonts w:hint="default" w:ascii="Times New Roman" w:hAnsi="Times New Roman" w:eastAsia="宋体" w:cs="Times New Roman"/>
                      <w:color w:val="0000FF"/>
                      <w:lang w:val="en-US" w:eastAsia="zh-CN"/>
                    </w:rPr>
                  </w:pPr>
                  <w:r>
                    <w:rPr>
                      <w:rFonts w:hint="eastAsia" w:ascii="Times New Roman" w:hAnsi="Times New Roman" w:cs="Times New Roman"/>
                      <w:color w:val="0000FF"/>
                      <w:lang w:val="en-US" w:eastAsia="zh-CN"/>
                    </w:rPr>
                    <w:t>5.14</w:t>
                  </w:r>
                </w:p>
              </w:tc>
              <w:tc>
                <w:tcPr>
                  <w:tcW w:w="1189" w:type="dxa"/>
                  <w:tcBorders>
                    <w:tl2br w:val="nil"/>
                    <w:tr2bl w:val="nil"/>
                  </w:tcBorders>
                  <w:noWrap w:val="0"/>
                  <w:vAlign w:val="center"/>
                </w:tcPr>
                <w:p>
                  <w:pPr>
                    <w:pStyle w:val="113"/>
                    <w:adjustRightInd w:val="0"/>
                    <w:snapToGrid w:val="0"/>
                    <w:jc w:val="center"/>
                    <w:rPr>
                      <w:rFonts w:ascii="Times New Roman" w:hAnsi="Times New Roman" w:cs="Times New Roman"/>
                      <w:color w:val="0000FF"/>
                    </w:rPr>
                  </w:pPr>
                  <w:r>
                    <w:rPr>
                      <w:rFonts w:ascii="Times New Roman" w:hAnsi="Times New Roman" w:cs="Times New Roman"/>
                      <w:color w:val="0000FF"/>
                    </w:rPr>
                    <w:t>0</w:t>
                  </w:r>
                </w:p>
              </w:tc>
              <w:tc>
                <w:tcPr>
                  <w:tcW w:w="815" w:type="dxa"/>
                  <w:tcBorders>
                    <w:tl2br w:val="nil"/>
                    <w:tr2bl w:val="nil"/>
                  </w:tcBorders>
                  <w:noWrap w:val="0"/>
                  <w:vAlign w:val="center"/>
                </w:tcPr>
                <w:p>
                  <w:pPr>
                    <w:pStyle w:val="113"/>
                    <w:adjustRightInd w:val="0"/>
                    <w:snapToGrid w:val="0"/>
                    <w:jc w:val="center"/>
                    <w:rPr>
                      <w:rFonts w:hint="eastAsia" w:ascii="Times New Roman" w:hAnsi="Times New Roman" w:eastAsia="宋体" w:cs="Times New Roman"/>
                      <w:color w:val="0000FF"/>
                      <w:lang w:eastAsia="zh-CN"/>
                    </w:rPr>
                  </w:pPr>
                  <w:r>
                    <w:rPr>
                      <w:rFonts w:hint="eastAsia" w:ascii="Times New Roman" w:hAnsi="Times New Roman" w:cs="Times New Roman"/>
                      <w:color w:val="0000FF"/>
                      <w:szCs w:val="21"/>
                      <w:lang w:val="en-US" w:eastAsia="zh-CN"/>
                    </w:rPr>
                    <w:t>4</w:t>
                  </w:r>
                </w:p>
              </w:tc>
              <w:tc>
                <w:tcPr>
                  <w:tcW w:w="2508" w:type="dxa"/>
                  <w:tcBorders>
                    <w:tl2br w:val="nil"/>
                    <w:tr2bl w:val="nil"/>
                  </w:tcBorders>
                  <w:noWrap w:val="0"/>
                  <w:vAlign w:val="center"/>
                </w:tcPr>
                <w:p>
                  <w:pPr>
                    <w:pStyle w:val="113"/>
                    <w:adjustRightInd w:val="0"/>
                    <w:snapToGrid w:val="0"/>
                    <w:jc w:val="center"/>
                    <w:rPr>
                      <w:rFonts w:hint="default" w:ascii="Times New Roman" w:hAnsi="Times New Roman" w:eastAsia="宋体" w:cs="Times New Roman"/>
                      <w:color w:val="0000FF"/>
                      <w:lang w:val="en-US" w:eastAsia="zh-CN"/>
                    </w:rPr>
                  </w:pPr>
                  <w:r>
                    <w:rPr>
                      <w:rFonts w:hint="eastAsia" w:ascii="Times New Roman" w:hAnsi="Times New Roman" w:cs="Times New Roman"/>
                      <w:color w:val="0000FF"/>
                      <w:lang w:val="en-US" w:eastAsia="zh-CN"/>
                    </w:rPr>
                    <w:t>1.14</w:t>
                  </w:r>
                </w:p>
              </w:tc>
            </w:tr>
          </w:tbl>
          <w:p>
            <w:pPr>
              <w:widowControl/>
              <w:spacing w:line="360" w:lineRule="auto"/>
              <w:ind w:firstLine="480"/>
              <w:rPr>
                <w:sz w:val="24"/>
              </w:rPr>
            </w:pPr>
            <w:r>
              <w:rPr>
                <w:rFonts w:hint="eastAsia"/>
                <w:color w:val="00B050"/>
                <w:highlight w:val="none"/>
              </w:rPr>
              <w:object>
                <v:shape id="_x0000_i1027" o:spt="75" type="#_x0000_t75" style="height:191.3pt;width:386.75pt;" o:ole="t" filled="f" o:preferrelative="t" stroked="f" coordsize="21600,21600">
                  <v:path/>
                  <v:fill on="f" focussize="0,0"/>
                  <v:stroke on="f"/>
                  <v:imagedata r:id="rId24" o:title=""/>
                  <o:lock v:ext="edit" aspectratio="t"/>
                  <w10:wrap type="none"/>
                  <w10:anchorlock/>
                </v:shape>
                <o:OLEObject Type="Embed" ProgID="Visio.Drawing.15" ShapeID="_x0000_i1027" DrawAspect="Content" ObjectID="_1468075727" r:id="rId23">
                  <o:LockedField>false</o:LockedField>
                </o:OLEObject>
              </w:object>
            </w:r>
          </w:p>
          <w:p>
            <w:pPr>
              <w:widowControl/>
              <w:spacing w:line="360" w:lineRule="auto"/>
              <w:ind w:firstLine="480"/>
              <w:jc w:val="center"/>
              <w:rPr>
                <w:sz w:val="24"/>
              </w:rPr>
            </w:pPr>
            <w:r>
              <w:rPr>
                <w:color w:val="000000" w:themeColor="text1"/>
                <w:sz w:val="24"/>
                <w:szCs w:val="20"/>
                <w:lang w:val="zh-CN"/>
                <w14:textFill>
                  <w14:solidFill>
                    <w14:schemeClr w14:val="tx1"/>
                  </w14:solidFill>
                </w14:textFill>
              </w:rPr>
              <w:t>图</w:t>
            </w:r>
            <w:r>
              <w:rPr>
                <w:rFonts w:hint="eastAsia"/>
                <w:color w:val="000000" w:themeColor="text1"/>
                <w:sz w:val="24"/>
                <w:szCs w:val="20"/>
                <w:lang w:val="en-US" w:eastAsia="zh-CN"/>
                <w14:textFill>
                  <w14:solidFill>
                    <w14:schemeClr w14:val="tx1"/>
                  </w14:solidFill>
                </w14:textFill>
              </w:rPr>
              <w:t>4</w:t>
            </w:r>
            <w:r>
              <w:rPr>
                <w:color w:val="000000" w:themeColor="text1"/>
                <w:sz w:val="24"/>
                <w:szCs w:val="20"/>
                <w:lang w:val="zh-CN"/>
                <w14:textFill>
                  <w14:solidFill>
                    <w14:schemeClr w14:val="tx1"/>
                  </w14:solidFill>
                </w14:textFill>
              </w:rPr>
              <w:t>-</w:t>
            </w:r>
            <w:r>
              <w:rPr>
                <w:rFonts w:hint="eastAsia"/>
                <w:color w:val="000000" w:themeColor="text1"/>
                <w:sz w:val="24"/>
                <w:szCs w:val="20"/>
                <w:lang w:val="en-US" w:eastAsia="zh-CN"/>
                <w14:textFill>
                  <w14:solidFill>
                    <w14:schemeClr w14:val="tx1"/>
                  </w14:solidFill>
                </w14:textFill>
              </w:rPr>
              <w:t>4</w:t>
            </w:r>
            <w:r>
              <w:rPr>
                <w:rFonts w:hint="eastAsia"/>
                <w:color w:val="000000" w:themeColor="text1"/>
                <w:sz w:val="24"/>
                <w:szCs w:val="20"/>
                <w14:textFill>
                  <w14:solidFill>
                    <w14:schemeClr w14:val="tx1"/>
                  </w14:solidFill>
                </w14:textFill>
              </w:rPr>
              <w:t xml:space="preserve"> </w:t>
            </w:r>
            <w:r>
              <w:rPr>
                <w:color w:val="000000" w:themeColor="text1"/>
                <w:sz w:val="24"/>
                <w:szCs w:val="20"/>
                <w:lang w:val="zh-CN"/>
                <w14:textFill>
                  <w14:solidFill>
                    <w14:schemeClr w14:val="tx1"/>
                  </w14:solidFill>
                </w14:textFill>
              </w:rPr>
              <w:t>项目水平衡图（</w:t>
            </w:r>
            <w:r>
              <w:rPr>
                <w:rFonts w:hint="eastAsia"/>
                <w:color w:val="000000" w:themeColor="text1"/>
                <w:sz w:val="24"/>
                <w:szCs w:val="20"/>
                <w:lang w:val="zh-CN"/>
                <w14:textFill>
                  <w14:solidFill>
                    <w14:schemeClr w14:val="tx1"/>
                  </w14:solidFill>
                </w14:textFill>
              </w:rPr>
              <w:t>单位：m</w:t>
            </w:r>
            <w:r>
              <w:rPr>
                <w:rFonts w:hint="eastAsia"/>
                <w:color w:val="000000" w:themeColor="text1"/>
                <w:sz w:val="24"/>
                <w:szCs w:val="20"/>
                <w:vertAlign w:val="superscript"/>
                <w:lang w:val="zh-CN"/>
                <w14:textFill>
                  <w14:solidFill>
                    <w14:schemeClr w14:val="tx1"/>
                  </w14:solidFill>
                </w14:textFill>
              </w:rPr>
              <w:t>3</w:t>
            </w:r>
            <w:r>
              <w:rPr>
                <w:rFonts w:hint="eastAsia"/>
                <w:color w:val="000000" w:themeColor="text1"/>
                <w:sz w:val="24"/>
                <w:szCs w:val="20"/>
                <w:lang w:val="zh-CN"/>
                <w14:textFill>
                  <w14:solidFill>
                    <w14:schemeClr w14:val="tx1"/>
                  </w14:solidFill>
                </w14:textFill>
              </w:rPr>
              <w:t>/d</w:t>
            </w:r>
            <w:r>
              <w:rPr>
                <w:rFonts w:hint="eastAsia"/>
                <w:color w:val="000000" w:themeColor="text1"/>
                <w:sz w:val="24"/>
                <w:szCs w:val="20"/>
                <w14:textFill>
                  <w14:solidFill>
                    <w14:schemeClr w14:val="tx1"/>
                  </w14:solidFill>
                </w14:textFill>
              </w:rPr>
              <w:t>）</w:t>
            </w:r>
          </w:p>
          <w:p>
            <w:pPr>
              <w:widowControl/>
              <w:spacing w:line="360" w:lineRule="auto"/>
              <w:ind w:firstLine="480"/>
              <w:rPr>
                <w:sz w:val="24"/>
              </w:rPr>
            </w:pPr>
            <w:r>
              <w:rPr>
                <w:sz w:val="24"/>
              </w:rPr>
              <w:t>项目废水排放情况见表4-</w:t>
            </w:r>
            <w:r>
              <w:rPr>
                <w:rFonts w:hint="eastAsia"/>
                <w:sz w:val="24"/>
              </w:rPr>
              <w:t>2</w:t>
            </w:r>
            <w:r>
              <w:rPr>
                <w:rFonts w:hint="eastAsia"/>
                <w:sz w:val="24"/>
                <w:lang w:val="en-US" w:eastAsia="zh-CN"/>
              </w:rPr>
              <w:t>4</w:t>
            </w:r>
            <w:r>
              <w:rPr>
                <w:sz w:val="24"/>
              </w:rPr>
              <w:t>。</w:t>
            </w:r>
          </w:p>
          <w:p>
            <w:pPr>
              <w:spacing w:before="120" w:beforeLines="50"/>
              <w:ind w:firstLine="1920" w:firstLineChars="800"/>
              <w:jc w:val="center"/>
              <w:rPr>
                <w:rFonts w:hint="eastAsia" w:eastAsia="黑体"/>
                <w:sz w:val="24"/>
              </w:rPr>
            </w:pPr>
          </w:p>
          <w:p>
            <w:pPr>
              <w:spacing w:before="120" w:beforeLines="50"/>
              <w:ind w:firstLine="1920" w:firstLineChars="800"/>
              <w:jc w:val="center"/>
              <w:rPr>
                <w:rFonts w:hint="eastAsia" w:eastAsia="黑体"/>
                <w:sz w:val="24"/>
              </w:rPr>
            </w:pPr>
          </w:p>
          <w:p>
            <w:pPr>
              <w:spacing w:before="120" w:beforeLines="50"/>
              <w:ind w:firstLine="1920" w:firstLineChars="800"/>
              <w:jc w:val="center"/>
              <w:rPr>
                <w:rFonts w:hint="eastAsia" w:eastAsia="黑体"/>
                <w:sz w:val="24"/>
              </w:rPr>
            </w:pPr>
          </w:p>
          <w:p>
            <w:pPr>
              <w:spacing w:before="120" w:beforeLines="50"/>
              <w:ind w:firstLine="1920" w:firstLineChars="800"/>
              <w:jc w:val="both"/>
              <w:rPr>
                <w:rFonts w:hint="eastAsia" w:eastAsia="黑体"/>
                <w:sz w:val="24"/>
              </w:rPr>
            </w:pPr>
          </w:p>
          <w:p>
            <w:pPr>
              <w:pStyle w:val="2"/>
              <w:rPr>
                <w:rFonts w:hint="eastAsia" w:eastAsia="黑体"/>
                <w:sz w:val="24"/>
              </w:rPr>
            </w:pPr>
          </w:p>
          <w:p>
            <w:pPr>
              <w:pStyle w:val="3"/>
              <w:rPr>
                <w:rFonts w:hint="eastAsia" w:eastAsia="黑体"/>
                <w:sz w:val="24"/>
              </w:rPr>
            </w:pPr>
          </w:p>
          <w:p>
            <w:pPr>
              <w:pStyle w:val="4"/>
              <w:rPr>
                <w:rFonts w:hint="eastAsia"/>
              </w:rPr>
            </w:pPr>
          </w:p>
          <w:p>
            <w:pPr>
              <w:spacing w:before="120" w:beforeLines="50"/>
              <w:ind w:firstLine="2160" w:firstLineChars="900"/>
              <w:jc w:val="both"/>
              <w:rPr>
                <w:rFonts w:eastAsia="黑体"/>
                <w:sz w:val="24"/>
              </w:rPr>
            </w:pPr>
            <w:r>
              <w:rPr>
                <w:rFonts w:hint="eastAsia" w:eastAsia="黑体"/>
                <w:sz w:val="24"/>
              </w:rPr>
              <w:t>表4-2</w:t>
            </w:r>
            <w:r>
              <w:rPr>
                <w:rFonts w:hint="eastAsia" w:eastAsia="黑体"/>
                <w:sz w:val="24"/>
                <w:lang w:val="en-US" w:eastAsia="zh-CN"/>
              </w:rPr>
              <w:t>4</w:t>
            </w:r>
            <w:r>
              <w:rPr>
                <w:rFonts w:hint="eastAsia" w:eastAsia="黑体"/>
                <w:sz w:val="24"/>
              </w:rPr>
              <w:t xml:space="preserve">  废水污染源产生、排放汇总表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9"/>
              <w:gridCol w:w="319"/>
              <w:gridCol w:w="593"/>
              <w:gridCol w:w="356"/>
              <w:gridCol w:w="407"/>
              <w:gridCol w:w="398"/>
              <w:gridCol w:w="412"/>
              <w:gridCol w:w="320"/>
              <w:gridCol w:w="320"/>
              <w:gridCol w:w="320"/>
              <w:gridCol w:w="423"/>
              <w:gridCol w:w="407"/>
              <w:gridCol w:w="530"/>
              <w:gridCol w:w="291"/>
              <w:gridCol w:w="423"/>
              <w:gridCol w:w="512"/>
              <w:gridCol w:w="392"/>
              <w:gridCol w:w="365"/>
              <w:gridCol w:w="803"/>
              <w:gridCol w:w="5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9" w:type="dxa"/>
                  <w:vMerge w:val="restart"/>
                  <w:vAlign w:val="center"/>
                </w:tcPr>
                <w:p>
                  <w:pPr>
                    <w:adjustRightInd w:val="0"/>
                    <w:snapToGrid w:val="0"/>
                    <w:spacing w:line="240" w:lineRule="atLeast"/>
                    <w:jc w:val="center"/>
                    <w:rPr>
                      <w:color w:val="0000FF"/>
                      <w:sz w:val="18"/>
                      <w:szCs w:val="18"/>
                    </w:rPr>
                  </w:pPr>
                  <w:r>
                    <w:rPr>
                      <w:color w:val="0000FF"/>
                      <w:sz w:val="18"/>
                      <w:szCs w:val="18"/>
                    </w:rPr>
                    <w:t>产排污环节</w:t>
                  </w:r>
                </w:p>
              </w:tc>
              <w:tc>
                <w:tcPr>
                  <w:tcW w:w="319" w:type="dxa"/>
                  <w:vMerge w:val="restart"/>
                  <w:vAlign w:val="center"/>
                </w:tcPr>
                <w:p>
                  <w:pPr>
                    <w:adjustRightInd w:val="0"/>
                    <w:snapToGrid w:val="0"/>
                    <w:spacing w:line="240" w:lineRule="atLeast"/>
                    <w:jc w:val="center"/>
                    <w:rPr>
                      <w:color w:val="0000FF"/>
                      <w:sz w:val="18"/>
                      <w:szCs w:val="18"/>
                    </w:rPr>
                  </w:pPr>
                  <w:r>
                    <w:rPr>
                      <w:color w:val="0000FF"/>
                      <w:sz w:val="18"/>
                      <w:szCs w:val="18"/>
                    </w:rPr>
                    <w:t>类别</w:t>
                  </w:r>
                </w:p>
              </w:tc>
              <w:tc>
                <w:tcPr>
                  <w:tcW w:w="593" w:type="dxa"/>
                  <w:vMerge w:val="restart"/>
                  <w:vAlign w:val="center"/>
                </w:tcPr>
                <w:p>
                  <w:pPr>
                    <w:adjustRightInd w:val="0"/>
                    <w:snapToGrid w:val="0"/>
                    <w:spacing w:line="240" w:lineRule="atLeast"/>
                    <w:jc w:val="center"/>
                    <w:rPr>
                      <w:color w:val="0000FF"/>
                      <w:sz w:val="18"/>
                      <w:szCs w:val="18"/>
                    </w:rPr>
                  </w:pPr>
                  <w:r>
                    <w:rPr>
                      <w:color w:val="0000FF"/>
                      <w:sz w:val="18"/>
                      <w:szCs w:val="18"/>
                    </w:rPr>
                    <w:t>污染物</w:t>
                  </w:r>
                </w:p>
                <w:p>
                  <w:pPr>
                    <w:adjustRightInd w:val="0"/>
                    <w:snapToGrid w:val="0"/>
                    <w:spacing w:line="240" w:lineRule="atLeast"/>
                    <w:jc w:val="center"/>
                    <w:rPr>
                      <w:color w:val="0000FF"/>
                      <w:sz w:val="18"/>
                      <w:szCs w:val="18"/>
                    </w:rPr>
                  </w:pPr>
                  <w:r>
                    <w:rPr>
                      <w:color w:val="0000FF"/>
                      <w:sz w:val="18"/>
                      <w:szCs w:val="18"/>
                    </w:rPr>
                    <w:t>种类</w:t>
                  </w:r>
                </w:p>
              </w:tc>
              <w:tc>
                <w:tcPr>
                  <w:tcW w:w="1161" w:type="dxa"/>
                  <w:gridSpan w:val="3"/>
                  <w:vAlign w:val="center"/>
                </w:tcPr>
                <w:p>
                  <w:pPr>
                    <w:adjustRightInd w:val="0"/>
                    <w:snapToGrid w:val="0"/>
                    <w:spacing w:line="240" w:lineRule="atLeast"/>
                    <w:jc w:val="center"/>
                    <w:rPr>
                      <w:color w:val="0000FF"/>
                      <w:sz w:val="18"/>
                      <w:szCs w:val="18"/>
                    </w:rPr>
                  </w:pPr>
                  <w:r>
                    <w:rPr>
                      <w:color w:val="0000FF"/>
                      <w:sz w:val="18"/>
                      <w:szCs w:val="18"/>
                    </w:rPr>
                    <w:t>污染物产生量和浓度</w:t>
                  </w:r>
                </w:p>
              </w:tc>
              <w:tc>
                <w:tcPr>
                  <w:tcW w:w="1372" w:type="dxa"/>
                  <w:gridSpan w:val="4"/>
                  <w:vAlign w:val="center"/>
                </w:tcPr>
                <w:p>
                  <w:pPr>
                    <w:adjustRightInd w:val="0"/>
                    <w:snapToGrid w:val="0"/>
                    <w:spacing w:line="240" w:lineRule="atLeast"/>
                    <w:jc w:val="center"/>
                    <w:rPr>
                      <w:color w:val="0000FF"/>
                      <w:sz w:val="18"/>
                      <w:szCs w:val="18"/>
                    </w:rPr>
                  </w:pPr>
                  <w:r>
                    <w:rPr>
                      <w:color w:val="0000FF"/>
                      <w:sz w:val="18"/>
                      <w:szCs w:val="18"/>
                    </w:rPr>
                    <w:t>污染治理设施</w:t>
                  </w:r>
                </w:p>
              </w:tc>
              <w:tc>
                <w:tcPr>
                  <w:tcW w:w="1360" w:type="dxa"/>
                  <w:gridSpan w:val="3"/>
                  <w:vAlign w:val="center"/>
                </w:tcPr>
                <w:p>
                  <w:pPr>
                    <w:adjustRightInd w:val="0"/>
                    <w:snapToGrid w:val="0"/>
                    <w:spacing w:line="240" w:lineRule="atLeast"/>
                    <w:jc w:val="center"/>
                    <w:rPr>
                      <w:color w:val="0000FF"/>
                      <w:sz w:val="18"/>
                      <w:szCs w:val="18"/>
                    </w:rPr>
                  </w:pPr>
                  <w:r>
                    <w:rPr>
                      <w:color w:val="0000FF"/>
                      <w:sz w:val="18"/>
                      <w:szCs w:val="18"/>
                    </w:rPr>
                    <w:t>污染物排放量和浓度</w:t>
                  </w:r>
                </w:p>
              </w:tc>
              <w:tc>
                <w:tcPr>
                  <w:tcW w:w="2786" w:type="dxa"/>
                  <w:gridSpan w:val="6"/>
                  <w:vAlign w:val="center"/>
                </w:tcPr>
                <w:p>
                  <w:pPr>
                    <w:adjustRightInd w:val="0"/>
                    <w:snapToGrid w:val="0"/>
                    <w:spacing w:line="240" w:lineRule="atLeast"/>
                    <w:jc w:val="center"/>
                    <w:rPr>
                      <w:color w:val="0000FF"/>
                      <w:sz w:val="18"/>
                      <w:szCs w:val="18"/>
                    </w:rPr>
                  </w:pPr>
                  <w:r>
                    <w:rPr>
                      <w:color w:val="0000FF"/>
                      <w:sz w:val="18"/>
                      <w:szCs w:val="18"/>
                    </w:rPr>
                    <w:t>排放口基本情况</w:t>
                  </w:r>
                </w:p>
              </w:tc>
              <w:tc>
                <w:tcPr>
                  <w:tcW w:w="591" w:type="dxa"/>
                  <w:vAlign w:val="center"/>
                </w:tcPr>
                <w:p>
                  <w:pPr>
                    <w:adjustRightInd w:val="0"/>
                    <w:snapToGrid w:val="0"/>
                    <w:spacing w:line="240" w:lineRule="atLeast"/>
                    <w:jc w:val="center"/>
                    <w:rPr>
                      <w:color w:val="0000FF"/>
                      <w:sz w:val="18"/>
                      <w:szCs w:val="18"/>
                    </w:rPr>
                  </w:pPr>
                  <w:r>
                    <w:rPr>
                      <w:color w:val="0000FF"/>
                      <w:sz w:val="18"/>
                      <w:szCs w:val="18"/>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9" w:type="dxa"/>
                  <w:vMerge w:val="continue"/>
                  <w:vAlign w:val="center"/>
                </w:tcPr>
                <w:p>
                  <w:pPr>
                    <w:adjustRightInd w:val="0"/>
                    <w:snapToGrid w:val="0"/>
                    <w:spacing w:line="240" w:lineRule="atLeast"/>
                    <w:jc w:val="center"/>
                    <w:rPr>
                      <w:color w:val="0000FF"/>
                      <w:sz w:val="18"/>
                      <w:szCs w:val="18"/>
                    </w:rPr>
                  </w:pPr>
                </w:p>
              </w:tc>
              <w:tc>
                <w:tcPr>
                  <w:tcW w:w="319" w:type="dxa"/>
                  <w:vMerge w:val="continue"/>
                  <w:vAlign w:val="center"/>
                </w:tcPr>
                <w:p>
                  <w:pPr>
                    <w:adjustRightInd w:val="0"/>
                    <w:snapToGrid w:val="0"/>
                    <w:spacing w:line="240" w:lineRule="atLeast"/>
                    <w:jc w:val="center"/>
                    <w:rPr>
                      <w:color w:val="0000FF"/>
                      <w:sz w:val="18"/>
                      <w:szCs w:val="18"/>
                    </w:rPr>
                  </w:pPr>
                </w:p>
              </w:tc>
              <w:tc>
                <w:tcPr>
                  <w:tcW w:w="593" w:type="dxa"/>
                  <w:vMerge w:val="continue"/>
                  <w:vAlign w:val="center"/>
                </w:tcPr>
                <w:p>
                  <w:pPr>
                    <w:adjustRightInd w:val="0"/>
                    <w:snapToGrid w:val="0"/>
                    <w:spacing w:line="240" w:lineRule="atLeast"/>
                    <w:jc w:val="center"/>
                    <w:rPr>
                      <w:color w:val="0000FF"/>
                      <w:sz w:val="18"/>
                      <w:szCs w:val="18"/>
                    </w:rPr>
                  </w:pPr>
                </w:p>
              </w:tc>
              <w:tc>
                <w:tcPr>
                  <w:tcW w:w="356" w:type="dxa"/>
                  <w:vAlign w:val="center"/>
                </w:tcPr>
                <w:p>
                  <w:pPr>
                    <w:adjustRightInd w:val="0"/>
                    <w:snapToGrid w:val="0"/>
                    <w:spacing w:line="240" w:lineRule="atLeast"/>
                    <w:jc w:val="center"/>
                    <w:rPr>
                      <w:color w:val="0000FF"/>
                      <w:sz w:val="18"/>
                      <w:szCs w:val="18"/>
                    </w:rPr>
                  </w:pPr>
                  <w:r>
                    <w:rPr>
                      <w:color w:val="0000FF"/>
                      <w:sz w:val="18"/>
                      <w:szCs w:val="18"/>
                    </w:rPr>
                    <w:t>废水量</w:t>
                  </w:r>
                </w:p>
              </w:tc>
              <w:tc>
                <w:tcPr>
                  <w:tcW w:w="407" w:type="dxa"/>
                  <w:vAlign w:val="center"/>
                </w:tcPr>
                <w:p>
                  <w:pPr>
                    <w:adjustRightInd w:val="0"/>
                    <w:snapToGrid w:val="0"/>
                    <w:spacing w:line="240" w:lineRule="atLeast"/>
                    <w:jc w:val="center"/>
                    <w:rPr>
                      <w:color w:val="0000FF"/>
                      <w:sz w:val="18"/>
                      <w:szCs w:val="18"/>
                    </w:rPr>
                  </w:pPr>
                  <w:r>
                    <w:rPr>
                      <w:color w:val="0000FF"/>
                      <w:sz w:val="18"/>
                      <w:szCs w:val="18"/>
                    </w:rPr>
                    <w:t>产生浓度</w:t>
                  </w:r>
                </w:p>
              </w:tc>
              <w:tc>
                <w:tcPr>
                  <w:tcW w:w="398" w:type="dxa"/>
                  <w:vAlign w:val="center"/>
                </w:tcPr>
                <w:p>
                  <w:pPr>
                    <w:adjustRightInd w:val="0"/>
                    <w:snapToGrid w:val="0"/>
                    <w:spacing w:line="240" w:lineRule="atLeast"/>
                    <w:jc w:val="center"/>
                    <w:rPr>
                      <w:color w:val="0000FF"/>
                      <w:sz w:val="18"/>
                      <w:szCs w:val="18"/>
                    </w:rPr>
                  </w:pPr>
                  <w:r>
                    <w:rPr>
                      <w:color w:val="0000FF"/>
                      <w:sz w:val="18"/>
                      <w:szCs w:val="18"/>
                    </w:rPr>
                    <w:t>产生量</w:t>
                  </w:r>
                </w:p>
              </w:tc>
              <w:tc>
                <w:tcPr>
                  <w:tcW w:w="412" w:type="dxa"/>
                  <w:vAlign w:val="center"/>
                </w:tcPr>
                <w:p>
                  <w:pPr>
                    <w:adjustRightInd w:val="0"/>
                    <w:snapToGrid w:val="0"/>
                    <w:spacing w:line="240" w:lineRule="atLeast"/>
                    <w:jc w:val="center"/>
                    <w:rPr>
                      <w:color w:val="0000FF"/>
                      <w:sz w:val="18"/>
                      <w:szCs w:val="18"/>
                    </w:rPr>
                  </w:pPr>
                  <w:r>
                    <w:rPr>
                      <w:color w:val="0000FF"/>
                      <w:sz w:val="18"/>
                      <w:szCs w:val="18"/>
                    </w:rPr>
                    <w:t>处理能力</w:t>
                  </w:r>
                </w:p>
              </w:tc>
              <w:tc>
                <w:tcPr>
                  <w:tcW w:w="320" w:type="dxa"/>
                  <w:vMerge w:val="restart"/>
                  <w:vAlign w:val="center"/>
                </w:tcPr>
                <w:p>
                  <w:pPr>
                    <w:adjustRightInd w:val="0"/>
                    <w:snapToGrid w:val="0"/>
                    <w:spacing w:line="240" w:lineRule="atLeast"/>
                    <w:jc w:val="center"/>
                    <w:rPr>
                      <w:color w:val="0000FF"/>
                      <w:sz w:val="18"/>
                      <w:szCs w:val="18"/>
                    </w:rPr>
                  </w:pPr>
                  <w:r>
                    <w:rPr>
                      <w:color w:val="0000FF"/>
                      <w:sz w:val="18"/>
                      <w:szCs w:val="18"/>
                    </w:rPr>
                    <w:t>主要治理工艺</w:t>
                  </w:r>
                </w:p>
              </w:tc>
              <w:tc>
                <w:tcPr>
                  <w:tcW w:w="320" w:type="dxa"/>
                  <w:vAlign w:val="center"/>
                </w:tcPr>
                <w:p>
                  <w:pPr>
                    <w:adjustRightInd w:val="0"/>
                    <w:snapToGrid w:val="0"/>
                    <w:spacing w:line="240" w:lineRule="atLeast"/>
                    <w:jc w:val="center"/>
                    <w:rPr>
                      <w:color w:val="0000FF"/>
                      <w:sz w:val="18"/>
                      <w:szCs w:val="18"/>
                    </w:rPr>
                  </w:pPr>
                  <w:r>
                    <w:rPr>
                      <w:color w:val="0000FF"/>
                      <w:sz w:val="18"/>
                      <w:szCs w:val="18"/>
                    </w:rPr>
                    <w:t>去除效率</w:t>
                  </w:r>
                </w:p>
              </w:tc>
              <w:tc>
                <w:tcPr>
                  <w:tcW w:w="320" w:type="dxa"/>
                  <w:vMerge w:val="restart"/>
                  <w:vAlign w:val="center"/>
                </w:tcPr>
                <w:p>
                  <w:pPr>
                    <w:adjustRightInd w:val="0"/>
                    <w:snapToGrid w:val="0"/>
                    <w:spacing w:line="240" w:lineRule="atLeast"/>
                    <w:jc w:val="center"/>
                    <w:rPr>
                      <w:color w:val="0000FF"/>
                      <w:sz w:val="18"/>
                      <w:szCs w:val="18"/>
                    </w:rPr>
                  </w:pPr>
                  <w:r>
                    <w:rPr>
                      <w:color w:val="0000FF"/>
                      <w:sz w:val="18"/>
                      <w:szCs w:val="18"/>
                    </w:rPr>
                    <w:t>是否可行技术</w:t>
                  </w:r>
                </w:p>
              </w:tc>
              <w:tc>
                <w:tcPr>
                  <w:tcW w:w="423" w:type="dxa"/>
                  <w:vAlign w:val="center"/>
                </w:tcPr>
                <w:p>
                  <w:pPr>
                    <w:adjustRightInd w:val="0"/>
                    <w:snapToGrid w:val="0"/>
                    <w:spacing w:line="240" w:lineRule="atLeast"/>
                    <w:jc w:val="center"/>
                    <w:rPr>
                      <w:color w:val="0000FF"/>
                      <w:sz w:val="18"/>
                      <w:szCs w:val="18"/>
                    </w:rPr>
                  </w:pPr>
                  <w:r>
                    <w:rPr>
                      <w:color w:val="0000FF"/>
                      <w:sz w:val="18"/>
                      <w:szCs w:val="18"/>
                    </w:rPr>
                    <w:t>废水量</w:t>
                  </w:r>
                </w:p>
              </w:tc>
              <w:tc>
                <w:tcPr>
                  <w:tcW w:w="407" w:type="dxa"/>
                  <w:vAlign w:val="center"/>
                </w:tcPr>
                <w:p>
                  <w:pPr>
                    <w:adjustRightInd w:val="0"/>
                    <w:snapToGrid w:val="0"/>
                    <w:spacing w:line="240" w:lineRule="atLeast"/>
                    <w:jc w:val="center"/>
                    <w:rPr>
                      <w:color w:val="0000FF"/>
                      <w:sz w:val="18"/>
                      <w:szCs w:val="18"/>
                    </w:rPr>
                  </w:pPr>
                  <w:r>
                    <w:rPr>
                      <w:color w:val="0000FF"/>
                      <w:sz w:val="18"/>
                      <w:szCs w:val="18"/>
                    </w:rPr>
                    <w:t>排放浓度</w:t>
                  </w:r>
                </w:p>
              </w:tc>
              <w:tc>
                <w:tcPr>
                  <w:tcW w:w="530" w:type="dxa"/>
                  <w:vAlign w:val="center"/>
                </w:tcPr>
                <w:p>
                  <w:pPr>
                    <w:adjustRightInd w:val="0"/>
                    <w:snapToGrid w:val="0"/>
                    <w:spacing w:line="240" w:lineRule="atLeast"/>
                    <w:jc w:val="center"/>
                    <w:rPr>
                      <w:color w:val="0000FF"/>
                      <w:sz w:val="18"/>
                      <w:szCs w:val="18"/>
                    </w:rPr>
                  </w:pPr>
                  <w:r>
                    <w:rPr>
                      <w:color w:val="0000FF"/>
                      <w:sz w:val="18"/>
                      <w:szCs w:val="18"/>
                    </w:rPr>
                    <w:t>排放量</w:t>
                  </w:r>
                </w:p>
              </w:tc>
              <w:tc>
                <w:tcPr>
                  <w:tcW w:w="291" w:type="dxa"/>
                  <w:vAlign w:val="center"/>
                </w:tcPr>
                <w:p>
                  <w:pPr>
                    <w:adjustRightInd w:val="0"/>
                    <w:snapToGrid w:val="0"/>
                    <w:spacing w:line="240" w:lineRule="atLeast"/>
                    <w:jc w:val="center"/>
                    <w:rPr>
                      <w:color w:val="0000FF"/>
                      <w:sz w:val="18"/>
                      <w:szCs w:val="18"/>
                    </w:rPr>
                  </w:pPr>
                  <w:r>
                    <w:rPr>
                      <w:color w:val="0000FF"/>
                      <w:sz w:val="18"/>
                      <w:szCs w:val="18"/>
                    </w:rPr>
                    <w:t>排放</w:t>
                  </w:r>
                </w:p>
                <w:p>
                  <w:pPr>
                    <w:adjustRightInd w:val="0"/>
                    <w:snapToGrid w:val="0"/>
                    <w:spacing w:line="240" w:lineRule="atLeast"/>
                    <w:jc w:val="center"/>
                    <w:rPr>
                      <w:color w:val="0000FF"/>
                      <w:sz w:val="18"/>
                      <w:szCs w:val="18"/>
                    </w:rPr>
                  </w:pPr>
                  <w:r>
                    <w:rPr>
                      <w:color w:val="0000FF"/>
                      <w:sz w:val="18"/>
                      <w:szCs w:val="18"/>
                    </w:rPr>
                    <w:t>方式</w:t>
                  </w:r>
                </w:p>
              </w:tc>
              <w:tc>
                <w:tcPr>
                  <w:tcW w:w="423" w:type="dxa"/>
                  <w:vAlign w:val="center"/>
                </w:tcPr>
                <w:p>
                  <w:pPr>
                    <w:adjustRightInd w:val="0"/>
                    <w:snapToGrid w:val="0"/>
                    <w:spacing w:line="240" w:lineRule="atLeast"/>
                    <w:jc w:val="center"/>
                    <w:rPr>
                      <w:color w:val="0000FF"/>
                      <w:sz w:val="18"/>
                      <w:szCs w:val="18"/>
                    </w:rPr>
                  </w:pPr>
                  <w:r>
                    <w:rPr>
                      <w:color w:val="0000FF"/>
                      <w:sz w:val="18"/>
                      <w:szCs w:val="18"/>
                    </w:rPr>
                    <w:t>排放去向</w:t>
                  </w:r>
                </w:p>
              </w:tc>
              <w:tc>
                <w:tcPr>
                  <w:tcW w:w="512" w:type="dxa"/>
                  <w:vAlign w:val="center"/>
                </w:tcPr>
                <w:p>
                  <w:pPr>
                    <w:adjustRightInd w:val="0"/>
                    <w:snapToGrid w:val="0"/>
                    <w:spacing w:line="240" w:lineRule="atLeast"/>
                    <w:jc w:val="center"/>
                    <w:rPr>
                      <w:color w:val="0000FF"/>
                      <w:sz w:val="18"/>
                      <w:szCs w:val="18"/>
                    </w:rPr>
                  </w:pPr>
                  <w:r>
                    <w:rPr>
                      <w:color w:val="0000FF"/>
                      <w:sz w:val="18"/>
                      <w:szCs w:val="18"/>
                    </w:rPr>
                    <w:t>排放规律</w:t>
                  </w:r>
                </w:p>
              </w:tc>
              <w:tc>
                <w:tcPr>
                  <w:tcW w:w="392" w:type="dxa"/>
                  <w:vAlign w:val="center"/>
                </w:tcPr>
                <w:p>
                  <w:pPr>
                    <w:adjustRightInd w:val="0"/>
                    <w:snapToGrid w:val="0"/>
                    <w:spacing w:line="240" w:lineRule="atLeast"/>
                    <w:jc w:val="center"/>
                    <w:rPr>
                      <w:color w:val="0000FF"/>
                      <w:sz w:val="18"/>
                      <w:szCs w:val="18"/>
                    </w:rPr>
                  </w:pPr>
                  <w:r>
                    <w:rPr>
                      <w:color w:val="0000FF"/>
                      <w:sz w:val="18"/>
                      <w:szCs w:val="18"/>
                    </w:rPr>
                    <w:t>排放编号及名称</w:t>
                  </w:r>
                </w:p>
              </w:tc>
              <w:tc>
                <w:tcPr>
                  <w:tcW w:w="365" w:type="dxa"/>
                  <w:vAlign w:val="center"/>
                </w:tcPr>
                <w:p>
                  <w:pPr>
                    <w:adjustRightInd w:val="0"/>
                    <w:snapToGrid w:val="0"/>
                    <w:spacing w:line="240" w:lineRule="atLeast"/>
                    <w:jc w:val="center"/>
                    <w:rPr>
                      <w:color w:val="0000FF"/>
                      <w:sz w:val="18"/>
                      <w:szCs w:val="18"/>
                    </w:rPr>
                  </w:pPr>
                  <w:r>
                    <w:rPr>
                      <w:color w:val="0000FF"/>
                      <w:sz w:val="18"/>
                      <w:szCs w:val="18"/>
                    </w:rPr>
                    <w:t>排放类型</w:t>
                  </w:r>
                </w:p>
              </w:tc>
              <w:tc>
                <w:tcPr>
                  <w:tcW w:w="803" w:type="dxa"/>
                  <w:vAlign w:val="center"/>
                </w:tcPr>
                <w:p>
                  <w:pPr>
                    <w:adjustRightInd w:val="0"/>
                    <w:snapToGrid w:val="0"/>
                    <w:spacing w:line="240" w:lineRule="atLeast"/>
                    <w:jc w:val="center"/>
                    <w:rPr>
                      <w:color w:val="0000FF"/>
                      <w:sz w:val="18"/>
                      <w:szCs w:val="18"/>
                    </w:rPr>
                  </w:pPr>
                  <w:r>
                    <w:rPr>
                      <w:color w:val="0000FF"/>
                      <w:sz w:val="18"/>
                      <w:szCs w:val="18"/>
                    </w:rPr>
                    <w:t>地理</w:t>
                  </w:r>
                </w:p>
                <w:p>
                  <w:pPr>
                    <w:adjustRightInd w:val="0"/>
                    <w:snapToGrid w:val="0"/>
                    <w:spacing w:line="240" w:lineRule="atLeast"/>
                    <w:jc w:val="center"/>
                    <w:rPr>
                      <w:color w:val="0000FF"/>
                      <w:sz w:val="18"/>
                      <w:szCs w:val="18"/>
                    </w:rPr>
                  </w:pPr>
                  <w:r>
                    <w:rPr>
                      <w:color w:val="0000FF"/>
                      <w:sz w:val="18"/>
                      <w:szCs w:val="18"/>
                    </w:rPr>
                    <w:t>坐标</w:t>
                  </w:r>
                </w:p>
              </w:tc>
              <w:tc>
                <w:tcPr>
                  <w:tcW w:w="591" w:type="dxa"/>
                  <w:vMerge w:val="restart"/>
                  <w:vAlign w:val="center"/>
                </w:tcPr>
                <w:p>
                  <w:pPr>
                    <w:adjustRightInd w:val="0"/>
                    <w:snapToGrid w:val="0"/>
                    <w:spacing w:line="240" w:lineRule="atLeast"/>
                    <w:jc w:val="center"/>
                    <w:rPr>
                      <w:color w:val="0000FF"/>
                      <w:sz w:val="18"/>
                      <w:szCs w:val="18"/>
                    </w:rPr>
                  </w:pPr>
                  <w:r>
                    <w:rPr>
                      <w:color w:val="0000FF"/>
                      <w:sz w:val="18"/>
                      <w:szCs w:val="18"/>
                    </w:rPr>
                    <w:t>浓度</w:t>
                  </w:r>
                </w:p>
                <w:p>
                  <w:pPr>
                    <w:adjustRightInd w:val="0"/>
                    <w:snapToGrid w:val="0"/>
                    <w:spacing w:line="240" w:lineRule="atLeast"/>
                    <w:jc w:val="center"/>
                    <w:rPr>
                      <w:color w:val="0000FF"/>
                      <w:sz w:val="18"/>
                      <w:szCs w:val="18"/>
                    </w:rPr>
                  </w:pPr>
                  <w:r>
                    <w:rPr>
                      <w:color w:val="0000FF"/>
                      <w:sz w:val="18"/>
                      <w:szCs w:val="18"/>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9" w:type="dxa"/>
                  <w:vMerge w:val="continue"/>
                  <w:vAlign w:val="center"/>
                </w:tcPr>
                <w:p>
                  <w:pPr>
                    <w:adjustRightInd w:val="0"/>
                    <w:snapToGrid w:val="0"/>
                    <w:spacing w:line="240" w:lineRule="atLeast"/>
                    <w:jc w:val="center"/>
                    <w:rPr>
                      <w:color w:val="0000FF"/>
                      <w:sz w:val="18"/>
                      <w:szCs w:val="18"/>
                    </w:rPr>
                  </w:pPr>
                </w:p>
              </w:tc>
              <w:tc>
                <w:tcPr>
                  <w:tcW w:w="319" w:type="dxa"/>
                  <w:vMerge w:val="continue"/>
                  <w:vAlign w:val="center"/>
                </w:tcPr>
                <w:p>
                  <w:pPr>
                    <w:adjustRightInd w:val="0"/>
                    <w:snapToGrid w:val="0"/>
                    <w:spacing w:line="240" w:lineRule="atLeast"/>
                    <w:jc w:val="center"/>
                    <w:rPr>
                      <w:color w:val="0000FF"/>
                      <w:sz w:val="18"/>
                      <w:szCs w:val="18"/>
                    </w:rPr>
                  </w:pPr>
                </w:p>
              </w:tc>
              <w:tc>
                <w:tcPr>
                  <w:tcW w:w="593" w:type="dxa"/>
                  <w:vMerge w:val="continue"/>
                  <w:vAlign w:val="center"/>
                </w:tcPr>
                <w:p>
                  <w:pPr>
                    <w:adjustRightInd w:val="0"/>
                    <w:snapToGrid w:val="0"/>
                    <w:spacing w:line="240" w:lineRule="atLeast"/>
                    <w:jc w:val="center"/>
                    <w:rPr>
                      <w:color w:val="0000FF"/>
                      <w:sz w:val="18"/>
                      <w:szCs w:val="18"/>
                    </w:rPr>
                  </w:pPr>
                </w:p>
              </w:tc>
              <w:tc>
                <w:tcPr>
                  <w:tcW w:w="356" w:type="dxa"/>
                  <w:vAlign w:val="center"/>
                </w:tcPr>
                <w:p>
                  <w:pPr>
                    <w:adjustRightInd w:val="0"/>
                    <w:snapToGrid w:val="0"/>
                    <w:spacing w:line="240" w:lineRule="atLeast"/>
                    <w:jc w:val="center"/>
                    <w:rPr>
                      <w:color w:val="0000FF"/>
                      <w:sz w:val="18"/>
                      <w:szCs w:val="18"/>
                    </w:rPr>
                  </w:pPr>
                  <w:r>
                    <w:rPr>
                      <w:color w:val="0000FF"/>
                      <w:sz w:val="18"/>
                      <w:szCs w:val="18"/>
                    </w:rPr>
                    <w:t>m</w:t>
                  </w:r>
                  <w:r>
                    <w:rPr>
                      <w:color w:val="0000FF"/>
                      <w:sz w:val="18"/>
                      <w:szCs w:val="18"/>
                      <w:vertAlign w:val="superscript"/>
                    </w:rPr>
                    <w:t>3</w:t>
                  </w:r>
                  <w:r>
                    <w:rPr>
                      <w:color w:val="0000FF"/>
                      <w:sz w:val="18"/>
                      <w:szCs w:val="18"/>
                    </w:rPr>
                    <w:t>/a</w:t>
                  </w:r>
                </w:p>
              </w:tc>
              <w:tc>
                <w:tcPr>
                  <w:tcW w:w="407" w:type="dxa"/>
                  <w:vAlign w:val="center"/>
                </w:tcPr>
                <w:p>
                  <w:pPr>
                    <w:adjustRightInd w:val="0"/>
                    <w:snapToGrid w:val="0"/>
                    <w:spacing w:line="240" w:lineRule="atLeast"/>
                    <w:jc w:val="center"/>
                    <w:rPr>
                      <w:color w:val="0000FF"/>
                      <w:sz w:val="18"/>
                      <w:szCs w:val="18"/>
                    </w:rPr>
                  </w:pPr>
                  <w:r>
                    <w:rPr>
                      <w:color w:val="0000FF"/>
                      <w:sz w:val="18"/>
                      <w:szCs w:val="18"/>
                    </w:rPr>
                    <w:t>mg/l</w:t>
                  </w:r>
                </w:p>
              </w:tc>
              <w:tc>
                <w:tcPr>
                  <w:tcW w:w="398" w:type="dxa"/>
                  <w:vAlign w:val="center"/>
                </w:tcPr>
                <w:p>
                  <w:pPr>
                    <w:adjustRightInd w:val="0"/>
                    <w:snapToGrid w:val="0"/>
                    <w:spacing w:line="240" w:lineRule="atLeast"/>
                    <w:jc w:val="center"/>
                    <w:rPr>
                      <w:color w:val="0000FF"/>
                      <w:sz w:val="18"/>
                      <w:szCs w:val="18"/>
                    </w:rPr>
                  </w:pPr>
                  <w:r>
                    <w:rPr>
                      <w:color w:val="0000FF"/>
                      <w:sz w:val="18"/>
                      <w:szCs w:val="18"/>
                    </w:rPr>
                    <w:t>t/a</w:t>
                  </w:r>
                </w:p>
              </w:tc>
              <w:tc>
                <w:tcPr>
                  <w:tcW w:w="412" w:type="dxa"/>
                  <w:vAlign w:val="center"/>
                </w:tcPr>
                <w:p>
                  <w:pPr>
                    <w:adjustRightInd w:val="0"/>
                    <w:snapToGrid w:val="0"/>
                    <w:spacing w:line="240" w:lineRule="atLeast"/>
                    <w:jc w:val="center"/>
                    <w:rPr>
                      <w:color w:val="0000FF"/>
                      <w:sz w:val="18"/>
                      <w:szCs w:val="18"/>
                    </w:rPr>
                  </w:pPr>
                  <w:r>
                    <w:rPr>
                      <w:color w:val="0000FF"/>
                      <w:sz w:val="18"/>
                      <w:szCs w:val="18"/>
                    </w:rPr>
                    <w:t>m</w:t>
                  </w:r>
                  <w:r>
                    <w:rPr>
                      <w:color w:val="0000FF"/>
                      <w:sz w:val="18"/>
                      <w:szCs w:val="18"/>
                      <w:vertAlign w:val="superscript"/>
                    </w:rPr>
                    <w:t>3</w:t>
                  </w:r>
                  <w:r>
                    <w:rPr>
                      <w:color w:val="0000FF"/>
                      <w:sz w:val="18"/>
                      <w:szCs w:val="18"/>
                    </w:rPr>
                    <w:t>/</w:t>
                  </w:r>
                  <w:r>
                    <w:rPr>
                      <w:rFonts w:hint="eastAsia"/>
                      <w:color w:val="0000FF"/>
                      <w:sz w:val="18"/>
                      <w:szCs w:val="18"/>
                    </w:rPr>
                    <w:t>d</w:t>
                  </w:r>
                </w:p>
              </w:tc>
              <w:tc>
                <w:tcPr>
                  <w:tcW w:w="320" w:type="dxa"/>
                  <w:vMerge w:val="continue"/>
                  <w:vAlign w:val="center"/>
                </w:tcPr>
                <w:p>
                  <w:pPr>
                    <w:adjustRightInd w:val="0"/>
                    <w:snapToGrid w:val="0"/>
                    <w:spacing w:line="240" w:lineRule="atLeast"/>
                    <w:jc w:val="center"/>
                    <w:rPr>
                      <w:color w:val="0000FF"/>
                      <w:sz w:val="18"/>
                      <w:szCs w:val="18"/>
                    </w:rPr>
                  </w:pPr>
                </w:p>
              </w:tc>
              <w:tc>
                <w:tcPr>
                  <w:tcW w:w="320" w:type="dxa"/>
                  <w:vAlign w:val="center"/>
                </w:tcPr>
                <w:p>
                  <w:pPr>
                    <w:adjustRightInd w:val="0"/>
                    <w:snapToGrid w:val="0"/>
                    <w:spacing w:line="240" w:lineRule="atLeast"/>
                    <w:jc w:val="center"/>
                    <w:rPr>
                      <w:color w:val="0000FF"/>
                      <w:sz w:val="18"/>
                      <w:szCs w:val="18"/>
                    </w:rPr>
                  </w:pPr>
                  <w:r>
                    <w:rPr>
                      <w:color w:val="0000FF"/>
                      <w:sz w:val="18"/>
                      <w:szCs w:val="18"/>
                    </w:rPr>
                    <w:t>%</w:t>
                  </w:r>
                </w:p>
              </w:tc>
              <w:tc>
                <w:tcPr>
                  <w:tcW w:w="320" w:type="dxa"/>
                  <w:vMerge w:val="continue"/>
                  <w:vAlign w:val="center"/>
                </w:tcPr>
                <w:p>
                  <w:pPr>
                    <w:adjustRightInd w:val="0"/>
                    <w:snapToGrid w:val="0"/>
                    <w:spacing w:line="240" w:lineRule="atLeast"/>
                    <w:jc w:val="center"/>
                    <w:rPr>
                      <w:color w:val="0000FF"/>
                      <w:sz w:val="18"/>
                      <w:szCs w:val="18"/>
                    </w:rPr>
                  </w:pPr>
                </w:p>
              </w:tc>
              <w:tc>
                <w:tcPr>
                  <w:tcW w:w="423" w:type="dxa"/>
                  <w:vAlign w:val="center"/>
                </w:tcPr>
                <w:p>
                  <w:pPr>
                    <w:adjustRightInd w:val="0"/>
                    <w:snapToGrid w:val="0"/>
                    <w:spacing w:line="240" w:lineRule="atLeast"/>
                    <w:jc w:val="center"/>
                    <w:rPr>
                      <w:color w:val="0000FF"/>
                      <w:sz w:val="18"/>
                      <w:szCs w:val="18"/>
                    </w:rPr>
                  </w:pPr>
                  <w:r>
                    <w:rPr>
                      <w:color w:val="0000FF"/>
                      <w:sz w:val="18"/>
                      <w:szCs w:val="18"/>
                    </w:rPr>
                    <w:t>m</w:t>
                  </w:r>
                  <w:r>
                    <w:rPr>
                      <w:color w:val="0000FF"/>
                      <w:sz w:val="18"/>
                      <w:szCs w:val="18"/>
                      <w:vertAlign w:val="superscript"/>
                    </w:rPr>
                    <w:t>3</w:t>
                  </w:r>
                  <w:r>
                    <w:rPr>
                      <w:color w:val="0000FF"/>
                      <w:sz w:val="18"/>
                      <w:szCs w:val="18"/>
                    </w:rPr>
                    <w:t>/a</w:t>
                  </w:r>
                </w:p>
              </w:tc>
              <w:tc>
                <w:tcPr>
                  <w:tcW w:w="407" w:type="dxa"/>
                  <w:vAlign w:val="center"/>
                </w:tcPr>
                <w:p>
                  <w:pPr>
                    <w:adjustRightInd w:val="0"/>
                    <w:snapToGrid w:val="0"/>
                    <w:spacing w:line="240" w:lineRule="atLeast"/>
                    <w:jc w:val="center"/>
                    <w:rPr>
                      <w:color w:val="0000FF"/>
                      <w:sz w:val="18"/>
                      <w:szCs w:val="18"/>
                    </w:rPr>
                  </w:pPr>
                  <w:r>
                    <w:rPr>
                      <w:color w:val="0000FF"/>
                      <w:sz w:val="18"/>
                      <w:szCs w:val="18"/>
                    </w:rPr>
                    <w:t>mg/l</w:t>
                  </w:r>
                </w:p>
              </w:tc>
              <w:tc>
                <w:tcPr>
                  <w:tcW w:w="530" w:type="dxa"/>
                  <w:vAlign w:val="center"/>
                </w:tcPr>
                <w:p>
                  <w:pPr>
                    <w:adjustRightInd w:val="0"/>
                    <w:snapToGrid w:val="0"/>
                    <w:spacing w:line="240" w:lineRule="atLeast"/>
                    <w:jc w:val="center"/>
                    <w:rPr>
                      <w:color w:val="0000FF"/>
                      <w:sz w:val="18"/>
                      <w:szCs w:val="18"/>
                    </w:rPr>
                  </w:pPr>
                  <w:r>
                    <w:rPr>
                      <w:color w:val="0000FF"/>
                      <w:sz w:val="18"/>
                      <w:szCs w:val="18"/>
                    </w:rPr>
                    <w:t>t/a</w:t>
                  </w:r>
                </w:p>
              </w:tc>
              <w:tc>
                <w:tcPr>
                  <w:tcW w:w="291" w:type="dxa"/>
                  <w:vAlign w:val="center"/>
                </w:tcPr>
                <w:p>
                  <w:pPr>
                    <w:adjustRightInd w:val="0"/>
                    <w:snapToGrid w:val="0"/>
                    <w:spacing w:line="240" w:lineRule="atLeast"/>
                    <w:jc w:val="center"/>
                    <w:rPr>
                      <w:color w:val="0000FF"/>
                      <w:sz w:val="18"/>
                      <w:szCs w:val="18"/>
                    </w:rPr>
                  </w:pPr>
                  <w:r>
                    <w:rPr>
                      <w:color w:val="0000FF"/>
                      <w:sz w:val="18"/>
                      <w:szCs w:val="18"/>
                    </w:rPr>
                    <w:t>/</w:t>
                  </w:r>
                </w:p>
              </w:tc>
              <w:tc>
                <w:tcPr>
                  <w:tcW w:w="423" w:type="dxa"/>
                  <w:vAlign w:val="center"/>
                </w:tcPr>
                <w:p>
                  <w:pPr>
                    <w:adjustRightInd w:val="0"/>
                    <w:snapToGrid w:val="0"/>
                    <w:spacing w:line="240" w:lineRule="atLeast"/>
                    <w:jc w:val="center"/>
                    <w:rPr>
                      <w:color w:val="0000FF"/>
                      <w:sz w:val="18"/>
                      <w:szCs w:val="18"/>
                    </w:rPr>
                  </w:pPr>
                  <w:r>
                    <w:rPr>
                      <w:rFonts w:hint="eastAsia"/>
                      <w:color w:val="0000FF"/>
                      <w:sz w:val="18"/>
                      <w:szCs w:val="18"/>
                    </w:rPr>
                    <w:t>/</w:t>
                  </w:r>
                </w:p>
              </w:tc>
              <w:tc>
                <w:tcPr>
                  <w:tcW w:w="512" w:type="dxa"/>
                  <w:vAlign w:val="center"/>
                </w:tcPr>
                <w:p>
                  <w:pPr>
                    <w:adjustRightInd w:val="0"/>
                    <w:snapToGrid w:val="0"/>
                    <w:spacing w:line="240" w:lineRule="atLeast"/>
                    <w:jc w:val="center"/>
                    <w:rPr>
                      <w:color w:val="0000FF"/>
                      <w:sz w:val="18"/>
                      <w:szCs w:val="18"/>
                    </w:rPr>
                  </w:pPr>
                  <w:r>
                    <w:rPr>
                      <w:rFonts w:hint="eastAsia"/>
                      <w:color w:val="0000FF"/>
                      <w:sz w:val="18"/>
                      <w:szCs w:val="18"/>
                    </w:rPr>
                    <w:t>/</w:t>
                  </w:r>
                </w:p>
              </w:tc>
              <w:tc>
                <w:tcPr>
                  <w:tcW w:w="392" w:type="dxa"/>
                  <w:vAlign w:val="center"/>
                </w:tcPr>
                <w:p>
                  <w:pPr>
                    <w:adjustRightInd w:val="0"/>
                    <w:snapToGrid w:val="0"/>
                    <w:spacing w:line="240" w:lineRule="atLeast"/>
                    <w:jc w:val="center"/>
                    <w:rPr>
                      <w:color w:val="0000FF"/>
                      <w:sz w:val="18"/>
                      <w:szCs w:val="18"/>
                    </w:rPr>
                  </w:pPr>
                  <w:r>
                    <w:rPr>
                      <w:rFonts w:hint="eastAsia"/>
                      <w:color w:val="0000FF"/>
                      <w:sz w:val="18"/>
                      <w:szCs w:val="18"/>
                    </w:rPr>
                    <w:t>/</w:t>
                  </w:r>
                </w:p>
              </w:tc>
              <w:tc>
                <w:tcPr>
                  <w:tcW w:w="365" w:type="dxa"/>
                  <w:vAlign w:val="center"/>
                </w:tcPr>
                <w:p>
                  <w:pPr>
                    <w:adjustRightInd w:val="0"/>
                    <w:snapToGrid w:val="0"/>
                    <w:spacing w:line="240" w:lineRule="atLeast"/>
                    <w:jc w:val="center"/>
                    <w:rPr>
                      <w:color w:val="0000FF"/>
                      <w:sz w:val="18"/>
                      <w:szCs w:val="18"/>
                    </w:rPr>
                  </w:pPr>
                  <w:r>
                    <w:rPr>
                      <w:color w:val="0000FF"/>
                      <w:sz w:val="18"/>
                      <w:szCs w:val="18"/>
                    </w:rPr>
                    <w:t>/</w:t>
                  </w:r>
                </w:p>
              </w:tc>
              <w:tc>
                <w:tcPr>
                  <w:tcW w:w="803" w:type="dxa"/>
                  <w:vAlign w:val="center"/>
                </w:tcPr>
                <w:p>
                  <w:pPr>
                    <w:adjustRightInd w:val="0"/>
                    <w:snapToGrid w:val="0"/>
                    <w:spacing w:line="240" w:lineRule="atLeast"/>
                    <w:jc w:val="center"/>
                    <w:rPr>
                      <w:color w:val="0000FF"/>
                      <w:sz w:val="18"/>
                      <w:szCs w:val="18"/>
                    </w:rPr>
                  </w:pPr>
                  <w:r>
                    <w:rPr>
                      <w:color w:val="0000FF"/>
                      <w:sz w:val="18"/>
                      <w:szCs w:val="18"/>
                    </w:rPr>
                    <w:t>/</w:t>
                  </w:r>
                </w:p>
              </w:tc>
              <w:tc>
                <w:tcPr>
                  <w:tcW w:w="591" w:type="dxa"/>
                  <w:vMerge w:val="continue"/>
                  <w:vAlign w:val="center"/>
                </w:tcPr>
                <w:p>
                  <w:pPr>
                    <w:adjustRightInd w:val="0"/>
                    <w:snapToGrid w:val="0"/>
                    <w:spacing w:line="240" w:lineRule="atLeas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19"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员工生活</w:t>
                  </w:r>
                </w:p>
              </w:tc>
              <w:tc>
                <w:tcPr>
                  <w:tcW w:w="319"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生活污水</w:t>
                  </w:r>
                </w:p>
              </w:tc>
              <w:tc>
                <w:tcPr>
                  <w:tcW w:w="593" w:type="dxa"/>
                  <w:vAlign w:val="center"/>
                </w:tcPr>
                <w:p>
                  <w:pPr>
                    <w:adjustRightInd w:val="0"/>
                    <w:snapToGrid w:val="0"/>
                    <w:spacing w:line="240" w:lineRule="atLeast"/>
                    <w:jc w:val="center"/>
                    <w:rPr>
                      <w:color w:val="0000FF"/>
                      <w:sz w:val="18"/>
                      <w:szCs w:val="18"/>
                    </w:rPr>
                  </w:pPr>
                  <w:r>
                    <w:rPr>
                      <w:rFonts w:hint="eastAsia"/>
                      <w:color w:val="0000FF"/>
                      <w:sz w:val="18"/>
                      <w:szCs w:val="18"/>
                    </w:rPr>
                    <w:t>CODcr</w:t>
                  </w:r>
                </w:p>
              </w:tc>
              <w:tc>
                <w:tcPr>
                  <w:tcW w:w="356"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1200</w:t>
                  </w:r>
                </w:p>
              </w:tc>
              <w:tc>
                <w:tcPr>
                  <w:tcW w:w="407" w:type="dxa"/>
                  <w:vAlign w:val="center"/>
                </w:tcPr>
                <w:p>
                  <w:pPr>
                    <w:adjustRightInd w:val="0"/>
                    <w:snapToGrid w:val="0"/>
                    <w:spacing w:line="240" w:lineRule="atLeast"/>
                    <w:jc w:val="center"/>
                    <w:rPr>
                      <w:color w:val="0000FF"/>
                      <w:sz w:val="18"/>
                      <w:szCs w:val="18"/>
                    </w:rPr>
                  </w:pPr>
                  <w:r>
                    <w:rPr>
                      <w:rFonts w:hint="eastAsia"/>
                      <w:color w:val="0000FF"/>
                      <w:sz w:val="18"/>
                      <w:szCs w:val="18"/>
                    </w:rPr>
                    <w:t>250</w:t>
                  </w:r>
                </w:p>
              </w:tc>
              <w:tc>
                <w:tcPr>
                  <w:tcW w:w="398" w:type="dxa"/>
                  <w:vAlign w:val="center"/>
                </w:tcPr>
                <w:p>
                  <w:pPr>
                    <w:adjustRightInd w:val="0"/>
                    <w:snapToGrid w:val="0"/>
                    <w:spacing w:line="240" w:lineRule="atLeast"/>
                    <w:jc w:val="center"/>
                    <w:rPr>
                      <w:color w:val="0000FF"/>
                      <w:sz w:val="18"/>
                      <w:szCs w:val="18"/>
                    </w:rPr>
                  </w:pPr>
                  <w:r>
                    <w:rPr>
                      <w:rFonts w:hint="eastAsia"/>
                      <w:color w:val="0000FF"/>
                      <w:sz w:val="18"/>
                      <w:szCs w:val="18"/>
                    </w:rPr>
                    <w:t>0.3</w:t>
                  </w:r>
                </w:p>
              </w:tc>
              <w:tc>
                <w:tcPr>
                  <w:tcW w:w="412"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8</w:t>
                  </w:r>
                </w:p>
              </w:tc>
              <w:tc>
                <w:tcPr>
                  <w:tcW w:w="320"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化粪池</w:t>
                  </w:r>
                </w:p>
              </w:tc>
              <w:tc>
                <w:tcPr>
                  <w:tcW w:w="320"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lang w:val="en-US" w:eastAsia="zh-CN"/>
                    </w:rPr>
                    <w:t>20</w:t>
                  </w:r>
                </w:p>
              </w:tc>
              <w:tc>
                <w:tcPr>
                  <w:tcW w:w="320"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是</w:t>
                  </w:r>
                </w:p>
              </w:tc>
              <w:tc>
                <w:tcPr>
                  <w:tcW w:w="423"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1200</w:t>
                  </w:r>
                </w:p>
              </w:tc>
              <w:tc>
                <w:tcPr>
                  <w:tcW w:w="407"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lang w:val="en-US" w:eastAsia="zh-CN"/>
                    </w:rPr>
                    <w:t>200</w:t>
                  </w:r>
                </w:p>
              </w:tc>
              <w:tc>
                <w:tcPr>
                  <w:tcW w:w="530"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rPr>
                    <w:t>0.</w:t>
                  </w:r>
                  <w:r>
                    <w:rPr>
                      <w:rFonts w:hint="eastAsia"/>
                      <w:color w:val="0000FF"/>
                      <w:sz w:val="18"/>
                      <w:szCs w:val="18"/>
                      <w:lang w:val="en-US" w:eastAsia="zh-CN"/>
                    </w:rPr>
                    <w:t>24</w:t>
                  </w:r>
                </w:p>
              </w:tc>
              <w:tc>
                <w:tcPr>
                  <w:tcW w:w="291"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间接排放</w:t>
                  </w:r>
                </w:p>
              </w:tc>
              <w:tc>
                <w:tcPr>
                  <w:tcW w:w="423"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江西余干工业园区（黄金埠）污水处理厂</w:t>
                  </w:r>
                </w:p>
              </w:tc>
              <w:tc>
                <w:tcPr>
                  <w:tcW w:w="512"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连续排放，流量不稳</w:t>
                  </w:r>
                </w:p>
                <w:p>
                  <w:pPr>
                    <w:adjustRightInd w:val="0"/>
                    <w:snapToGrid w:val="0"/>
                    <w:spacing w:line="240" w:lineRule="atLeast"/>
                    <w:jc w:val="center"/>
                    <w:rPr>
                      <w:color w:val="0000FF"/>
                      <w:sz w:val="18"/>
                      <w:szCs w:val="18"/>
                    </w:rPr>
                  </w:pPr>
                  <w:r>
                    <w:rPr>
                      <w:rFonts w:hint="eastAsia"/>
                      <w:color w:val="0000FF"/>
                      <w:sz w:val="18"/>
                      <w:szCs w:val="18"/>
                    </w:rPr>
                    <w:t>定，但有周期性规律</w:t>
                  </w:r>
                </w:p>
              </w:tc>
              <w:tc>
                <w:tcPr>
                  <w:tcW w:w="392"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DW001，废水总排口</w:t>
                  </w:r>
                </w:p>
              </w:tc>
              <w:tc>
                <w:tcPr>
                  <w:tcW w:w="365"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一般排放口</w:t>
                  </w:r>
                </w:p>
              </w:tc>
              <w:tc>
                <w:tcPr>
                  <w:tcW w:w="803" w:type="dxa"/>
                  <w:vMerge w:val="restart"/>
                  <w:vAlign w:val="center"/>
                </w:tcPr>
                <w:p>
                  <w:pPr>
                    <w:adjustRightInd w:val="0"/>
                    <w:snapToGrid w:val="0"/>
                    <w:spacing w:line="240" w:lineRule="atLeast"/>
                    <w:jc w:val="center"/>
                    <w:rPr>
                      <w:color w:val="0000FF"/>
                      <w:sz w:val="18"/>
                      <w:szCs w:val="18"/>
                    </w:rPr>
                  </w:pPr>
                  <w:r>
                    <w:rPr>
                      <w:rFonts w:hint="eastAsia"/>
                      <w:color w:val="0000FF"/>
                      <w:sz w:val="18"/>
                      <w:szCs w:val="18"/>
                    </w:rPr>
                    <w:t>N：28.467279°；</w:t>
                  </w:r>
                </w:p>
                <w:p>
                  <w:pPr>
                    <w:adjustRightInd w:val="0"/>
                    <w:snapToGrid w:val="0"/>
                    <w:spacing w:line="240" w:lineRule="atLeast"/>
                    <w:jc w:val="center"/>
                    <w:rPr>
                      <w:color w:val="0000FF"/>
                      <w:sz w:val="18"/>
                      <w:szCs w:val="18"/>
                    </w:rPr>
                  </w:pPr>
                  <w:r>
                    <w:rPr>
                      <w:rFonts w:hint="eastAsia"/>
                      <w:color w:val="0000FF"/>
                      <w:sz w:val="18"/>
                      <w:szCs w:val="18"/>
                    </w:rPr>
                    <w:t>E：</w:t>
                  </w:r>
                </w:p>
                <w:p>
                  <w:pPr>
                    <w:adjustRightInd w:val="0"/>
                    <w:snapToGrid w:val="0"/>
                    <w:spacing w:line="240" w:lineRule="atLeast"/>
                    <w:jc w:val="center"/>
                    <w:rPr>
                      <w:color w:val="0000FF"/>
                      <w:sz w:val="18"/>
                      <w:szCs w:val="18"/>
                    </w:rPr>
                  </w:pPr>
                  <w:r>
                    <w:rPr>
                      <w:rFonts w:hint="eastAsia"/>
                      <w:color w:val="0000FF"/>
                      <w:sz w:val="18"/>
                      <w:szCs w:val="18"/>
                    </w:rPr>
                    <w:t>116.832277°</w:t>
                  </w:r>
                </w:p>
              </w:tc>
              <w:tc>
                <w:tcPr>
                  <w:tcW w:w="591" w:type="dxa"/>
                  <w:vAlign w:val="center"/>
                </w:tcPr>
                <w:p>
                  <w:pPr>
                    <w:adjustRightInd w:val="0"/>
                    <w:snapToGrid w:val="0"/>
                    <w:spacing w:line="240" w:lineRule="atLeast"/>
                    <w:jc w:val="center"/>
                    <w:rPr>
                      <w:color w:val="0000FF"/>
                      <w:sz w:val="18"/>
                      <w:szCs w:val="18"/>
                    </w:rPr>
                  </w:pPr>
                  <w:r>
                    <w:rPr>
                      <w:rFonts w:hint="eastAsia"/>
                      <w:color w:val="0000FF"/>
                      <w:sz w:val="18"/>
                      <w:szCs w:val="18"/>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9" w:type="dxa"/>
                  <w:vMerge w:val="continue"/>
                  <w:vAlign w:val="center"/>
                </w:tcPr>
                <w:p>
                  <w:pPr>
                    <w:adjustRightInd w:val="0"/>
                    <w:snapToGrid w:val="0"/>
                    <w:spacing w:line="240" w:lineRule="atLeast"/>
                    <w:jc w:val="center"/>
                    <w:rPr>
                      <w:color w:val="0000FF"/>
                      <w:sz w:val="18"/>
                      <w:szCs w:val="18"/>
                    </w:rPr>
                  </w:pPr>
                </w:p>
              </w:tc>
              <w:tc>
                <w:tcPr>
                  <w:tcW w:w="319" w:type="dxa"/>
                  <w:vMerge w:val="continue"/>
                  <w:vAlign w:val="center"/>
                </w:tcPr>
                <w:p>
                  <w:pPr>
                    <w:adjustRightInd w:val="0"/>
                    <w:snapToGrid w:val="0"/>
                    <w:spacing w:line="240" w:lineRule="atLeast"/>
                    <w:jc w:val="center"/>
                    <w:rPr>
                      <w:color w:val="0000FF"/>
                      <w:sz w:val="18"/>
                      <w:szCs w:val="18"/>
                    </w:rPr>
                  </w:pPr>
                </w:p>
              </w:tc>
              <w:tc>
                <w:tcPr>
                  <w:tcW w:w="593" w:type="dxa"/>
                  <w:vAlign w:val="center"/>
                </w:tcPr>
                <w:p>
                  <w:pPr>
                    <w:adjustRightInd w:val="0"/>
                    <w:snapToGrid w:val="0"/>
                    <w:spacing w:line="240" w:lineRule="atLeast"/>
                    <w:jc w:val="center"/>
                    <w:rPr>
                      <w:color w:val="0000FF"/>
                      <w:sz w:val="18"/>
                      <w:szCs w:val="18"/>
                    </w:rPr>
                  </w:pPr>
                  <w:r>
                    <w:rPr>
                      <w:rFonts w:hint="eastAsia"/>
                      <w:color w:val="0000FF"/>
                      <w:sz w:val="18"/>
                      <w:szCs w:val="18"/>
                    </w:rPr>
                    <w:t>BOD</w:t>
                  </w:r>
                  <w:r>
                    <w:rPr>
                      <w:rFonts w:hint="eastAsia"/>
                      <w:color w:val="0000FF"/>
                      <w:sz w:val="18"/>
                      <w:szCs w:val="18"/>
                      <w:vertAlign w:val="subscript"/>
                    </w:rPr>
                    <w:t>5</w:t>
                  </w:r>
                </w:p>
              </w:tc>
              <w:tc>
                <w:tcPr>
                  <w:tcW w:w="356" w:type="dxa"/>
                  <w:vMerge w:val="continue"/>
                  <w:vAlign w:val="center"/>
                </w:tcPr>
                <w:p>
                  <w:pPr>
                    <w:adjustRightInd w:val="0"/>
                    <w:snapToGrid w:val="0"/>
                    <w:spacing w:line="240" w:lineRule="atLeast"/>
                    <w:jc w:val="center"/>
                    <w:rPr>
                      <w:color w:val="0000FF"/>
                      <w:sz w:val="18"/>
                      <w:szCs w:val="18"/>
                    </w:rPr>
                  </w:pPr>
                </w:p>
              </w:tc>
              <w:tc>
                <w:tcPr>
                  <w:tcW w:w="407" w:type="dxa"/>
                  <w:vAlign w:val="center"/>
                </w:tcPr>
                <w:p>
                  <w:pPr>
                    <w:adjustRightInd w:val="0"/>
                    <w:snapToGrid w:val="0"/>
                    <w:spacing w:line="240" w:lineRule="atLeast"/>
                    <w:jc w:val="center"/>
                    <w:rPr>
                      <w:color w:val="0000FF"/>
                      <w:sz w:val="18"/>
                      <w:szCs w:val="18"/>
                    </w:rPr>
                  </w:pPr>
                  <w:r>
                    <w:rPr>
                      <w:rFonts w:hint="eastAsia"/>
                      <w:color w:val="0000FF"/>
                      <w:sz w:val="18"/>
                      <w:szCs w:val="18"/>
                    </w:rPr>
                    <w:t>100</w:t>
                  </w:r>
                </w:p>
              </w:tc>
              <w:tc>
                <w:tcPr>
                  <w:tcW w:w="398" w:type="dxa"/>
                  <w:vAlign w:val="center"/>
                </w:tcPr>
                <w:p>
                  <w:pPr>
                    <w:adjustRightInd w:val="0"/>
                    <w:snapToGrid w:val="0"/>
                    <w:spacing w:line="240" w:lineRule="atLeast"/>
                    <w:jc w:val="center"/>
                    <w:rPr>
                      <w:color w:val="0000FF"/>
                      <w:sz w:val="18"/>
                      <w:szCs w:val="18"/>
                    </w:rPr>
                  </w:pPr>
                  <w:r>
                    <w:rPr>
                      <w:rFonts w:hint="eastAsia"/>
                      <w:color w:val="0000FF"/>
                      <w:sz w:val="18"/>
                      <w:szCs w:val="18"/>
                    </w:rPr>
                    <w:t>0.12</w:t>
                  </w:r>
                </w:p>
              </w:tc>
              <w:tc>
                <w:tcPr>
                  <w:tcW w:w="412" w:type="dxa"/>
                  <w:vMerge w:val="continue"/>
                  <w:vAlign w:val="center"/>
                </w:tcPr>
                <w:p>
                  <w:pPr>
                    <w:adjustRightInd w:val="0"/>
                    <w:snapToGrid w:val="0"/>
                    <w:spacing w:line="240" w:lineRule="atLeast"/>
                    <w:jc w:val="center"/>
                    <w:rPr>
                      <w:color w:val="0000FF"/>
                      <w:sz w:val="18"/>
                      <w:szCs w:val="18"/>
                    </w:rPr>
                  </w:pPr>
                </w:p>
              </w:tc>
              <w:tc>
                <w:tcPr>
                  <w:tcW w:w="320" w:type="dxa"/>
                  <w:vMerge w:val="continue"/>
                  <w:vAlign w:val="center"/>
                </w:tcPr>
                <w:p>
                  <w:pPr>
                    <w:adjustRightInd w:val="0"/>
                    <w:snapToGrid w:val="0"/>
                    <w:spacing w:line="240" w:lineRule="atLeast"/>
                    <w:jc w:val="center"/>
                    <w:rPr>
                      <w:color w:val="0000FF"/>
                      <w:sz w:val="18"/>
                      <w:szCs w:val="18"/>
                    </w:rPr>
                  </w:pPr>
                </w:p>
              </w:tc>
              <w:tc>
                <w:tcPr>
                  <w:tcW w:w="320"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lang w:val="en-US" w:eastAsia="zh-CN"/>
                    </w:rPr>
                    <w:t>20</w:t>
                  </w:r>
                </w:p>
              </w:tc>
              <w:tc>
                <w:tcPr>
                  <w:tcW w:w="320" w:type="dxa"/>
                  <w:vMerge w:val="continue"/>
                  <w:vAlign w:val="center"/>
                </w:tcPr>
                <w:p>
                  <w:pPr>
                    <w:adjustRightInd w:val="0"/>
                    <w:snapToGrid w:val="0"/>
                    <w:spacing w:line="240" w:lineRule="atLeast"/>
                    <w:jc w:val="center"/>
                    <w:rPr>
                      <w:color w:val="0000FF"/>
                      <w:sz w:val="18"/>
                      <w:szCs w:val="18"/>
                    </w:rPr>
                  </w:pPr>
                </w:p>
              </w:tc>
              <w:tc>
                <w:tcPr>
                  <w:tcW w:w="423" w:type="dxa"/>
                  <w:vMerge w:val="continue"/>
                  <w:vAlign w:val="center"/>
                </w:tcPr>
                <w:p>
                  <w:pPr>
                    <w:adjustRightInd w:val="0"/>
                    <w:snapToGrid w:val="0"/>
                    <w:spacing w:line="240" w:lineRule="atLeast"/>
                    <w:jc w:val="center"/>
                    <w:rPr>
                      <w:color w:val="0000FF"/>
                      <w:sz w:val="18"/>
                      <w:szCs w:val="18"/>
                    </w:rPr>
                  </w:pPr>
                </w:p>
              </w:tc>
              <w:tc>
                <w:tcPr>
                  <w:tcW w:w="407"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lang w:val="en-US" w:eastAsia="zh-CN"/>
                    </w:rPr>
                    <w:t>80</w:t>
                  </w:r>
                </w:p>
              </w:tc>
              <w:tc>
                <w:tcPr>
                  <w:tcW w:w="530" w:type="dxa"/>
                  <w:vAlign w:val="center"/>
                </w:tcPr>
                <w:p>
                  <w:pPr>
                    <w:adjustRightInd w:val="0"/>
                    <w:snapToGrid w:val="0"/>
                    <w:spacing w:line="240" w:lineRule="atLeast"/>
                    <w:jc w:val="center"/>
                    <w:rPr>
                      <w:rFonts w:hint="eastAsia" w:eastAsia="宋体"/>
                      <w:color w:val="0000FF"/>
                      <w:sz w:val="18"/>
                      <w:szCs w:val="18"/>
                      <w:lang w:val="en-US" w:eastAsia="zh-CN"/>
                    </w:rPr>
                  </w:pPr>
                  <w:r>
                    <w:rPr>
                      <w:rFonts w:hint="eastAsia"/>
                      <w:color w:val="0000FF"/>
                      <w:sz w:val="18"/>
                      <w:szCs w:val="18"/>
                    </w:rPr>
                    <w:t>0.09</w:t>
                  </w:r>
                  <w:r>
                    <w:rPr>
                      <w:rFonts w:hint="eastAsia"/>
                      <w:color w:val="0000FF"/>
                      <w:sz w:val="18"/>
                      <w:szCs w:val="18"/>
                      <w:lang w:val="en-US" w:eastAsia="zh-CN"/>
                    </w:rPr>
                    <w:t>6</w:t>
                  </w:r>
                </w:p>
              </w:tc>
              <w:tc>
                <w:tcPr>
                  <w:tcW w:w="291" w:type="dxa"/>
                  <w:vMerge w:val="continue"/>
                  <w:vAlign w:val="center"/>
                </w:tcPr>
                <w:p>
                  <w:pPr>
                    <w:adjustRightInd w:val="0"/>
                    <w:snapToGrid w:val="0"/>
                    <w:spacing w:line="240" w:lineRule="atLeast"/>
                    <w:jc w:val="center"/>
                    <w:rPr>
                      <w:color w:val="0000FF"/>
                      <w:sz w:val="18"/>
                      <w:szCs w:val="18"/>
                      <w:highlight w:val="yellow"/>
                    </w:rPr>
                  </w:pPr>
                </w:p>
              </w:tc>
              <w:tc>
                <w:tcPr>
                  <w:tcW w:w="423" w:type="dxa"/>
                  <w:vMerge w:val="continue"/>
                  <w:vAlign w:val="center"/>
                </w:tcPr>
                <w:p>
                  <w:pPr>
                    <w:adjustRightInd w:val="0"/>
                    <w:snapToGrid w:val="0"/>
                    <w:spacing w:line="240" w:lineRule="atLeast"/>
                    <w:jc w:val="center"/>
                    <w:rPr>
                      <w:color w:val="0000FF"/>
                      <w:sz w:val="18"/>
                      <w:szCs w:val="18"/>
                      <w:highlight w:val="yellow"/>
                    </w:rPr>
                  </w:pPr>
                </w:p>
              </w:tc>
              <w:tc>
                <w:tcPr>
                  <w:tcW w:w="512" w:type="dxa"/>
                  <w:vMerge w:val="continue"/>
                  <w:vAlign w:val="center"/>
                </w:tcPr>
                <w:p>
                  <w:pPr>
                    <w:adjustRightInd w:val="0"/>
                    <w:snapToGrid w:val="0"/>
                    <w:spacing w:line="240" w:lineRule="atLeast"/>
                    <w:jc w:val="center"/>
                    <w:rPr>
                      <w:color w:val="0000FF"/>
                      <w:sz w:val="18"/>
                      <w:szCs w:val="18"/>
                      <w:highlight w:val="yellow"/>
                    </w:rPr>
                  </w:pPr>
                </w:p>
              </w:tc>
              <w:tc>
                <w:tcPr>
                  <w:tcW w:w="392" w:type="dxa"/>
                  <w:vMerge w:val="continue"/>
                  <w:vAlign w:val="center"/>
                </w:tcPr>
                <w:p>
                  <w:pPr>
                    <w:adjustRightInd w:val="0"/>
                    <w:snapToGrid w:val="0"/>
                    <w:spacing w:line="240" w:lineRule="atLeast"/>
                    <w:jc w:val="center"/>
                    <w:rPr>
                      <w:color w:val="0000FF"/>
                      <w:sz w:val="18"/>
                      <w:szCs w:val="18"/>
                    </w:rPr>
                  </w:pPr>
                </w:p>
              </w:tc>
              <w:tc>
                <w:tcPr>
                  <w:tcW w:w="365" w:type="dxa"/>
                  <w:vMerge w:val="continue"/>
                  <w:vAlign w:val="center"/>
                </w:tcPr>
                <w:p>
                  <w:pPr>
                    <w:adjustRightInd w:val="0"/>
                    <w:snapToGrid w:val="0"/>
                    <w:spacing w:line="240" w:lineRule="atLeast"/>
                    <w:jc w:val="center"/>
                    <w:rPr>
                      <w:color w:val="0000FF"/>
                      <w:sz w:val="18"/>
                      <w:szCs w:val="18"/>
                    </w:rPr>
                  </w:pPr>
                </w:p>
              </w:tc>
              <w:tc>
                <w:tcPr>
                  <w:tcW w:w="803" w:type="dxa"/>
                  <w:vMerge w:val="continue"/>
                  <w:vAlign w:val="center"/>
                </w:tcPr>
                <w:p>
                  <w:pPr>
                    <w:adjustRightInd w:val="0"/>
                    <w:snapToGrid w:val="0"/>
                    <w:spacing w:line="240" w:lineRule="atLeast"/>
                    <w:jc w:val="center"/>
                    <w:rPr>
                      <w:color w:val="0000FF"/>
                      <w:sz w:val="18"/>
                      <w:szCs w:val="18"/>
                    </w:rPr>
                  </w:pPr>
                </w:p>
              </w:tc>
              <w:tc>
                <w:tcPr>
                  <w:tcW w:w="591" w:type="dxa"/>
                  <w:vAlign w:val="center"/>
                </w:tcPr>
                <w:p>
                  <w:pPr>
                    <w:adjustRightInd w:val="0"/>
                    <w:snapToGrid w:val="0"/>
                    <w:spacing w:line="240" w:lineRule="atLeast"/>
                    <w:jc w:val="center"/>
                    <w:rPr>
                      <w:color w:val="0000FF"/>
                      <w:sz w:val="18"/>
                      <w:szCs w:val="18"/>
                    </w:rPr>
                  </w:pPr>
                  <w:r>
                    <w:rPr>
                      <w:rFonts w:hint="eastAsia"/>
                      <w:color w:val="0000FF"/>
                      <w:sz w:val="18"/>
                      <w:szCs w:val="18"/>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9" w:type="dxa"/>
                  <w:vMerge w:val="continue"/>
                  <w:vAlign w:val="center"/>
                </w:tcPr>
                <w:p>
                  <w:pPr>
                    <w:adjustRightInd w:val="0"/>
                    <w:snapToGrid w:val="0"/>
                    <w:spacing w:line="240" w:lineRule="atLeast"/>
                    <w:jc w:val="center"/>
                    <w:rPr>
                      <w:color w:val="0000FF"/>
                      <w:sz w:val="18"/>
                      <w:szCs w:val="18"/>
                    </w:rPr>
                  </w:pPr>
                </w:p>
              </w:tc>
              <w:tc>
                <w:tcPr>
                  <w:tcW w:w="319" w:type="dxa"/>
                  <w:vMerge w:val="continue"/>
                  <w:vAlign w:val="center"/>
                </w:tcPr>
                <w:p>
                  <w:pPr>
                    <w:adjustRightInd w:val="0"/>
                    <w:snapToGrid w:val="0"/>
                    <w:spacing w:line="240" w:lineRule="atLeast"/>
                    <w:jc w:val="center"/>
                    <w:rPr>
                      <w:color w:val="0000FF"/>
                      <w:sz w:val="18"/>
                      <w:szCs w:val="18"/>
                    </w:rPr>
                  </w:pPr>
                </w:p>
              </w:tc>
              <w:tc>
                <w:tcPr>
                  <w:tcW w:w="593" w:type="dxa"/>
                  <w:vAlign w:val="center"/>
                </w:tcPr>
                <w:p>
                  <w:pPr>
                    <w:adjustRightInd w:val="0"/>
                    <w:snapToGrid w:val="0"/>
                    <w:spacing w:line="240" w:lineRule="atLeast"/>
                    <w:jc w:val="center"/>
                    <w:rPr>
                      <w:color w:val="0000FF"/>
                      <w:sz w:val="18"/>
                      <w:szCs w:val="18"/>
                    </w:rPr>
                  </w:pPr>
                  <w:r>
                    <w:rPr>
                      <w:rFonts w:hint="eastAsia"/>
                      <w:color w:val="0000FF"/>
                      <w:sz w:val="18"/>
                      <w:szCs w:val="18"/>
                    </w:rPr>
                    <w:t>SS</w:t>
                  </w:r>
                </w:p>
              </w:tc>
              <w:tc>
                <w:tcPr>
                  <w:tcW w:w="356" w:type="dxa"/>
                  <w:vMerge w:val="continue"/>
                  <w:vAlign w:val="center"/>
                </w:tcPr>
                <w:p>
                  <w:pPr>
                    <w:adjustRightInd w:val="0"/>
                    <w:snapToGrid w:val="0"/>
                    <w:spacing w:line="240" w:lineRule="atLeast"/>
                    <w:jc w:val="center"/>
                    <w:rPr>
                      <w:color w:val="0000FF"/>
                      <w:sz w:val="18"/>
                      <w:szCs w:val="18"/>
                    </w:rPr>
                  </w:pPr>
                </w:p>
              </w:tc>
              <w:tc>
                <w:tcPr>
                  <w:tcW w:w="407" w:type="dxa"/>
                  <w:vAlign w:val="center"/>
                </w:tcPr>
                <w:p>
                  <w:pPr>
                    <w:adjustRightInd w:val="0"/>
                    <w:snapToGrid w:val="0"/>
                    <w:spacing w:line="240" w:lineRule="atLeast"/>
                    <w:jc w:val="center"/>
                    <w:rPr>
                      <w:color w:val="0000FF"/>
                      <w:sz w:val="18"/>
                      <w:szCs w:val="18"/>
                    </w:rPr>
                  </w:pPr>
                  <w:r>
                    <w:rPr>
                      <w:rFonts w:hint="eastAsia"/>
                      <w:color w:val="0000FF"/>
                      <w:sz w:val="18"/>
                      <w:szCs w:val="18"/>
                    </w:rPr>
                    <w:t>150</w:t>
                  </w:r>
                </w:p>
              </w:tc>
              <w:tc>
                <w:tcPr>
                  <w:tcW w:w="398" w:type="dxa"/>
                  <w:vAlign w:val="center"/>
                </w:tcPr>
                <w:p>
                  <w:pPr>
                    <w:adjustRightInd w:val="0"/>
                    <w:snapToGrid w:val="0"/>
                    <w:spacing w:line="240" w:lineRule="atLeast"/>
                    <w:jc w:val="center"/>
                    <w:rPr>
                      <w:color w:val="0000FF"/>
                      <w:sz w:val="18"/>
                      <w:szCs w:val="18"/>
                    </w:rPr>
                  </w:pPr>
                  <w:r>
                    <w:rPr>
                      <w:rFonts w:hint="eastAsia"/>
                      <w:color w:val="0000FF"/>
                      <w:sz w:val="18"/>
                      <w:szCs w:val="18"/>
                    </w:rPr>
                    <w:t>0.18</w:t>
                  </w:r>
                </w:p>
              </w:tc>
              <w:tc>
                <w:tcPr>
                  <w:tcW w:w="412" w:type="dxa"/>
                  <w:vMerge w:val="continue"/>
                  <w:vAlign w:val="center"/>
                </w:tcPr>
                <w:p>
                  <w:pPr>
                    <w:adjustRightInd w:val="0"/>
                    <w:snapToGrid w:val="0"/>
                    <w:spacing w:line="240" w:lineRule="atLeast"/>
                    <w:jc w:val="center"/>
                    <w:rPr>
                      <w:color w:val="0000FF"/>
                      <w:sz w:val="18"/>
                      <w:szCs w:val="18"/>
                    </w:rPr>
                  </w:pPr>
                </w:p>
              </w:tc>
              <w:tc>
                <w:tcPr>
                  <w:tcW w:w="320" w:type="dxa"/>
                  <w:vMerge w:val="continue"/>
                  <w:vAlign w:val="center"/>
                </w:tcPr>
                <w:p>
                  <w:pPr>
                    <w:adjustRightInd w:val="0"/>
                    <w:snapToGrid w:val="0"/>
                    <w:spacing w:line="240" w:lineRule="atLeast"/>
                    <w:jc w:val="center"/>
                    <w:rPr>
                      <w:color w:val="0000FF"/>
                      <w:sz w:val="18"/>
                      <w:szCs w:val="18"/>
                    </w:rPr>
                  </w:pPr>
                </w:p>
              </w:tc>
              <w:tc>
                <w:tcPr>
                  <w:tcW w:w="320"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lang w:val="en-US" w:eastAsia="zh-CN"/>
                    </w:rPr>
                    <w:t>40</w:t>
                  </w:r>
                </w:p>
              </w:tc>
              <w:tc>
                <w:tcPr>
                  <w:tcW w:w="320" w:type="dxa"/>
                  <w:vMerge w:val="continue"/>
                  <w:vAlign w:val="center"/>
                </w:tcPr>
                <w:p>
                  <w:pPr>
                    <w:adjustRightInd w:val="0"/>
                    <w:snapToGrid w:val="0"/>
                    <w:spacing w:line="240" w:lineRule="atLeast"/>
                    <w:jc w:val="center"/>
                    <w:rPr>
                      <w:color w:val="0000FF"/>
                      <w:sz w:val="18"/>
                      <w:szCs w:val="18"/>
                    </w:rPr>
                  </w:pPr>
                </w:p>
              </w:tc>
              <w:tc>
                <w:tcPr>
                  <w:tcW w:w="423" w:type="dxa"/>
                  <w:vMerge w:val="continue"/>
                  <w:vAlign w:val="center"/>
                </w:tcPr>
                <w:p>
                  <w:pPr>
                    <w:adjustRightInd w:val="0"/>
                    <w:snapToGrid w:val="0"/>
                    <w:spacing w:line="240" w:lineRule="atLeast"/>
                    <w:jc w:val="center"/>
                    <w:rPr>
                      <w:color w:val="0000FF"/>
                      <w:sz w:val="18"/>
                      <w:szCs w:val="18"/>
                    </w:rPr>
                  </w:pPr>
                </w:p>
              </w:tc>
              <w:tc>
                <w:tcPr>
                  <w:tcW w:w="407"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lang w:val="en-US" w:eastAsia="zh-CN"/>
                    </w:rPr>
                    <w:t>90</w:t>
                  </w:r>
                </w:p>
              </w:tc>
              <w:tc>
                <w:tcPr>
                  <w:tcW w:w="530" w:type="dxa"/>
                  <w:vAlign w:val="center"/>
                </w:tcPr>
                <w:p>
                  <w:pPr>
                    <w:adjustRightInd w:val="0"/>
                    <w:snapToGrid w:val="0"/>
                    <w:spacing w:line="240" w:lineRule="atLeast"/>
                    <w:jc w:val="center"/>
                    <w:rPr>
                      <w:rFonts w:hint="default" w:eastAsia="宋体"/>
                      <w:color w:val="0000FF"/>
                      <w:sz w:val="18"/>
                      <w:szCs w:val="18"/>
                      <w:lang w:val="en-US" w:eastAsia="zh-CN"/>
                    </w:rPr>
                  </w:pPr>
                  <w:r>
                    <w:rPr>
                      <w:rFonts w:hint="eastAsia"/>
                      <w:color w:val="0000FF"/>
                      <w:sz w:val="18"/>
                      <w:szCs w:val="18"/>
                    </w:rPr>
                    <w:t>0.1</w:t>
                  </w:r>
                  <w:r>
                    <w:rPr>
                      <w:rFonts w:hint="eastAsia"/>
                      <w:color w:val="0000FF"/>
                      <w:sz w:val="18"/>
                      <w:szCs w:val="18"/>
                      <w:lang w:val="en-US" w:eastAsia="zh-CN"/>
                    </w:rPr>
                    <w:t>08</w:t>
                  </w:r>
                </w:p>
              </w:tc>
              <w:tc>
                <w:tcPr>
                  <w:tcW w:w="291" w:type="dxa"/>
                  <w:vMerge w:val="continue"/>
                  <w:vAlign w:val="center"/>
                </w:tcPr>
                <w:p>
                  <w:pPr>
                    <w:adjustRightInd w:val="0"/>
                    <w:snapToGrid w:val="0"/>
                    <w:spacing w:line="240" w:lineRule="atLeast"/>
                    <w:jc w:val="center"/>
                    <w:rPr>
                      <w:color w:val="0000FF"/>
                      <w:sz w:val="18"/>
                      <w:szCs w:val="18"/>
                      <w:highlight w:val="yellow"/>
                    </w:rPr>
                  </w:pPr>
                </w:p>
              </w:tc>
              <w:tc>
                <w:tcPr>
                  <w:tcW w:w="423" w:type="dxa"/>
                  <w:vMerge w:val="continue"/>
                  <w:vAlign w:val="center"/>
                </w:tcPr>
                <w:p>
                  <w:pPr>
                    <w:adjustRightInd w:val="0"/>
                    <w:snapToGrid w:val="0"/>
                    <w:spacing w:line="240" w:lineRule="atLeast"/>
                    <w:jc w:val="center"/>
                    <w:rPr>
                      <w:color w:val="0000FF"/>
                      <w:sz w:val="18"/>
                      <w:szCs w:val="18"/>
                      <w:highlight w:val="yellow"/>
                    </w:rPr>
                  </w:pPr>
                </w:p>
              </w:tc>
              <w:tc>
                <w:tcPr>
                  <w:tcW w:w="512" w:type="dxa"/>
                  <w:vMerge w:val="continue"/>
                  <w:vAlign w:val="center"/>
                </w:tcPr>
                <w:p>
                  <w:pPr>
                    <w:adjustRightInd w:val="0"/>
                    <w:snapToGrid w:val="0"/>
                    <w:spacing w:line="240" w:lineRule="atLeast"/>
                    <w:jc w:val="center"/>
                    <w:rPr>
                      <w:color w:val="0000FF"/>
                      <w:sz w:val="18"/>
                      <w:szCs w:val="18"/>
                      <w:highlight w:val="yellow"/>
                    </w:rPr>
                  </w:pPr>
                </w:p>
              </w:tc>
              <w:tc>
                <w:tcPr>
                  <w:tcW w:w="392" w:type="dxa"/>
                  <w:vMerge w:val="continue"/>
                  <w:vAlign w:val="center"/>
                </w:tcPr>
                <w:p>
                  <w:pPr>
                    <w:adjustRightInd w:val="0"/>
                    <w:snapToGrid w:val="0"/>
                    <w:spacing w:line="240" w:lineRule="atLeast"/>
                    <w:jc w:val="center"/>
                    <w:rPr>
                      <w:color w:val="0000FF"/>
                      <w:sz w:val="18"/>
                      <w:szCs w:val="18"/>
                    </w:rPr>
                  </w:pPr>
                </w:p>
              </w:tc>
              <w:tc>
                <w:tcPr>
                  <w:tcW w:w="365" w:type="dxa"/>
                  <w:vMerge w:val="continue"/>
                  <w:vAlign w:val="center"/>
                </w:tcPr>
                <w:p>
                  <w:pPr>
                    <w:adjustRightInd w:val="0"/>
                    <w:snapToGrid w:val="0"/>
                    <w:spacing w:line="240" w:lineRule="atLeast"/>
                    <w:jc w:val="center"/>
                    <w:rPr>
                      <w:color w:val="0000FF"/>
                      <w:sz w:val="18"/>
                      <w:szCs w:val="18"/>
                    </w:rPr>
                  </w:pPr>
                </w:p>
              </w:tc>
              <w:tc>
                <w:tcPr>
                  <w:tcW w:w="803" w:type="dxa"/>
                  <w:vMerge w:val="continue"/>
                  <w:vAlign w:val="center"/>
                </w:tcPr>
                <w:p>
                  <w:pPr>
                    <w:adjustRightInd w:val="0"/>
                    <w:snapToGrid w:val="0"/>
                    <w:spacing w:line="240" w:lineRule="atLeast"/>
                    <w:jc w:val="center"/>
                    <w:rPr>
                      <w:color w:val="0000FF"/>
                      <w:sz w:val="18"/>
                      <w:szCs w:val="18"/>
                    </w:rPr>
                  </w:pPr>
                </w:p>
              </w:tc>
              <w:tc>
                <w:tcPr>
                  <w:tcW w:w="591" w:type="dxa"/>
                  <w:vAlign w:val="center"/>
                </w:tcPr>
                <w:p>
                  <w:pPr>
                    <w:adjustRightInd w:val="0"/>
                    <w:snapToGrid w:val="0"/>
                    <w:spacing w:line="240" w:lineRule="atLeast"/>
                    <w:jc w:val="center"/>
                    <w:rPr>
                      <w:color w:val="0000FF"/>
                      <w:sz w:val="18"/>
                      <w:szCs w:val="18"/>
                    </w:rPr>
                  </w:pPr>
                  <w:r>
                    <w:rPr>
                      <w:rFonts w:hint="eastAsia"/>
                      <w:color w:val="0000FF"/>
                      <w:sz w:val="18"/>
                      <w:szCs w:val="18"/>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9" w:type="dxa"/>
                  <w:vMerge w:val="continue"/>
                  <w:vAlign w:val="center"/>
                </w:tcPr>
                <w:p>
                  <w:pPr>
                    <w:adjustRightInd w:val="0"/>
                    <w:snapToGrid w:val="0"/>
                    <w:spacing w:line="240" w:lineRule="atLeast"/>
                    <w:jc w:val="center"/>
                    <w:rPr>
                      <w:color w:val="0000FF"/>
                      <w:sz w:val="18"/>
                      <w:szCs w:val="18"/>
                    </w:rPr>
                  </w:pPr>
                </w:p>
              </w:tc>
              <w:tc>
                <w:tcPr>
                  <w:tcW w:w="319" w:type="dxa"/>
                  <w:vMerge w:val="continue"/>
                  <w:vAlign w:val="center"/>
                </w:tcPr>
                <w:p>
                  <w:pPr>
                    <w:adjustRightInd w:val="0"/>
                    <w:snapToGrid w:val="0"/>
                    <w:spacing w:line="240" w:lineRule="atLeast"/>
                    <w:jc w:val="center"/>
                    <w:rPr>
                      <w:color w:val="0000FF"/>
                      <w:sz w:val="18"/>
                      <w:szCs w:val="18"/>
                    </w:rPr>
                  </w:pPr>
                </w:p>
              </w:tc>
              <w:tc>
                <w:tcPr>
                  <w:tcW w:w="593" w:type="dxa"/>
                  <w:vAlign w:val="center"/>
                </w:tcPr>
                <w:p>
                  <w:pPr>
                    <w:adjustRightInd w:val="0"/>
                    <w:snapToGrid w:val="0"/>
                    <w:spacing w:line="240" w:lineRule="atLeast"/>
                    <w:jc w:val="center"/>
                    <w:rPr>
                      <w:color w:val="0000FF"/>
                      <w:sz w:val="18"/>
                      <w:szCs w:val="18"/>
                    </w:rPr>
                  </w:pPr>
                  <w:r>
                    <w:rPr>
                      <w:rFonts w:hint="eastAsia"/>
                      <w:color w:val="0000FF"/>
                      <w:sz w:val="18"/>
                      <w:szCs w:val="18"/>
                    </w:rPr>
                    <w:t>NH</w:t>
                  </w:r>
                  <w:r>
                    <w:rPr>
                      <w:rFonts w:hint="eastAsia"/>
                      <w:color w:val="0000FF"/>
                      <w:sz w:val="18"/>
                      <w:szCs w:val="18"/>
                      <w:vertAlign w:val="subscript"/>
                    </w:rPr>
                    <w:t>3</w:t>
                  </w:r>
                  <w:r>
                    <w:rPr>
                      <w:rFonts w:hint="eastAsia"/>
                      <w:color w:val="0000FF"/>
                      <w:sz w:val="18"/>
                      <w:szCs w:val="18"/>
                    </w:rPr>
                    <w:t>-N</w:t>
                  </w:r>
                </w:p>
              </w:tc>
              <w:tc>
                <w:tcPr>
                  <w:tcW w:w="356" w:type="dxa"/>
                  <w:vMerge w:val="continue"/>
                  <w:vAlign w:val="center"/>
                </w:tcPr>
                <w:p>
                  <w:pPr>
                    <w:adjustRightInd w:val="0"/>
                    <w:snapToGrid w:val="0"/>
                    <w:spacing w:line="240" w:lineRule="atLeast"/>
                    <w:jc w:val="center"/>
                    <w:rPr>
                      <w:color w:val="0000FF"/>
                      <w:sz w:val="18"/>
                      <w:szCs w:val="18"/>
                    </w:rPr>
                  </w:pPr>
                </w:p>
              </w:tc>
              <w:tc>
                <w:tcPr>
                  <w:tcW w:w="407" w:type="dxa"/>
                  <w:vAlign w:val="center"/>
                </w:tcPr>
                <w:p>
                  <w:pPr>
                    <w:adjustRightInd w:val="0"/>
                    <w:snapToGrid w:val="0"/>
                    <w:spacing w:line="240" w:lineRule="atLeast"/>
                    <w:jc w:val="center"/>
                    <w:rPr>
                      <w:color w:val="0000FF"/>
                      <w:sz w:val="18"/>
                      <w:szCs w:val="18"/>
                    </w:rPr>
                  </w:pPr>
                  <w:r>
                    <w:rPr>
                      <w:color w:val="0000FF"/>
                      <w:sz w:val="18"/>
                      <w:szCs w:val="18"/>
                    </w:rPr>
                    <w:t>25</w:t>
                  </w:r>
                </w:p>
              </w:tc>
              <w:tc>
                <w:tcPr>
                  <w:tcW w:w="398" w:type="dxa"/>
                  <w:vAlign w:val="center"/>
                </w:tcPr>
                <w:p>
                  <w:pPr>
                    <w:adjustRightInd w:val="0"/>
                    <w:snapToGrid w:val="0"/>
                    <w:spacing w:line="240" w:lineRule="atLeast"/>
                    <w:jc w:val="center"/>
                    <w:rPr>
                      <w:color w:val="0000FF"/>
                      <w:sz w:val="18"/>
                      <w:szCs w:val="18"/>
                    </w:rPr>
                  </w:pPr>
                  <w:r>
                    <w:rPr>
                      <w:rFonts w:hint="eastAsia"/>
                      <w:color w:val="0000FF"/>
                      <w:sz w:val="18"/>
                      <w:szCs w:val="18"/>
                    </w:rPr>
                    <w:t>0.03</w:t>
                  </w:r>
                </w:p>
              </w:tc>
              <w:tc>
                <w:tcPr>
                  <w:tcW w:w="412" w:type="dxa"/>
                  <w:vMerge w:val="continue"/>
                  <w:vAlign w:val="center"/>
                </w:tcPr>
                <w:p>
                  <w:pPr>
                    <w:adjustRightInd w:val="0"/>
                    <w:snapToGrid w:val="0"/>
                    <w:spacing w:line="240" w:lineRule="atLeast"/>
                    <w:jc w:val="center"/>
                    <w:rPr>
                      <w:color w:val="0000FF"/>
                      <w:sz w:val="18"/>
                      <w:szCs w:val="18"/>
                    </w:rPr>
                  </w:pPr>
                </w:p>
              </w:tc>
              <w:tc>
                <w:tcPr>
                  <w:tcW w:w="320" w:type="dxa"/>
                  <w:vMerge w:val="continue"/>
                  <w:vAlign w:val="center"/>
                </w:tcPr>
                <w:p>
                  <w:pPr>
                    <w:adjustRightInd w:val="0"/>
                    <w:snapToGrid w:val="0"/>
                    <w:spacing w:line="240" w:lineRule="atLeast"/>
                    <w:jc w:val="center"/>
                    <w:rPr>
                      <w:color w:val="0000FF"/>
                      <w:sz w:val="18"/>
                      <w:szCs w:val="18"/>
                    </w:rPr>
                  </w:pPr>
                </w:p>
              </w:tc>
              <w:tc>
                <w:tcPr>
                  <w:tcW w:w="320" w:type="dxa"/>
                  <w:vAlign w:val="center"/>
                </w:tcPr>
                <w:p>
                  <w:pPr>
                    <w:adjustRightInd w:val="0"/>
                    <w:snapToGrid w:val="0"/>
                    <w:spacing w:line="240" w:lineRule="atLeast"/>
                    <w:jc w:val="center"/>
                    <w:rPr>
                      <w:rFonts w:hint="eastAsia" w:eastAsia="宋体"/>
                      <w:color w:val="0000FF"/>
                      <w:sz w:val="18"/>
                      <w:szCs w:val="18"/>
                      <w:lang w:eastAsia="zh-CN"/>
                    </w:rPr>
                  </w:pPr>
                  <w:r>
                    <w:rPr>
                      <w:rFonts w:hint="eastAsia"/>
                      <w:color w:val="0000FF"/>
                      <w:sz w:val="18"/>
                      <w:szCs w:val="18"/>
                      <w:lang w:val="en-US" w:eastAsia="zh-CN"/>
                    </w:rPr>
                    <w:t>0</w:t>
                  </w:r>
                </w:p>
              </w:tc>
              <w:tc>
                <w:tcPr>
                  <w:tcW w:w="320" w:type="dxa"/>
                  <w:vMerge w:val="continue"/>
                  <w:vAlign w:val="center"/>
                </w:tcPr>
                <w:p>
                  <w:pPr>
                    <w:adjustRightInd w:val="0"/>
                    <w:snapToGrid w:val="0"/>
                    <w:spacing w:line="240" w:lineRule="atLeast"/>
                    <w:jc w:val="center"/>
                    <w:rPr>
                      <w:color w:val="0000FF"/>
                      <w:sz w:val="18"/>
                      <w:szCs w:val="18"/>
                    </w:rPr>
                  </w:pPr>
                </w:p>
              </w:tc>
              <w:tc>
                <w:tcPr>
                  <w:tcW w:w="423" w:type="dxa"/>
                  <w:vMerge w:val="continue"/>
                  <w:vAlign w:val="center"/>
                </w:tcPr>
                <w:p>
                  <w:pPr>
                    <w:adjustRightInd w:val="0"/>
                    <w:snapToGrid w:val="0"/>
                    <w:spacing w:line="240" w:lineRule="atLeast"/>
                    <w:jc w:val="center"/>
                    <w:rPr>
                      <w:color w:val="0000FF"/>
                      <w:sz w:val="18"/>
                      <w:szCs w:val="18"/>
                    </w:rPr>
                  </w:pPr>
                </w:p>
              </w:tc>
              <w:tc>
                <w:tcPr>
                  <w:tcW w:w="407" w:type="dxa"/>
                  <w:vAlign w:val="center"/>
                </w:tcPr>
                <w:p>
                  <w:pPr>
                    <w:adjustRightInd w:val="0"/>
                    <w:snapToGrid w:val="0"/>
                    <w:spacing w:line="240" w:lineRule="atLeast"/>
                    <w:jc w:val="center"/>
                    <w:rPr>
                      <w:rFonts w:hint="default" w:eastAsia="宋体"/>
                      <w:color w:val="0000FF"/>
                      <w:sz w:val="18"/>
                      <w:szCs w:val="18"/>
                      <w:lang w:val="en-US" w:eastAsia="zh-CN"/>
                    </w:rPr>
                  </w:pPr>
                  <w:r>
                    <w:rPr>
                      <w:color w:val="0000FF"/>
                      <w:sz w:val="18"/>
                      <w:szCs w:val="18"/>
                    </w:rPr>
                    <w:t>25</w:t>
                  </w:r>
                </w:p>
              </w:tc>
              <w:tc>
                <w:tcPr>
                  <w:tcW w:w="530" w:type="dxa"/>
                  <w:vAlign w:val="center"/>
                </w:tcPr>
                <w:p>
                  <w:pPr>
                    <w:adjustRightInd w:val="0"/>
                    <w:snapToGrid w:val="0"/>
                    <w:spacing w:line="240" w:lineRule="atLeast"/>
                    <w:jc w:val="center"/>
                    <w:rPr>
                      <w:rFonts w:hint="default"/>
                      <w:color w:val="0000FF"/>
                      <w:sz w:val="18"/>
                      <w:szCs w:val="18"/>
                      <w:lang w:val="en-US"/>
                    </w:rPr>
                  </w:pPr>
                  <w:r>
                    <w:rPr>
                      <w:rFonts w:hint="eastAsia"/>
                      <w:color w:val="0000FF"/>
                      <w:sz w:val="18"/>
                      <w:szCs w:val="18"/>
                    </w:rPr>
                    <w:t>0.03</w:t>
                  </w:r>
                </w:p>
              </w:tc>
              <w:tc>
                <w:tcPr>
                  <w:tcW w:w="291" w:type="dxa"/>
                  <w:vMerge w:val="continue"/>
                  <w:vAlign w:val="center"/>
                </w:tcPr>
                <w:p>
                  <w:pPr>
                    <w:adjustRightInd w:val="0"/>
                    <w:snapToGrid w:val="0"/>
                    <w:spacing w:line="240" w:lineRule="atLeast"/>
                    <w:jc w:val="center"/>
                    <w:rPr>
                      <w:color w:val="0000FF"/>
                      <w:sz w:val="18"/>
                      <w:szCs w:val="18"/>
                      <w:highlight w:val="yellow"/>
                    </w:rPr>
                  </w:pPr>
                </w:p>
              </w:tc>
              <w:tc>
                <w:tcPr>
                  <w:tcW w:w="423" w:type="dxa"/>
                  <w:vMerge w:val="continue"/>
                  <w:vAlign w:val="center"/>
                </w:tcPr>
                <w:p>
                  <w:pPr>
                    <w:adjustRightInd w:val="0"/>
                    <w:snapToGrid w:val="0"/>
                    <w:spacing w:line="240" w:lineRule="atLeast"/>
                    <w:jc w:val="center"/>
                    <w:rPr>
                      <w:color w:val="0000FF"/>
                      <w:sz w:val="18"/>
                      <w:szCs w:val="18"/>
                      <w:highlight w:val="yellow"/>
                    </w:rPr>
                  </w:pPr>
                </w:p>
              </w:tc>
              <w:tc>
                <w:tcPr>
                  <w:tcW w:w="512" w:type="dxa"/>
                  <w:vMerge w:val="continue"/>
                  <w:vAlign w:val="center"/>
                </w:tcPr>
                <w:p>
                  <w:pPr>
                    <w:adjustRightInd w:val="0"/>
                    <w:snapToGrid w:val="0"/>
                    <w:spacing w:line="240" w:lineRule="atLeast"/>
                    <w:jc w:val="center"/>
                    <w:rPr>
                      <w:color w:val="0000FF"/>
                      <w:sz w:val="18"/>
                      <w:szCs w:val="18"/>
                      <w:highlight w:val="yellow"/>
                    </w:rPr>
                  </w:pPr>
                </w:p>
              </w:tc>
              <w:tc>
                <w:tcPr>
                  <w:tcW w:w="392" w:type="dxa"/>
                  <w:vMerge w:val="continue"/>
                  <w:vAlign w:val="center"/>
                </w:tcPr>
                <w:p>
                  <w:pPr>
                    <w:adjustRightInd w:val="0"/>
                    <w:snapToGrid w:val="0"/>
                    <w:spacing w:line="240" w:lineRule="atLeast"/>
                    <w:jc w:val="center"/>
                    <w:rPr>
                      <w:color w:val="0000FF"/>
                      <w:sz w:val="18"/>
                      <w:szCs w:val="18"/>
                    </w:rPr>
                  </w:pPr>
                </w:p>
              </w:tc>
              <w:tc>
                <w:tcPr>
                  <w:tcW w:w="365" w:type="dxa"/>
                  <w:vMerge w:val="continue"/>
                  <w:vAlign w:val="center"/>
                </w:tcPr>
                <w:p>
                  <w:pPr>
                    <w:adjustRightInd w:val="0"/>
                    <w:snapToGrid w:val="0"/>
                    <w:spacing w:line="240" w:lineRule="atLeast"/>
                    <w:jc w:val="center"/>
                    <w:rPr>
                      <w:color w:val="0000FF"/>
                      <w:sz w:val="18"/>
                      <w:szCs w:val="18"/>
                    </w:rPr>
                  </w:pPr>
                </w:p>
              </w:tc>
              <w:tc>
                <w:tcPr>
                  <w:tcW w:w="803" w:type="dxa"/>
                  <w:vMerge w:val="continue"/>
                  <w:vAlign w:val="center"/>
                </w:tcPr>
                <w:p>
                  <w:pPr>
                    <w:adjustRightInd w:val="0"/>
                    <w:snapToGrid w:val="0"/>
                    <w:spacing w:line="240" w:lineRule="atLeast"/>
                    <w:jc w:val="center"/>
                    <w:rPr>
                      <w:color w:val="0000FF"/>
                      <w:sz w:val="18"/>
                      <w:szCs w:val="18"/>
                    </w:rPr>
                  </w:pPr>
                </w:p>
              </w:tc>
              <w:tc>
                <w:tcPr>
                  <w:tcW w:w="591" w:type="dxa"/>
                  <w:vAlign w:val="center"/>
                </w:tcPr>
                <w:p>
                  <w:pPr>
                    <w:adjustRightInd w:val="0"/>
                    <w:snapToGrid w:val="0"/>
                    <w:spacing w:line="240" w:lineRule="atLeast"/>
                    <w:jc w:val="center"/>
                    <w:rPr>
                      <w:color w:val="0000FF"/>
                      <w:sz w:val="18"/>
                      <w:szCs w:val="18"/>
                    </w:rPr>
                  </w:pPr>
                  <w:r>
                    <w:rPr>
                      <w:rFonts w:hint="eastAsia"/>
                      <w:color w:val="0000FF"/>
                      <w:sz w:val="18"/>
                      <w:szCs w:val="18"/>
                    </w:rPr>
                    <w:t>50</w:t>
                  </w:r>
                </w:p>
              </w:tc>
            </w:tr>
          </w:tbl>
          <w:p>
            <w:pPr>
              <w:autoSpaceDE w:val="0"/>
              <w:autoSpaceDN w:val="0"/>
              <w:spacing w:line="360" w:lineRule="auto"/>
              <w:ind w:firstLine="480" w:firstLineChars="200"/>
              <w:rPr>
                <w:sz w:val="24"/>
              </w:rPr>
            </w:pPr>
            <w:r>
              <w:rPr>
                <w:sz w:val="24"/>
              </w:rPr>
              <w:t>⑵处理可行性分析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eastAsiaTheme="minorEastAsia"/>
                <w:color w:val="000000" w:themeColor="text1"/>
                <w:sz w:val="24"/>
                <w14:textFill>
                  <w14:solidFill>
                    <w14:schemeClr w14:val="tx1"/>
                  </w14:solidFill>
                </w14:textFill>
              </w:rPr>
              <w:t>水帘机喷淋废水</w:t>
            </w:r>
          </w:p>
          <w:p>
            <w:pPr>
              <w:pStyle w:val="136"/>
              <w:adjustRightInd w:val="0"/>
              <w:snapToGrid w:val="0"/>
              <w:ind w:right="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建设</w:t>
            </w:r>
            <w:r>
              <w:rPr>
                <w:rFonts w:hint="eastAsia"/>
                <w:color w:val="000000" w:themeColor="text1"/>
                <w14:textFill>
                  <w14:solidFill>
                    <w14:schemeClr w14:val="tx1"/>
                  </w14:solidFill>
                </w14:textFill>
              </w:rPr>
              <w:t>项目在运营期产生水帘机</w:t>
            </w:r>
            <w:r>
              <w:rPr>
                <w:rFonts w:hAnsi="Times New Roman" w:eastAsiaTheme="minorEastAsia"/>
                <w:color w:val="000000" w:themeColor="text1"/>
                <w14:textFill>
                  <w14:solidFill>
                    <w14:schemeClr w14:val="tx1"/>
                  </w14:solidFill>
                </w14:textFill>
              </w:rPr>
              <w:t>喷淋</w:t>
            </w:r>
            <w:r>
              <w:rPr>
                <w:rFonts w:hint="eastAsia"/>
                <w:color w:val="000000" w:themeColor="text1"/>
                <w14:textFill>
                  <w14:solidFill>
                    <w14:schemeClr w14:val="tx1"/>
                  </w14:solidFill>
                </w14:textFill>
              </w:rPr>
              <w:t>废水，因其产生量较少（约</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/a），污染物浓度较高（属于高浓度有机废水），若废水在厂区内治理，污水处理设施费用较高，运行管理难度相对较大，废水难以稳定达标排放。</w:t>
            </w:r>
          </w:p>
          <w:p>
            <w:pPr>
              <w:pStyle w:val="136"/>
              <w:adjustRightInd w:val="0"/>
              <w:snapToGrid w:val="0"/>
              <w:ind w:right="0"/>
              <w:rPr>
                <w:color w:val="000000" w:themeColor="text1"/>
                <w14:textFill>
                  <w14:solidFill>
                    <w14:schemeClr w14:val="tx1"/>
                  </w14:solidFill>
                </w14:textFill>
              </w:rPr>
            </w:pPr>
            <w:r>
              <w:rPr>
                <w:rFonts w:hint="eastAsia"/>
                <w:color w:val="000000" w:themeColor="text1"/>
                <w14:textFill>
                  <w14:solidFill>
                    <w14:schemeClr w14:val="tx1"/>
                  </w14:solidFill>
                </w14:textFill>
              </w:rPr>
              <w:t>建议项目将该类废水委托有处理能力的单位处理，并签订废水处理协议，做好废水的收集、存放、转运工作。每天工作完毕后及时打捞漆渣、清理滤网。项目每隔一段时间需要更换水帘机的</w:t>
            </w:r>
            <w:r>
              <w:rPr>
                <w:rFonts w:hAnsi="Times New Roman" w:eastAsiaTheme="minorEastAsia"/>
                <w:color w:val="000000" w:themeColor="text1"/>
                <w14:textFill>
                  <w14:solidFill>
                    <w14:schemeClr w14:val="tx1"/>
                  </w14:solidFill>
                </w14:textFill>
              </w:rPr>
              <w:t>喷淋</w:t>
            </w:r>
            <w:r>
              <w:rPr>
                <w:rFonts w:hint="eastAsia"/>
                <w:color w:val="000000" w:themeColor="text1"/>
                <w14:textFill>
                  <w14:solidFill>
                    <w14:schemeClr w14:val="tx1"/>
                  </w14:solidFill>
                </w14:textFill>
              </w:rPr>
              <w:t>水，会产生水帘机</w:t>
            </w:r>
            <w:r>
              <w:rPr>
                <w:rFonts w:hAnsi="Times New Roman" w:eastAsiaTheme="minorEastAsia"/>
                <w:color w:val="000000" w:themeColor="text1"/>
                <w14:textFill>
                  <w14:solidFill>
                    <w14:schemeClr w14:val="tx1"/>
                  </w14:solidFill>
                </w14:textFill>
              </w:rPr>
              <w:t>喷淋</w:t>
            </w:r>
            <w:r>
              <w:rPr>
                <w:rFonts w:hint="eastAsia"/>
                <w:color w:val="000000" w:themeColor="text1"/>
                <w14:textFill>
                  <w14:solidFill>
                    <w14:schemeClr w14:val="tx1"/>
                  </w14:solidFill>
                </w14:textFill>
              </w:rPr>
              <w:t>废水。</w:t>
            </w:r>
          </w:p>
          <w:p>
            <w:pPr>
              <w:pStyle w:val="136"/>
              <w:adjustRightInd w:val="0"/>
              <w:snapToGrid w:val="0"/>
              <w:ind w:right="0"/>
              <w:rPr>
                <w:color w:val="000000" w:themeColor="text1"/>
                <w14:textFill>
                  <w14:solidFill>
                    <w14:schemeClr w14:val="tx1"/>
                  </w14:solidFill>
                </w14:textFill>
              </w:rPr>
            </w:pPr>
            <w:r>
              <w:rPr>
                <w:rFonts w:hint="eastAsia"/>
                <w:color w:val="000000" w:themeColor="text1"/>
                <w14:textFill>
                  <w14:solidFill>
                    <w14:schemeClr w14:val="tx1"/>
                  </w14:solidFill>
                </w14:textFill>
              </w:rPr>
              <w:t>水帘机</w:t>
            </w:r>
            <w:r>
              <w:rPr>
                <w:rFonts w:hAnsi="Times New Roman" w:eastAsiaTheme="minorEastAsia"/>
                <w:color w:val="000000" w:themeColor="text1"/>
                <w14:textFill>
                  <w14:solidFill>
                    <w14:schemeClr w14:val="tx1"/>
                  </w14:solidFill>
                </w14:textFill>
              </w:rPr>
              <w:t>喷淋</w:t>
            </w:r>
            <w:r>
              <w:rPr>
                <w:rFonts w:hint="eastAsia"/>
                <w:color w:val="000000" w:themeColor="text1"/>
                <w14:textFill>
                  <w14:solidFill>
                    <w14:schemeClr w14:val="tx1"/>
                  </w14:solidFill>
                </w14:textFill>
              </w:rPr>
              <w:t>废水暂存时要先隔渣，并加盖，做好废水暂存防渗和防泄漏，同时建立台账，做好标识，防止日晒雨淋，及时运走，减少存放时间。</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②生活污水</w:t>
            </w:r>
          </w:p>
          <w:p>
            <w:pPr>
              <w:spacing w:line="360" w:lineRule="auto"/>
              <w:ind w:firstLine="480" w:firstLineChars="200"/>
              <w:rPr>
                <w:sz w:val="24"/>
              </w:rPr>
            </w:pPr>
            <w:r>
              <w:rPr>
                <w:color w:val="000000" w:themeColor="text1"/>
                <w:sz w:val="24"/>
                <w14:textFill>
                  <w14:solidFill>
                    <w14:schemeClr w14:val="tx1"/>
                  </w14:solidFill>
                </w14:textFill>
              </w:rPr>
              <w:t>营运期产生的污水排放总量</w:t>
            </w:r>
            <w:r>
              <w:rPr>
                <w:rFonts w:hint="eastAsia"/>
                <w:color w:val="000000" w:themeColor="text1"/>
                <w:sz w:val="24"/>
                <w14:textFill>
                  <w14:solidFill>
                    <w14:schemeClr w14:val="tx1"/>
                  </w14:solidFill>
                </w14:textFill>
              </w:rPr>
              <w:t>4.0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1200m</w:t>
            </w:r>
            <w:r>
              <w:rPr>
                <w:rFonts w:hint="eastAsia"/>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化粪池处理</w:t>
            </w:r>
            <w:r>
              <w:rPr>
                <w:color w:val="000000" w:themeColor="text1"/>
                <w:sz w:val="24"/>
                <w14:textFill>
                  <w14:solidFill>
                    <w14:schemeClr w14:val="tx1"/>
                  </w14:solidFill>
                </w14:textFill>
              </w:rPr>
              <w:t>能力为</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/d，能满足污水的处理容量，污水主要污染物为CODcr 250mg/L，BOD</w:t>
            </w:r>
            <w:r>
              <w:rPr>
                <w:color w:val="000000" w:themeColor="text1"/>
                <w:sz w:val="24"/>
                <w:vertAlign w:val="subscript"/>
                <w14:textFill>
                  <w14:solidFill>
                    <w14:schemeClr w14:val="tx1"/>
                  </w14:solidFill>
                </w14:textFill>
              </w:rPr>
              <w:t>5</w:t>
            </w:r>
            <w:r>
              <w:rPr>
                <w:color w:val="000000" w:themeColor="text1"/>
                <w:sz w:val="24"/>
                <w14:textFill>
                  <w14:solidFill>
                    <w14:schemeClr w14:val="tx1"/>
                  </w14:solidFill>
                </w14:textFill>
              </w:rPr>
              <w:t xml:space="preserve"> 100mg/L，SS 150mg/L，NH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-N 25mg/L，污水进入化粪池处理（去除效率 ：CODcr</w:t>
            </w:r>
            <w:r>
              <w:rPr>
                <w:rFonts w:hint="eastAsia"/>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%，BOD</w:t>
            </w:r>
            <w:r>
              <w:rPr>
                <w:color w:val="000000" w:themeColor="text1"/>
                <w:sz w:val="24"/>
                <w:vertAlign w:val="subscript"/>
                <w14:textFill>
                  <w14:solidFill>
                    <w14:schemeClr w14:val="tx1"/>
                  </w14:solidFill>
                </w14:textFill>
              </w:rPr>
              <w:t>5</w:t>
            </w:r>
            <w:r>
              <w:rPr>
                <w:color w:val="000000" w:themeColor="text1"/>
                <w:sz w:val="24"/>
                <w14:textFill>
                  <w14:solidFill>
                    <w14:schemeClr w14:val="tx1"/>
                  </w14:solidFill>
                </w14:textFill>
              </w:rPr>
              <w:t xml:space="preserve"> 2</w:t>
            </w:r>
            <w:r>
              <w:rPr>
                <w:rFonts w:hint="eastAsia"/>
                <w:color w:val="000000" w:themeColor="text1"/>
                <w:sz w:val="24"/>
                <w:lang w:val="en-US" w:eastAsia="zh-CN"/>
                <w14:textFill>
                  <w14:solidFill>
                    <w14:schemeClr w14:val="tx1"/>
                  </w14:solidFill>
                </w14:textFill>
              </w:rPr>
              <w:t>0</w:t>
            </w:r>
            <w:r>
              <w:rPr>
                <w:color w:val="000000" w:themeColor="text1"/>
                <w:sz w:val="24"/>
                <w14:textFill>
                  <w14:solidFill>
                    <w14:schemeClr w14:val="tx1"/>
                  </w14:solidFill>
                </w14:textFill>
              </w:rPr>
              <w:t xml:space="preserve">%，SS </w:t>
            </w:r>
            <w:r>
              <w:rPr>
                <w:rFonts w:hint="eastAsia"/>
                <w:color w:val="000000" w:themeColor="text1"/>
                <w:sz w:val="24"/>
                <w:lang w:val="en-US" w:eastAsia="zh-CN"/>
                <w14:textFill>
                  <w14:solidFill>
                    <w14:schemeClr w14:val="tx1"/>
                  </w14:solidFill>
                </w14:textFill>
              </w:rPr>
              <w:t>40</w:t>
            </w:r>
            <w:r>
              <w:rPr>
                <w:color w:val="000000" w:themeColor="text1"/>
                <w:sz w:val="24"/>
                <w14:textFill>
                  <w14:solidFill>
                    <w14:schemeClr w14:val="tx1"/>
                  </w14:solidFill>
                </w14:textFill>
              </w:rPr>
              <w:t>%）后达</w:t>
            </w:r>
            <w:r>
              <w:rPr>
                <w:rFonts w:hint="eastAsia"/>
                <w:color w:val="000000" w:themeColor="text1"/>
                <w:sz w:val="24"/>
                <w14:textFill>
                  <w14:solidFill>
                    <w14:schemeClr w14:val="tx1"/>
                  </w14:solidFill>
                </w14:textFill>
              </w:rPr>
              <w:t>江西余干工</w:t>
            </w:r>
            <w:r>
              <w:rPr>
                <w:rFonts w:hint="eastAsia"/>
                <w:sz w:val="24"/>
              </w:rPr>
              <w:t>业园区（黄金埠）污水处理厂</w:t>
            </w:r>
            <w:r>
              <w:rPr>
                <w:sz w:val="24"/>
              </w:rPr>
              <w:t>接管标准，排入</w:t>
            </w:r>
            <w:r>
              <w:rPr>
                <w:rFonts w:hint="eastAsia"/>
                <w:sz w:val="24"/>
              </w:rPr>
              <w:t>江西余干工业园区（黄金埠）污水处理厂</w:t>
            </w:r>
            <w:r>
              <w:rPr>
                <w:sz w:val="24"/>
              </w:rPr>
              <w:t>。</w:t>
            </w:r>
          </w:p>
          <w:p>
            <w:pPr>
              <w:pStyle w:val="136"/>
              <w:adjustRightInd w:val="0"/>
              <w:snapToGrid w:val="0"/>
              <w:ind w:right="0"/>
            </w:pPr>
            <w:r>
              <w:t>根据“《排污许可证申请与核发技术规范 总则》（HJ 942-2018）中4.5.3.1”，生活污水防治工艺为“过滤、沉淀-活性污泥法、生物接触氧化、其他”等处理技术或其他。</w:t>
            </w:r>
          </w:p>
          <w:p>
            <w:pPr>
              <w:pStyle w:val="3"/>
              <w:spacing w:line="360" w:lineRule="auto"/>
              <w:ind w:left="0" w:leftChars="0" w:firstLine="480" w:firstLineChars="200"/>
              <w:rPr>
                <w:sz w:val="24"/>
              </w:rPr>
            </w:pPr>
            <w:r>
              <w:rPr>
                <w:sz w:val="24"/>
              </w:rPr>
              <w:t>污水处理</w:t>
            </w:r>
            <w:r>
              <w:rPr>
                <w:rFonts w:hint="eastAsia"/>
                <w:sz w:val="24"/>
                <w:lang w:eastAsia="zh-CN"/>
              </w:rPr>
              <w:t>措施</w:t>
            </w:r>
            <w:r>
              <w:rPr>
                <w:sz w:val="24"/>
              </w:rPr>
              <w:t>为化粪池；化粪池是一种利用沉淀和厌氧发酵的原理，去除生活污水中悬浮性有机物的处理设施，属于初级的过渡性生活处理构筑物，可有效处理粪便等。</w:t>
            </w:r>
          </w:p>
          <w:p>
            <w:pPr>
              <w:pStyle w:val="136"/>
              <w:adjustRightInd w:val="0"/>
              <w:snapToGrid w:val="0"/>
              <w:ind w:right="0"/>
            </w:pPr>
            <w:r>
              <w:t>据业主提供信息，化粪池设计处理规模</w:t>
            </w:r>
            <w:r>
              <w:rPr>
                <w:rFonts w:hint="eastAsia"/>
              </w:rPr>
              <w:t>8</w:t>
            </w:r>
            <w:r>
              <w:t>m</w:t>
            </w:r>
            <w:r>
              <w:rPr>
                <w:vertAlign w:val="superscript"/>
              </w:rPr>
              <w:t>3</w:t>
            </w:r>
            <w:r>
              <w:t>/d，本项目污水产生量为</w:t>
            </w:r>
            <w:r>
              <w:rPr>
                <w:rFonts w:hint="eastAsia"/>
              </w:rPr>
              <w:t>4</w:t>
            </w:r>
            <w:r>
              <w:t>.</w:t>
            </w:r>
            <w:r>
              <w:rPr>
                <w:rFonts w:hint="eastAsia"/>
              </w:rPr>
              <w:t>0</w:t>
            </w:r>
            <w:r>
              <w:t>m</w:t>
            </w:r>
            <w:r>
              <w:rPr>
                <w:vertAlign w:val="superscript"/>
              </w:rPr>
              <w:t>3</w:t>
            </w:r>
            <w:r>
              <w:t>/d（</w:t>
            </w:r>
            <w:r>
              <w:rPr>
                <w:rFonts w:hint="eastAsia"/>
              </w:rPr>
              <w:t>1200</w:t>
            </w:r>
            <w:r>
              <w:t>m</w:t>
            </w:r>
            <w:r>
              <w:rPr>
                <w:vertAlign w:val="superscript"/>
              </w:rPr>
              <w:t>3</w:t>
            </w:r>
            <w:r>
              <w:t>/a），本项目</w:t>
            </w:r>
            <w:r>
              <w:rPr>
                <w:rFonts w:hint="eastAsia"/>
              </w:rPr>
              <w:t>生活</w:t>
            </w:r>
            <w:r>
              <w:t>废水占</w:t>
            </w:r>
            <w:r>
              <w:rPr>
                <w:rFonts w:hint="eastAsia"/>
              </w:rPr>
              <w:t>化粪池</w:t>
            </w:r>
            <w:r>
              <w:t>处理</w:t>
            </w:r>
            <w:r>
              <w:rPr>
                <w:rFonts w:hint="eastAsia"/>
              </w:rPr>
              <w:t>能力</w:t>
            </w:r>
            <w:r>
              <w:t>的</w:t>
            </w:r>
            <w:r>
              <w:rPr>
                <w:rFonts w:hint="eastAsia"/>
              </w:rPr>
              <w:t>50</w:t>
            </w:r>
            <w:r>
              <w:t>%</w:t>
            </w:r>
            <w:r>
              <w:rPr>
                <w:rFonts w:hint="eastAsia"/>
              </w:rPr>
              <w:t>，</w:t>
            </w:r>
            <w:r>
              <w:t>污水经处理后能达到</w:t>
            </w:r>
            <w:r>
              <w:rPr>
                <w:rFonts w:hint="eastAsia"/>
              </w:rPr>
              <w:t>江西余干工业园区（黄金埠）污水处理厂</w:t>
            </w:r>
            <w:r>
              <w:t>接管标准，属于可行性技术。</w:t>
            </w:r>
          </w:p>
          <w:p>
            <w:pPr>
              <w:pStyle w:val="136"/>
              <w:adjustRightInd w:val="0"/>
              <w:snapToGrid w:val="0"/>
              <w:ind w:right="0"/>
            </w:pPr>
            <w:r>
              <w:t>⑶接管可行性分析</w:t>
            </w:r>
          </w:p>
          <w:p>
            <w:pPr>
              <w:adjustRightInd w:val="0"/>
              <w:snapToGrid w:val="0"/>
              <w:spacing w:line="360" w:lineRule="auto"/>
              <w:ind w:firstLine="480" w:firstLineChars="200"/>
              <w:contextualSpacing/>
              <w:rPr>
                <w:sz w:val="24"/>
              </w:rPr>
            </w:pPr>
            <w:r>
              <w:rPr>
                <w:rFonts w:hint="eastAsia" w:cs="宋体"/>
                <w:kern w:val="18"/>
                <w:sz w:val="24"/>
                <w:szCs w:val="20"/>
              </w:rPr>
              <w:t>江西余干工业园区（黄金埠）污水处理厂</w:t>
            </w:r>
            <w:r>
              <w:rPr>
                <w:rFonts w:hint="eastAsia"/>
                <w:sz w:val="24"/>
              </w:rPr>
              <w:t>位于江西省上饶市余干县黄金埠电力特色基地，厂区总占地面积约25044.7m</w:t>
            </w:r>
            <w:r>
              <w:rPr>
                <w:rFonts w:hint="eastAsia"/>
                <w:sz w:val="24"/>
                <w:vertAlign w:val="superscript"/>
              </w:rPr>
              <w:t>2</w:t>
            </w:r>
            <w:r>
              <w:rPr>
                <w:rFonts w:hint="eastAsia"/>
                <w:sz w:val="24"/>
              </w:rPr>
              <w:t>（约37.57亩）。一期建设规模为日处理废水20000m</w:t>
            </w:r>
            <w:r>
              <w:rPr>
                <w:rFonts w:hint="eastAsia"/>
                <w:sz w:val="24"/>
                <w:vertAlign w:val="superscript"/>
              </w:rPr>
              <w:t>3</w:t>
            </w:r>
            <w:r>
              <w:rPr>
                <w:rFonts w:hint="eastAsia"/>
                <w:sz w:val="24"/>
              </w:rPr>
              <w:t>，主要接纳余干工业园区（黄金埠电力特色基地）规划范围内的工业废水和生活污水，其中以工业废水为主导。污水处理采用</w:t>
            </w:r>
            <w:r>
              <w:rPr>
                <w:rFonts w:hint="eastAsia"/>
                <w:sz w:val="24"/>
                <w:szCs w:val="20"/>
              </w:rPr>
              <w:t>具有除磷、硝化和反硝化功能的二级生物处理</w:t>
            </w:r>
            <w:r>
              <w:rPr>
                <w:rFonts w:cs="Arial"/>
                <w:sz w:val="24"/>
                <w:szCs w:val="20"/>
              </w:rPr>
              <w:t>工艺</w:t>
            </w:r>
            <w:r>
              <w:rPr>
                <w:rFonts w:hint="eastAsia"/>
                <w:sz w:val="24"/>
              </w:rPr>
              <w:t>的污水处理组合工艺，处理后的尾水达到《城镇污水处理厂污染物排放标准》（GB18918-2002）一级B标准后排入信江。目前一期工程已投入运营，</w:t>
            </w:r>
            <w:r>
              <w:rPr>
                <w:sz w:val="24"/>
              </w:rPr>
              <w:t>本项目</w:t>
            </w:r>
            <w:r>
              <w:rPr>
                <w:rFonts w:hint="eastAsia"/>
                <w:sz w:val="24"/>
              </w:rPr>
              <w:t>废水经厂区预处理</w:t>
            </w:r>
            <w:r>
              <w:rPr>
                <w:sz w:val="24"/>
              </w:rPr>
              <w:t>可达到</w:t>
            </w:r>
            <w:r>
              <w:rPr>
                <w:rFonts w:hint="eastAsia"/>
                <w:sz w:val="24"/>
              </w:rPr>
              <w:t>园区纳管标准</w:t>
            </w:r>
            <w:r>
              <w:rPr>
                <w:sz w:val="24"/>
              </w:rPr>
              <w:t>排入</w:t>
            </w:r>
            <w:r>
              <w:rPr>
                <w:rFonts w:hint="eastAsia"/>
                <w:sz w:val="24"/>
              </w:rPr>
              <w:t>园区</w:t>
            </w:r>
            <w:r>
              <w:rPr>
                <w:sz w:val="24"/>
              </w:rPr>
              <w:t>污水管网。</w:t>
            </w:r>
            <w:r>
              <w:rPr>
                <w:rFonts w:hint="eastAsia"/>
                <w:sz w:val="24"/>
              </w:rPr>
              <w:t>项目</w:t>
            </w:r>
            <w:r>
              <w:rPr>
                <w:rFonts w:hint="eastAsia"/>
                <w:sz w:val="24"/>
                <w:lang w:eastAsia="zh-CN"/>
              </w:rPr>
              <w:t>生活污水排放</w:t>
            </w:r>
            <w:r>
              <w:rPr>
                <w:rFonts w:hint="eastAsia"/>
                <w:sz w:val="24"/>
              </w:rPr>
              <w:t>量</w:t>
            </w:r>
            <w:r>
              <w:rPr>
                <w:rFonts w:hint="eastAsia"/>
                <w:sz w:val="24"/>
                <w:lang w:eastAsia="zh-CN"/>
              </w:rPr>
              <w:t>为</w:t>
            </w:r>
            <w:r>
              <w:rPr>
                <w:rFonts w:hint="eastAsia"/>
                <w:sz w:val="24"/>
              </w:rPr>
              <w:t>4t/d</w:t>
            </w:r>
            <w:r>
              <w:rPr>
                <w:rFonts w:hint="eastAsia"/>
                <w:sz w:val="24"/>
                <w:lang w:eastAsia="zh-CN"/>
              </w:rPr>
              <w:t>，</w:t>
            </w:r>
            <w:r>
              <w:rPr>
                <w:rFonts w:hint="eastAsia"/>
                <w:sz w:val="24"/>
              </w:rPr>
              <w:t>只占污水处理厂日处理能力的0.02%，</w:t>
            </w:r>
            <w:r>
              <w:rPr>
                <w:sz w:val="24"/>
              </w:rPr>
              <w:t>项目废水排入</w:t>
            </w:r>
            <w:r>
              <w:rPr>
                <w:rFonts w:hint="eastAsia" w:cs="宋体"/>
                <w:kern w:val="18"/>
                <w:sz w:val="24"/>
                <w:szCs w:val="20"/>
              </w:rPr>
              <w:t>江西余干工业园区（黄金埠）污水处理厂</w:t>
            </w:r>
            <w:r>
              <w:rPr>
                <w:sz w:val="24"/>
              </w:rPr>
              <w:t>不会影响污水处理</w:t>
            </w:r>
            <w:r>
              <w:rPr>
                <w:rFonts w:hint="eastAsia"/>
                <w:sz w:val="24"/>
              </w:rPr>
              <w:t>厂废水处理的</w:t>
            </w:r>
            <w:r>
              <w:rPr>
                <w:sz w:val="24"/>
              </w:rPr>
              <w:t>正常运转。</w:t>
            </w:r>
          </w:p>
          <w:p>
            <w:pPr>
              <w:pStyle w:val="17"/>
              <w:widowControl w:val="0"/>
              <w:kinsoku w:val="0"/>
              <w:overflowPunct w:val="0"/>
              <w:adjustRightInd w:val="0"/>
              <w:spacing w:before="0" w:after="0" w:line="360" w:lineRule="auto"/>
              <w:ind w:right="0" w:firstLine="476"/>
              <w:rPr>
                <w:sz w:val="24"/>
              </w:rPr>
            </w:pPr>
            <w:r>
              <w:rPr>
                <w:sz w:val="24"/>
              </w:rPr>
              <w:t>综上所述，项目水污染控制和水环境影响减缓措施有效，项目废水依托</w:t>
            </w:r>
            <w:r>
              <w:rPr>
                <w:rFonts w:hint="eastAsia" w:cs="宋体"/>
                <w:kern w:val="18"/>
                <w:sz w:val="24"/>
              </w:rPr>
              <w:t>江西余干工业园区（黄金埠）污水处理厂</w:t>
            </w:r>
            <w:r>
              <w:rPr>
                <w:sz w:val="24"/>
              </w:rPr>
              <w:t>处理措施可行。</w:t>
            </w:r>
          </w:p>
          <w:p>
            <w:pPr>
              <w:snapToGrid w:val="0"/>
              <w:spacing w:line="360" w:lineRule="auto"/>
              <w:ind w:firstLine="480" w:firstLineChars="200"/>
              <w:rPr>
                <w:sz w:val="24"/>
              </w:rPr>
            </w:pPr>
            <w:r>
              <w:rPr>
                <w:sz w:val="24"/>
              </w:rPr>
              <w:t>⑷废水自行监测计划</w:t>
            </w:r>
          </w:p>
          <w:p>
            <w:pPr>
              <w:snapToGrid w:val="0"/>
              <w:spacing w:line="360" w:lineRule="auto"/>
              <w:ind w:firstLine="480" w:firstLineChars="200"/>
              <w:rPr>
                <w:sz w:val="24"/>
              </w:rPr>
            </w:pPr>
            <w:r>
              <w:rPr>
                <w:rFonts w:hint="eastAsia"/>
                <w:sz w:val="24"/>
              </w:rPr>
              <w:t>根据《重点排污单位名录管理规定(试行)》(环办监测</w:t>
            </w:r>
            <w:r>
              <w:rPr>
                <w:rFonts w:hint="eastAsia" w:ascii="宋体" w:hAnsi="宋体"/>
                <w:sz w:val="24"/>
              </w:rPr>
              <w:t>〔</w:t>
            </w:r>
            <w:r>
              <w:rPr>
                <w:rFonts w:hint="eastAsia"/>
                <w:sz w:val="24"/>
              </w:rPr>
              <w:t>2017</w:t>
            </w:r>
            <w:r>
              <w:rPr>
                <w:rFonts w:hint="eastAsia" w:ascii="宋体" w:hAnsi="宋体"/>
                <w:sz w:val="24"/>
              </w:rPr>
              <w:t>〕</w:t>
            </w:r>
            <w:r>
              <w:rPr>
                <w:rFonts w:hint="eastAsia"/>
                <w:sz w:val="24"/>
              </w:rPr>
              <w:t>86号)，本项目不属于重点排污单位，根据《固定污染源排污许可分类管理名录（2019版）》中“十六、家具制造业  木质家具制造211的其他”应执行排污登记管理，排污单位可不进行自行监测。</w:t>
            </w:r>
          </w:p>
          <w:p>
            <w:pPr>
              <w:spacing w:line="360" w:lineRule="auto"/>
              <w:ind w:firstLine="482" w:firstLineChars="200"/>
              <w:rPr>
                <w:b/>
                <w:bCs/>
                <w:sz w:val="24"/>
              </w:rPr>
            </w:pPr>
            <w:r>
              <w:rPr>
                <w:b/>
                <w:bCs/>
                <w:sz w:val="24"/>
              </w:rPr>
              <w:t>3、</w:t>
            </w:r>
            <w:r>
              <w:rPr>
                <w:b/>
                <w:sz w:val="24"/>
              </w:rPr>
              <w:t>运营期噪声环境影响和保护措施</w:t>
            </w:r>
          </w:p>
          <w:p>
            <w:pPr>
              <w:spacing w:line="360" w:lineRule="auto"/>
              <w:ind w:firstLine="480" w:firstLineChars="200"/>
              <w:rPr>
                <w:b w:val="0"/>
                <w:bCs w:val="0"/>
                <w:sz w:val="24"/>
              </w:rPr>
            </w:pPr>
            <w:r>
              <w:rPr>
                <w:b w:val="0"/>
                <w:bCs w:val="0"/>
                <w:sz w:val="24"/>
              </w:rPr>
              <w:t>⑴噪声污染源分析</w:t>
            </w:r>
          </w:p>
          <w:p>
            <w:pPr>
              <w:spacing w:line="360" w:lineRule="auto"/>
              <w:ind w:firstLine="480" w:firstLineChars="200"/>
            </w:pPr>
            <w:r>
              <w:rPr>
                <w:sz w:val="24"/>
              </w:rPr>
              <w:t>项目噪声源主要为加工设备运行噪声，其噪声声源值为7</w:t>
            </w:r>
            <w:r>
              <w:rPr>
                <w:rFonts w:hint="eastAsia"/>
                <w:sz w:val="24"/>
              </w:rPr>
              <w:t>0</w:t>
            </w:r>
            <w:r>
              <w:rPr>
                <w:sz w:val="24"/>
              </w:rPr>
              <w:t>dB(A)</w:t>
            </w:r>
            <w:r>
              <w:rPr>
                <w:rFonts w:hint="eastAsia"/>
                <w:sz w:val="24"/>
              </w:rPr>
              <w:t>~85</w:t>
            </w:r>
            <w:r>
              <w:rPr>
                <w:sz w:val="24"/>
              </w:rPr>
              <w:t>dB(A)。项目运营期主要噪声源详见表4-</w:t>
            </w:r>
            <w:r>
              <w:rPr>
                <w:rFonts w:hint="eastAsia"/>
                <w:sz w:val="24"/>
                <w:lang w:val="en-US" w:eastAsia="zh-CN"/>
              </w:rPr>
              <w:t>25</w:t>
            </w:r>
            <w:r>
              <w:rPr>
                <w:rFonts w:hint="eastAsia"/>
                <w:sz w:val="24"/>
              </w:rPr>
              <w:t>。</w:t>
            </w:r>
          </w:p>
          <w:p>
            <w:pPr>
              <w:autoSpaceDN w:val="0"/>
              <w:spacing w:before="120" w:beforeLines="50"/>
              <w:ind w:firstLine="482"/>
              <w:jc w:val="center"/>
              <w:rPr>
                <w:rFonts w:eastAsia="黑体"/>
                <w:bCs/>
                <w:color w:val="0000FF"/>
                <w:spacing w:val="4"/>
                <w:sz w:val="24"/>
              </w:rPr>
            </w:pPr>
            <w:r>
              <w:rPr>
                <w:rFonts w:eastAsia="黑体"/>
                <w:bCs/>
                <w:color w:val="0000FF"/>
                <w:spacing w:val="4"/>
                <w:sz w:val="24"/>
              </w:rPr>
              <w:t>表4-</w:t>
            </w:r>
            <w:r>
              <w:rPr>
                <w:rFonts w:hint="eastAsia" w:eastAsia="黑体"/>
                <w:bCs/>
                <w:color w:val="0000FF"/>
                <w:spacing w:val="4"/>
                <w:sz w:val="24"/>
                <w:lang w:val="en-US" w:eastAsia="zh-CN"/>
              </w:rPr>
              <w:t>25</w:t>
            </w:r>
            <w:r>
              <w:rPr>
                <w:rFonts w:eastAsia="黑体"/>
                <w:bCs/>
                <w:color w:val="0000FF"/>
                <w:spacing w:val="4"/>
                <w:sz w:val="24"/>
              </w:rPr>
              <w:t xml:space="preserve">  </w:t>
            </w:r>
            <w:r>
              <w:rPr>
                <w:rFonts w:hint="eastAsia" w:eastAsia="黑体"/>
                <w:bCs/>
                <w:color w:val="0000FF"/>
                <w:spacing w:val="4"/>
                <w:sz w:val="24"/>
              </w:rPr>
              <w:t>主要设备噪声源强一览表（室内声源）</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3"/>
              <w:gridCol w:w="547"/>
              <w:gridCol w:w="930"/>
              <w:gridCol w:w="477"/>
              <w:gridCol w:w="1152"/>
              <w:gridCol w:w="729"/>
              <w:gridCol w:w="573"/>
              <w:gridCol w:w="583"/>
              <w:gridCol w:w="606"/>
              <w:gridCol w:w="448"/>
              <w:gridCol w:w="707"/>
              <w:gridCol w:w="710"/>
              <w:gridCol w:w="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restart"/>
                  <w:vAlign w:val="center"/>
                </w:tcPr>
                <w:p>
                  <w:pPr>
                    <w:spacing w:line="340" w:lineRule="exact"/>
                    <w:jc w:val="center"/>
                    <w:rPr>
                      <w:color w:val="0000FF"/>
                      <w:sz w:val="18"/>
                      <w:szCs w:val="18"/>
                    </w:rPr>
                  </w:pPr>
                  <w:r>
                    <w:rPr>
                      <w:rFonts w:hint="eastAsia"/>
                      <w:color w:val="0000FF"/>
                      <w:sz w:val="18"/>
                      <w:szCs w:val="18"/>
                    </w:rPr>
                    <w:t>序号</w:t>
                  </w:r>
                </w:p>
              </w:tc>
              <w:tc>
                <w:tcPr>
                  <w:tcW w:w="325" w:type="pct"/>
                  <w:vMerge w:val="restart"/>
                  <w:vAlign w:val="center"/>
                </w:tcPr>
                <w:p>
                  <w:pPr>
                    <w:spacing w:line="340" w:lineRule="exact"/>
                    <w:jc w:val="center"/>
                    <w:rPr>
                      <w:color w:val="0000FF"/>
                      <w:sz w:val="18"/>
                      <w:szCs w:val="18"/>
                    </w:rPr>
                  </w:pPr>
                  <w:r>
                    <w:rPr>
                      <w:rFonts w:hint="eastAsia"/>
                      <w:color w:val="0000FF"/>
                      <w:sz w:val="18"/>
                      <w:szCs w:val="18"/>
                    </w:rPr>
                    <w:t>建筑物名称</w:t>
                  </w:r>
                </w:p>
              </w:tc>
              <w:tc>
                <w:tcPr>
                  <w:tcW w:w="552" w:type="pct"/>
                  <w:vMerge w:val="restart"/>
                  <w:vAlign w:val="center"/>
                </w:tcPr>
                <w:p>
                  <w:pPr>
                    <w:spacing w:line="340" w:lineRule="exact"/>
                    <w:jc w:val="center"/>
                    <w:rPr>
                      <w:color w:val="0000FF"/>
                      <w:sz w:val="18"/>
                      <w:szCs w:val="18"/>
                    </w:rPr>
                  </w:pPr>
                  <w:r>
                    <w:rPr>
                      <w:rFonts w:hint="eastAsia"/>
                      <w:color w:val="0000FF"/>
                      <w:sz w:val="18"/>
                      <w:szCs w:val="18"/>
                    </w:rPr>
                    <w:t>声源名称</w:t>
                  </w:r>
                </w:p>
              </w:tc>
              <w:tc>
                <w:tcPr>
                  <w:tcW w:w="283" w:type="pct"/>
                  <w:vMerge w:val="restart"/>
                  <w:vAlign w:val="center"/>
                </w:tcPr>
                <w:p>
                  <w:pPr>
                    <w:spacing w:line="340" w:lineRule="exact"/>
                    <w:jc w:val="center"/>
                    <w:rPr>
                      <w:color w:val="0000FF"/>
                      <w:sz w:val="18"/>
                      <w:szCs w:val="18"/>
                    </w:rPr>
                  </w:pPr>
                  <w:r>
                    <w:rPr>
                      <w:rFonts w:hint="eastAsia"/>
                      <w:color w:val="0000FF"/>
                      <w:sz w:val="18"/>
                      <w:szCs w:val="18"/>
                    </w:rPr>
                    <w:t>型号</w:t>
                  </w:r>
                </w:p>
              </w:tc>
              <w:tc>
                <w:tcPr>
                  <w:tcW w:w="1117" w:type="pct"/>
                  <w:gridSpan w:val="2"/>
                  <w:vAlign w:val="center"/>
                </w:tcPr>
                <w:p>
                  <w:pPr>
                    <w:spacing w:line="340" w:lineRule="exact"/>
                    <w:jc w:val="center"/>
                    <w:rPr>
                      <w:color w:val="0000FF"/>
                      <w:sz w:val="18"/>
                      <w:szCs w:val="18"/>
                    </w:rPr>
                  </w:pPr>
                  <w:r>
                    <w:rPr>
                      <w:rFonts w:hint="eastAsia"/>
                      <w:color w:val="0000FF"/>
                      <w:sz w:val="18"/>
                      <w:szCs w:val="18"/>
                    </w:rPr>
                    <w:t>声源源强（任选一种）</w:t>
                  </w:r>
                </w:p>
              </w:tc>
              <w:tc>
                <w:tcPr>
                  <w:tcW w:w="340" w:type="pct"/>
                  <w:vMerge w:val="restart"/>
                  <w:vAlign w:val="center"/>
                </w:tcPr>
                <w:p>
                  <w:pPr>
                    <w:spacing w:line="340" w:lineRule="exact"/>
                    <w:jc w:val="center"/>
                    <w:rPr>
                      <w:color w:val="0000FF"/>
                      <w:sz w:val="18"/>
                      <w:szCs w:val="18"/>
                    </w:rPr>
                  </w:pPr>
                  <w:r>
                    <w:rPr>
                      <w:rFonts w:hint="eastAsia"/>
                      <w:color w:val="0000FF"/>
                      <w:sz w:val="18"/>
                      <w:szCs w:val="18"/>
                    </w:rPr>
                    <w:t>声源控制措施</w:t>
                  </w:r>
                </w:p>
              </w:tc>
              <w:tc>
                <w:tcPr>
                  <w:tcW w:w="972" w:type="pct"/>
                  <w:gridSpan w:val="3"/>
                  <w:vAlign w:val="center"/>
                </w:tcPr>
                <w:p>
                  <w:pPr>
                    <w:spacing w:line="340" w:lineRule="exact"/>
                    <w:jc w:val="center"/>
                    <w:rPr>
                      <w:color w:val="0000FF"/>
                      <w:sz w:val="18"/>
                      <w:szCs w:val="18"/>
                    </w:rPr>
                  </w:pPr>
                  <w:r>
                    <w:rPr>
                      <w:rFonts w:hint="eastAsia"/>
                      <w:color w:val="0000FF"/>
                      <w:sz w:val="18"/>
                      <w:szCs w:val="18"/>
                    </w:rPr>
                    <w:t>空间相对位置（m）</w:t>
                  </w:r>
                </w:p>
              </w:tc>
              <w:tc>
                <w:tcPr>
                  <w:tcW w:w="420" w:type="pct"/>
                  <w:vMerge w:val="restart"/>
                  <w:vAlign w:val="center"/>
                </w:tcPr>
                <w:p>
                  <w:pPr>
                    <w:spacing w:line="340" w:lineRule="exact"/>
                    <w:jc w:val="center"/>
                    <w:rPr>
                      <w:rFonts w:hint="eastAsia" w:eastAsia="宋体"/>
                      <w:color w:val="0000FF"/>
                      <w:sz w:val="18"/>
                      <w:szCs w:val="18"/>
                      <w:lang w:eastAsia="zh-CN"/>
                    </w:rPr>
                  </w:pPr>
                  <w:r>
                    <w:rPr>
                      <w:rFonts w:hint="eastAsia"/>
                      <w:color w:val="0000FF"/>
                      <w:sz w:val="18"/>
                      <w:szCs w:val="18"/>
                    </w:rPr>
                    <w:t>距离内边界距离</w:t>
                  </w:r>
                  <w:r>
                    <w:rPr>
                      <w:rFonts w:hint="eastAsia"/>
                      <w:color w:val="0000FF"/>
                      <w:sz w:val="18"/>
                      <w:szCs w:val="18"/>
                      <w:lang w:eastAsia="zh-CN"/>
                    </w:rPr>
                    <w:t>（</w:t>
                  </w:r>
                  <w:r>
                    <w:rPr>
                      <w:color w:val="0000FF"/>
                      <w:sz w:val="18"/>
                      <w:szCs w:val="18"/>
                    </w:rPr>
                    <w:t>m</w:t>
                  </w:r>
                  <w:r>
                    <w:rPr>
                      <w:rFonts w:hint="eastAsia"/>
                      <w:color w:val="0000FF"/>
                      <w:sz w:val="18"/>
                      <w:szCs w:val="18"/>
                      <w:lang w:eastAsia="zh-CN"/>
                    </w:rPr>
                    <w:t>）</w:t>
                  </w:r>
                </w:p>
              </w:tc>
              <w:tc>
                <w:tcPr>
                  <w:tcW w:w="421" w:type="pct"/>
                  <w:vMerge w:val="restart"/>
                  <w:vAlign w:val="center"/>
                </w:tcPr>
                <w:p>
                  <w:pPr>
                    <w:spacing w:line="340" w:lineRule="exact"/>
                    <w:jc w:val="center"/>
                    <w:rPr>
                      <w:color w:val="0000FF"/>
                      <w:sz w:val="18"/>
                      <w:szCs w:val="18"/>
                    </w:rPr>
                  </w:pPr>
                  <w:r>
                    <w:rPr>
                      <w:rFonts w:hint="eastAsia"/>
                      <w:color w:val="0000FF"/>
                      <w:sz w:val="18"/>
                      <w:szCs w:val="18"/>
                    </w:rPr>
                    <w:t>室内边界声级/dB(A)</w:t>
                  </w:r>
                </w:p>
              </w:tc>
              <w:tc>
                <w:tcPr>
                  <w:tcW w:w="331" w:type="pct"/>
                  <w:vMerge w:val="restart"/>
                  <w:vAlign w:val="center"/>
                </w:tcPr>
                <w:p>
                  <w:pPr>
                    <w:spacing w:line="340" w:lineRule="exact"/>
                    <w:jc w:val="center"/>
                    <w:rPr>
                      <w:color w:val="0000FF"/>
                      <w:sz w:val="18"/>
                      <w:szCs w:val="18"/>
                    </w:rPr>
                  </w:pPr>
                  <w:r>
                    <w:rPr>
                      <w:rFonts w:hint="eastAsia"/>
                      <w:color w:val="0000FF"/>
                      <w:sz w:val="18"/>
                      <w:szCs w:val="18"/>
                    </w:rPr>
                    <w:t>运行时段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vAlign w:val="center"/>
                </w:tcPr>
                <w:p>
                  <w:pPr>
                    <w:spacing w:line="340" w:lineRule="exact"/>
                    <w:jc w:val="center"/>
                    <w:rPr>
                      <w:color w:val="0000FF"/>
                      <w:sz w:val="18"/>
                      <w:szCs w:val="18"/>
                    </w:rPr>
                  </w:pPr>
                </w:p>
              </w:tc>
              <w:tc>
                <w:tcPr>
                  <w:tcW w:w="325" w:type="pct"/>
                  <w:vMerge w:val="continue"/>
                  <w:vAlign w:val="center"/>
                </w:tcPr>
                <w:p>
                  <w:pPr>
                    <w:spacing w:line="340" w:lineRule="exact"/>
                    <w:jc w:val="center"/>
                    <w:rPr>
                      <w:color w:val="0000FF"/>
                      <w:sz w:val="18"/>
                      <w:szCs w:val="18"/>
                    </w:rPr>
                  </w:pPr>
                </w:p>
              </w:tc>
              <w:tc>
                <w:tcPr>
                  <w:tcW w:w="552" w:type="pct"/>
                  <w:vMerge w:val="continue"/>
                  <w:vAlign w:val="center"/>
                </w:tcPr>
                <w:p>
                  <w:pPr>
                    <w:spacing w:line="340" w:lineRule="exact"/>
                    <w:jc w:val="center"/>
                    <w:rPr>
                      <w:color w:val="0000FF"/>
                      <w:sz w:val="18"/>
                      <w:szCs w:val="18"/>
                    </w:rPr>
                  </w:pPr>
                </w:p>
              </w:tc>
              <w:tc>
                <w:tcPr>
                  <w:tcW w:w="283" w:type="pct"/>
                  <w:vMerge w:val="continue"/>
                  <w:vAlign w:val="center"/>
                </w:tcPr>
                <w:p>
                  <w:pPr>
                    <w:spacing w:line="340" w:lineRule="exact"/>
                    <w:jc w:val="center"/>
                    <w:rPr>
                      <w:color w:val="0000FF"/>
                      <w:sz w:val="18"/>
                      <w:szCs w:val="18"/>
                    </w:rPr>
                  </w:pPr>
                </w:p>
              </w:tc>
              <w:tc>
                <w:tcPr>
                  <w:tcW w:w="684" w:type="pct"/>
                  <w:vAlign w:val="center"/>
                </w:tcPr>
                <w:p>
                  <w:pPr>
                    <w:spacing w:line="340" w:lineRule="exact"/>
                    <w:jc w:val="center"/>
                    <w:rPr>
                      <w:color w:val="0000FF"/>
                      <w:sz w:val="18"/>
                      <w:szCs w:val="18"/>
                    </w:rPr>
                  </w:pPr>
                  <w:r>
                    <w:rPr>
                      <w:rFonts w:hint="eastAsia"/>
                      <w:color w:val="0000FF"/>
                      <w:sz w:val="18"/>
                      <w:szCs w:val="18"/>
                    </w:rPr>
                    <w:t>（声压级/距声源距离）/(dB(A)/m）</w:t>
                  </w:r>
                </w:p>
              </w:tc>
              <w:tc>
                <w:tcPr>
                  <w:tcW w:w="433" w:type="pct"/>
                  <w:vAlign w:val="center"/>
                </w:tcPr>
                <w:p>
                  <w:pPr>
                    <w:spacing w:line="340" w:lineRule="exact"/>
                    <w:jc w:val="center"/>
                    <w:rPr>
                      <w:color w:val="0000FF"/>
                      <w:sz w:val="18"/>
                      <w:szCs w:val="18"/>
                    </w:rPr>
                  </w:pPr>
                  <w:r>
                    <w:rPr>
                      <w:rFonts w:hint="eastAsia"/>
                      <w:color w:val="0000FF"/>
                      <w:sz w:val="18"/>
                      <w:szCs w:val="18"/>
                    </w:rPr>
                    <w:t>声功率级/dB(A)</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X</w:t>
                  </w:r>
                </w:p>
              </w:tc>
              <w:tc>
                <w:tcPr>
                  <w:tcW w:w="360" w:type="pct"/>
                  <w:vAlign w:val="center"/>
                </w:tcPr>
                <w:p>
                  <w:pPr>
                    <w:spacing w:line="340" w:lineRule="exact"/>
                    <w:jc w:val="center"/>
                    <w:rPr>
                      <w:color w:val="0000FF"/>
                      <w:sz w:val="18"/>
                      <w:szCs w:val="18"/>
                    </w:rPr>
                  </w:pPr>
                  <w:r>
                    <w:rPr>
                      <w:rFonts w:hint="eastAsia"/>
                      <w:color w:val="0000FF"/>
                      <w:sz w:val="18"/>
                      <w:szCs w:val="18"/>
                    </w:rPr>
                    <w:t>Y</w:t>
                  </w:r>
                </w:p>
              </w:tc>
              <w:tc>
                <w:tcPr>
                  <w:tcW w:w="266" w:type="pct"/>
                  <w:vAlign w:val="center"/>
                </w:tcPr>
                <w:p>
                  <w:pPr>
                    <w:spacing w:line="340" w:lineRule="exact"/>
                    <w:jc w:val="center"/>
                    <w:rPr>
                      <w:color w:val="0000FF"/>
                      <w:sz w:val="18"/>
                      <w:szCs w:val="18"/>
                    </w:rPr>
                  </w:pPr>
                  <w:r>
                    <w:rPr>
                      <w:rFonts w:hint="eastAsia"/>
                      <w:color w:val="0000FF"/>
                      <w:sz w:val="18"/>
                      <w:szCs w:val="18"/>
                    </w:rPr>
                    <w:t>Z</w:t>
                  </w:r>
                </w:p>
              </w:tc>
              <w:tc>
                <w:tcPr>
                  <w:tcW w:w="420" w:type="pct"/>
                  <w:vMerge w:val="continue"/>
                  <w:vAlign w:val="center"/>
                </w:tcPr>
                <w:p>
                  <w:pPr>
                    <w:spacing w:line="340" w:lineRule="exact"/>
                    <w:jc w:val="center"/>
                    <w:rPr>
                      <w:color w:val="0000FF"/>
                      <w:sz w:val="18"/>
                      <w:szCs w:val="18"/>
                    </w:rPr>
                  </w:pPr>
                </w:p>
              </w:tc>
              <w:tc>
                <w:tcPr>
                  <w:tcW w:w="421" w:type="pct"/>
                  <w:vMerge w:val="continue"/>
                  <w:vAlign w:val="center"/>
                </w:tcPr>
                <w:p>
                  <w:pPr>
                    <w:spacing w:line="340" w:lineRule="exact"/>
                    <w:jc w:val="center"/>
                    <w:rPr>
                      <w:color w:val="0000FF"/>
                      <w:sz w:val="18"/>
                      <w:szCs w:val="18"/>
                    </w:rPr>
                  </w:pP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1</w:t>
                  </w:r>
                </w:p>
              </w:tc>
              <w:tc>
                <w:tcPr>
                  <w:tcW w:w="325" w:type="pct"/>
                  <w:vMerge w:val="restart"/>
                  <w:vAlign w:val="center"/>
                </w:tcPr>
                <w:p>
                  <w:pPr>
                    <w:spacing w:line="340" w:lineRule="exact"/>
                    <w:jc w:val="center"/>
                    <w:rPr>
                      <w:color w:val="0000FF"/>
                      <w:sz w:val="18"/>
                      <w:szCs w:val="18"/>
                    </w:rPr>
                  </w:pPr>
                  <w:r>
                    <w:rPr>
                      <w:rFonts w:hint="eastAsia"/>
                      <w:color w:val="0000FF"/>
                      <w:sz w:val="18"/>
                      <w:szCs w:val="18"/>
                    </w:rPr>
                    <w:t>生产车间</w:t>
                  </w:r>
                </w:p>
              </w:tc>
              <w:tc>
                <w:tcPr>
                  <w:tcW w:w="552" w:type="pct"/>
                </w:tcPr>
                <w:p>
                  <w:pPr>
                    <w:spacing w:line="340" w:lineRule="exact"/>
                    <w:jc w:val="center"/>
                    <w:rPr>
                      <w:color w:val="0000FF"/>
                      <w:sz w:val="18"/>
                      <w:szCs w:val="18"/>
                    </w:rPr>
                  </w:pPr>
                  <w:r>
                    <w:rPr>
                      <w:rFonts w:hint="eastAsia"/>
                      <w:color w:val="0000FF"/>
                      <w:sz w:val="18"/>
                      <w:szCs w:val="18"/>
                    </w:rPr>
                    <w:t>锯台</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80</w:t>
                  </w:r>
                </w:p>
              </w:tc>
              <w:tc>
                <w:tcPr>
                  <w:tcW w:w="340" w:type="pct"/>
                  <w:vMerge w:val="restart"/>
                  <w:vAlign w:val="center"/>
                </w:tcPr>
                <w:p>
                  <w:pPr>
                    <w:spacing w:line="340" w:lineRule="exact"/>
                    <w:jc w:val="center"/>
                    <w:rPr>
                      <w:color w:val="0000FF"/>
                      <w:sz w:val="18"/>
                      <w:szCs w:val="18"/>
                    </w:rPr>
                  </w:pPr>
                  <w:r>
                    <w:rPr>
                      <w:rFonts w:hint="eastAsia"/>
                      <w:color w:val="0000FF"/>
                      <w:sz w:val="18"/>
                      <w:szCs w:val="18"/>
                    </w:rPr>
                    <w:t>础减振、室内隔音</w:t>
                  </w:r>
                </w:p>
              </w:tc>
              <w:tc>
                <w:tcPr>
                  <w:tcW w:w="346" w:type="pct"/>
                  <w:vAlign w:val="center"/>
                </w:tcPr>
                <w:p>
                  <w:pPr>
                    <w:spacing w:line="340" w:lineRule="exact"/>
                    <w:jc w:val="center"/>
                    <w:rPr>
                      <w:color w:val="0000FF"/>
                      <w:sz w:val="18"/>
                      <w:szCs w:val="18"/>
                    </w:rPr>
                  </w:pPr>
                  <w:r>
                    <w:rPr>
                      <w:rFonts w:hint="eastAsia"/>
                      <w:color w:val="0000FF"/>
                      <w:sz w:val="18"/>
                      <w:szCs w:val="18"/>
                    </w:rPr>
                    <w:t>-37</w:t>
                  </w:r>
                </w:p>
              </w:tc>
              <w:tc>
                <w:tcPr>
                  <w:tcW w:w="360" w:type="pct"/>
                  <w:vAlign w:val="center"/>
                </w:tcPr>
                <w:p>
                  <w:pPr>
                    <w:spacing w:line="340" w:lineRule="exact"/>
                    <w:jc w:val="center"/>
                    <w:rPr>
                      <w:color w:val="0000FF"/>
                      <w:sz w:val="18"/>
                      <w:szCs w:val="18"/>
                    </w:rPr>
                  </w:pPr>
                  <w:r>
                    <w:rPr>
                      <w:rFonts w:hint="eastAsia"/>
                      <w:color w:val="0000FF"/>
                      <w:sz w:val="18"/>
                      <w:szCs w:val="18"/>
                    </w:rPr>
                    <w:t>18</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rFonts w:hint="eastAsia"/>
                      <w:color w:val="0000FF"/>
                      <w:sz w:val="18"/>
                      <w:szCs w:val="18"/>
                    </w:rPr>
                    <w:t>48</w:t>
                  </w:r>
                </w:p>
              </w:tc>
              <w:tc>
                <w:tcPr>
                  <w:tcW w:w="421" w:type="pct"/>
                  <w:vAlign w:val="center"/>
                </w:tcPr>
                <w:p>
                  <w:pPr>
                    <w:spacing w:line="340" w:lineRule="exact"/>
                    <w:jc w:val="center"/>
                    <w:rPr>
                      <w:color w:val="0000FF"/>
                      <w:sz w:val="18"/>
                      <w:szCs w:val="18"/>
                    </w:rPr>
                  </w:pPr>
                  <w:r>
                    <w:rPr>
                      <w:rFonts w:hint="eastAsia"/>
                      <w:color w:val="0000FF"/>
                      <w:sz w:val="18"/>
                      <w:szCs w:val="18"/>
                    </w:rPr>
                    <w:t>25.0</w:t>
                  </w:r>
                </w:p>
              </w:tc>
              <w:tc>
                <w:tcPr>
                  <w:tcW w:w="331" w:type="pct"/>
                  <w:vMerge w:val="restart"/>
                  <w:vAlign w:val="center"/>
                </w:tcPr>
                <w:p>
                  <w:pPr>
                    <w:spacing w:line="340" w:lineRule="exact"/>
                    <w:jc w:val="center"/>
                    <w:rPr>
                      <w:color w:val="0000FF"/>
                      <w:sz w:val="18"/>
                      <w:szCs w:val="18"/>
                    </w:rPr>
                  </w:pPr>
                  <w:r>
                    <w:rPr>
                      <w:rFonts w:hint="eastAsia"/>
                      <w:color w:val="0000FF"/>
                      <w:sz w:val="18"/>
                      <w:szCs w:val="18"/>
                    </w:rPr>
                    <w:t>8h（夜间不生产）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2</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拉机</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80</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-42</w:t>
                  </w:r>
                </w:p>
              </w:tc>
              <w:tc>
                <w:tcPr>
                  <w:tcW w:w="360" w:type="pct"/>
                  <w:vAlign w:val="center"/>
                </w:tcPr>
                <w:p>
                  <w:pPr>
                    <w:spacing w:line="340" w:lineRule="exact"/>
                    <w:jc w:val="center"/>
                    <w:rPr>
                      <w:color w:val="0000FF"/>
                      <w:sz w:val="18"/>
                      <w:szCs w:val="18"/>
                    </w:rPr>
                  </w:pPr>
                  <w:r>
                    <w:rPr>
                      <w:rFonts w:hint="eastAsia"/>
                      <w:color w:val="0000FF"/>
                      <w:sz w:val="18"/>
                      <w:szCs w:val="18"/>
                    </w:rPr>
                    <w:t>16</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rFonts w:hint="eastAsia"/>
                      <w:color w:val="0000FF"/>
                      <w:sz w:val="18"/>
                      <w:szCs w:val="18"/>
                    </w:rPr>
                    <w:t>52</w:t>
                  </w:r>
                </w:p>
              </w:tc>
              <w:tc>
                <w:tcPr>
                  <w:tcW w:w="421" w:type="pct"/>
                  <w:vAlign w:val="center"/>
                </w:tcPr>
                <w:p>
                  <w:pPr>
                    <w:spacing w:line="340" w:lineRule="exact"/>
                    <w:jc w:val="center"/>
                    <w:rPr>
                      <w:color w:val="0000FF"/>
                      <w:sz w:val="18"/>
                      <w:szCs w:val="18"/>
                    </w:rPr>
                  </w:pPr>
                  <w:r>
                    <w:rPr>
                      <w:rFonts w:hint="eastAsia"/>
                      <w:color w:val="0000FF"/>
                      <w:sz w:val="18"/>
                      <w:szCs w:val="18"/>
                    </w:rPr>
                    <w:t>27.1</w:t>
                  </w: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3</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UV滚涂机</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80</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-19</w:t>
                  </w:r>
                </w:p>
              </w:tc>
              <w:tc>
                <w:tcPr>
                  <w:tcW w:w="360" w:type="pct"/>
                  <w:vAlign w:val="center"/>
                </w:tcPr>
                <w:p>
                  <w:pPr>
                    <w:spacing w:line="340" w:lineRule="exact"/>
                    <w:jc w:val="center"/>
                    <w:rPr>
                      <w:color w:val="0000FF"/>
                      <w:sz w:val="18"/>
                      <w:szCs w:val="18"/>
                    </w:rPr>
                  </w:pPr>
                  <w:r>
                    <w:rPr>
                      <w:rFonts w:hint="eastAsia"/>
                      <w:color w:val="0000FF"/>
                      <w:sz w:val="18"/>
                      <w:szCs w:val="18"/>
                    </w:rPr>
                    <w:t>-41</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rFonts w:hint="eastAsia"/>
                      <w:color w:val="0000FF"/>
                      <w:sz w:val="18"/>
                      <w:szCs w:val="18"/>
                    </w:rPr>
                    <w:t>58</w:t>
                  </w:r>
                </w:p>
              </w:tc>
              <w:tc>
                <w:tcPr>
                  <w:tcW w:w="421" w:type="pct"/>
                  <w:vAlign w:val="center"/>
                </w:tcPr>
                <w:p>
                  <w:pPr>
                    <w:spacing w:line="340" w:lineRule="exact"/>
                    <w:jc w:val="center"/>
                    <w:rPr>
                      <w:color w:val="0000FF"/>
                      <w:sz w:val="18"/>
                      <w:szCs w:val="18"/>
                    </w:rPr>
                  </w:pPr>
                  <w:r>
                    <w:rPr>
                      <w:rFonts w:hint="eastAsia"/>
                      <w:color w:val="0000FF"/>
                      <w:sz w:val="18"/>
                      <w:szCs w:val="18"/>
                    </w:rPr>
                    <w:t>18.9</w:t>
                  </w: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4</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钻机</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80</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-55</w:t>
                  </w:r>
                </w:p>
              </w:tc>
              <w:tc>
                <w:tcPr>
                  <w:tcW w:w="360" w:type="pct"/>
                  <w:vAlign w:val="center"/>
                </w:tcPr>
                <w:p>
                  <w:pPr>
                    <w:spacing w:line="340" w:lineRule="exact"/>
                    <w:jc w:val="center"/>
                    <w:rPr>
                      <w:color w:val="0000FF"/>
                      <w:sz w:val="18"/>
                      <w:szCs w:val="18"/>
                    </w:rPr>
                  </w:pPr>
                  <w:r>
                    <w:rPr>
                      <w:rFonts w:hint="eastAsia"/>
                      <w:color w:val="0000FF"/>
                      <w:sz w:val="18"/>
                      <w:szCs w:val="18"/>
                    </w:rPr>
                    <w:t>10</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rFonts w:hint="eastAsia"/>
                      <w:color w:val="0000FF"/>
                      <w:sz w:val="18"/>
                      <w:szCs w:val="18"/>
                    </w:rPr>
                    <w:t>22.9</w:t>
                  </w:r>
                </w:p>
              </w:tc>
              <w:tc>
                <w:tcPr>
                  <w:tcW w:w="421" w:type="pct"/>
                  <w:vAlign w:val="center"/>
                </w:tcPr>
                <w:p>
                  <w:pPr>
                    <w:spacing w:line="340" w:lineRule="exact"/>
                    <w:jc w:val="center"/>
                    <w:rPr>
                      <w:color w:val="0000FF"/>
                      <w:sz w:val="18"/>
                      <w:szCs w:val="18"/>
                    </w:rPr>
                  </w:pPr>
                  <w:r>
                    <w:rPr>
                      <w:rFonts w:hint="eastAsia"/>
                      <w:color w:val="0000FF"/>
                      <w:sz w:val="18"/>
                      <w:szCs w:val="18"/>
                    </w:rPr>
                    <w:t>25.7</w:t>
                  </w: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5</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雕刻机</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85</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-36</w:t>
                  </w:r>
                </w:p>
              </w:tc>
              <w:tc>
                <w:tcPr>
                  <w:tcW w:w="360" w:type="pct"/>
                  <w:vAlign w:val="center"/>
                </w:tcPr>
                <w:p>
                  <w:pPr>
                    <w:spacing w:line="340" w:lineRule="exact"/>
                    <w:jc w:val="center"/>
                    <w:rPr>
                      <w:color w:val="0000FF"/>
                      <w:sz w:val="18"/>
                      <w:szCs w:val="18"/>
                    </w:rPr>
                  </w:pPr>
                  <w:r>
                    <w:rPr>
                      <w:rFonts w:hint="eastAsia"/>
                      <w:color w:val="0000FF"/>
                      <w:sz w:val="18"/>
                      <w:szCs w:val="18"/>
                    </w:rPr>
                    <w:t>10</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rFonts w:hint="eastAsia"/>
                      <w:color w:val="0000FF"/>
                      <w:sz w:val="18"/>
                      <w:szCs w:val="18"/>
                    </w:rPr>
                    <w:t>40</w:t>
                  </w:r>
                </w:p>
              </w:tc>
              <w:tc>
                <w:tcPr>
                  <w:tcW w:w="421" w:type="pct"/>
                  <w:vAlign w:val="center"/>
                </w:tcPr>
                <w:p>
                  <w:pPr>
                    <w:spacing w:line="340" w:lineRule="exact"/>
                    <w:jc w:val="center"/>
                    <w:rPr>
                      <w:color w:val="0000FF"/>
                      <w:sz w:val="18"/>
                      <w:szCs w:val="18"/>
                    </w:rPr>
                  </w:pPr>
                  <w:r>
                    <w:rPr>
                      <w:rFonts w:hint="eastAsia"/>
                      <w:color w:val="0000FF"/>
                      <w:sz w:val="18"/>
                      <w:szCs w:val="18"/>
                    </w:rPr>
                    <w:t xml:space="preserve">24.9 </w:t>
                  </w: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6</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砂光机</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80</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-12</w:t>
                  </w:r>
                </w:p>
              </w:tc>
              <w:tc>
                <w:tcPr>
                  <w:tcW w:w="360" w:type="pct"/>
                  <w:vAlign w:val="center"/>
                </w:tcPr>
                <w:p>
                  <w:pPr>
                    <w:spacing w:line="340" w:lineRule="exact"/>
                    <w:jc w:val="center"/>
                    <w:rPr>
                      <w:color w:val="0000FF"/>
                      <w:sz w:val="18"/>
                      <w:szCs w:val="18"/>
                    </w:rPr>
                  </w:pPr>
                  <w:r>
                    <w:rPr>
                      <w:rFonts w:hint="eastAsia"/>
                      <w:color w:val="0000FF"/>
                      <w:sz w:val="18"/>
                      <w:szCs w:val="18"/>
                    </w:rPr>
                    <w:t>49</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rFonts w:hint="eastAsia"/>
                      <w:color w:val="0000FF"/>
                      <w:sz w:val="18"/>
                      <w:szCs w:val="18"/>
                    </w:rPr>
                    <w:t>57</w:t>
                  </w:r>
                </w:p>
              </w:tc>
              <w:tc>
                <w:tcPr>
                  <w:tcW w:w="421" w:type="pct"/>
                  <w:vAlign w:val="center"/>
                </w:tcPr>
                <w:p>
                  <w:pPr>
                    <w:spacing w:line="340" w:lineRule="exact"/>
                    <w:jc w:val="center"/>
                    <w:rPr>
                      <w:color w:val="0000FF"/>
                      <w:sz w:val="18"/>
                      <w:szCs w:val="18"/>
                    </w:rPr>
                  </w:pPr>
                  <w:r>
                    <w:rPr>
                      <w:rFonts w:hint="eastAsia"/>
                      <w:color w:val="0000FF"/>
                      <w:sz w:val="18"/>
                      <w:szCs w:val="18"/>
                    </w:rPr>
                    <w:t xml:space="preserve">16.1 </w:t>
                  </w: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7</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压机</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85</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-47</w:t>
                  </w:r>
                </w:p>
              </w:tc>
              <w:tc>
                <w:tcPr>
                  <w:tcW w:w="360" w:type="pct"/>
                  <w:vAlign w:val="center"/>
                </w:tcPr>
                <w:p>
                  <w:pPr>
                    <w:spacing w:line="340" w:lineRule="exact"/>
                    <w:jc w:val="center"/>
                    <w:rPr>
                      <w:color w:val="0000FF"/>
                      <w:sz w:val="18"/>
                      <w:szCs w:val="18"/>
                    </w:rPr>
                  </w:pPr>
                  <w:r>
                    <w:rPr>
                      <w:rFonts w:hint="eastAsia"/>
                      <w:color w:val="0000FF"/>
                      <w:sz w:val="18"/>
                      <w:szCs w:val="18"/>
                    </w:rPr>
                    <w:t>-13</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color w:val="0000FF"/>
                      <w:sz w:val="18"/>
                      <w:szCs w:val="18"/>
                    </w:rPr>
                    <w:t>58</w:t>
                  </w:r>
                </w:p>
              </w:tc>
              <w:tc>
                <w:tcPr>
                  <w:tcW w:w="421" w:type="pct"/>
                  <w:vAlign w:val="center"/>
                </w:tcPr>
                <w:p>
                  <w:pPr>
                    <w:spacing w:line="340" w:lineRule="exact"/>
                    <w:jc w:val="center"/>
                    <w:rPr>
                      <w:color w:val="0000FF"/>
                      <w:sz w:val="18"/>
                      <w:szCs w:val="18"/>
                    </w:rPr>
                  </w:pPr>
                  <w:r>
                    <w:rPr>
                      <w:rFonts w:hint="eastAsia"/>
                      <w:color w:val="0000FF"/>
                      <w:sz w:val="18"/>
                      <w:szCs w:val="18"/>
                    </w:rPr>
                    <w:t xml:space="preserve">25.7 </w:t>
                  </w:r>
                </w:p>
              </w:tc>
              <w:tc>
                <w:tcPr>
                  <w:tcW w:w="331" w:type="pct"/>
                  <w:vMerge w:val="continue"/>
                  <w:vAlign w:val="center"/>
                </w:tcPr>
                <w:p>
                  <w:pPr>
                    <w:spacing w:line="340" w:lineRule="exact"/>
                    <w:jc w:val="center"/>
                    <w:rPr>
                      <w:color w:val="0000FF"/>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Align w:val="center"/>
                </w:tcPr>
                <w:p>
                  <w:pPr>
                    <w:spacing w:line="340" w:lineRule="exact"/>
                    <w:jc w:val="center"/>
                    <w:rPr>
                      <w:color w:val="0000FF"/>
                      <w:sz w:val="18"/>
                      <w:szCs w:val="18"/>
                    </w:rPr>
                  </w:pPr>
                  <w:r>
                    <w:rPr>
                      <w:rFonts w:hint="eastAsia"/>
                      <w:color w:val="0000FF"/>
                      <w:sz w:val="18"/>
                      <w:szCs w:val="18"/>
                    </w:rPr>
                    <w:t>8</w:t>
                  </w:r>
                </w:p>
              </w:tc>
              <w:tc>
                <w:tcPr>
                  <w:tcW w:w="325" w:type="pct"/>
                  <w:vMerge w:val="continue"/>
                  <w:vAlign w:val="center"/>
                </w:tcPr>
                <w:p>
                  <w:pPr>
                    <w:spacing w:line="340" w:lineRule="exact"/>
                    <w:jc w:val="center"/>
                    <w:rPr>
                      <w:color w:val="0000FF"/>
                      <w:sz w:val="18"/>
                      <w:szCs w:val="18"/>
                    </w:rPr>
                  </w:pPr>
                </w:p>
              </w:tc>
              <w:tc>
                <w:tcPr>
                  <w:tcW w:w="552" w:type="pct"/>
                </w:tcPr>
                <w:p>
                  <w:pPr>
                    <w:spacing w:line="340" w:lineRule="exact"/>
                    <w:jc w:val="center"/>
                    <w:rPr>
                      <w:color w:val="0000FF"/>
                      <w:sz w:val="18"/>
                      <w:szCs w:val="18"/>
                    </w:rPr>
                  </w:pPr>
                  <w:r>
                    <w:rPr>
                      <w:rFonts w:hint="eastAsia"/>
                      <w:color w:val="0000FF"/>
                      <w:sz w:val="18"/>
                      <w:szCs w:val="18"/>
                    </w:rPr>
                    <w:t>喷枪</w:t>
                  </w:r>
                </w:p>
              </w:tc>
              <w:tc>
                <w:tcPr>
                  <w:tcW w:w="283" w:type="pct"/>
                  <w:vAlign w:val="center"/>
                </w:tcPr>
                <w:p>
                  <w:pPr>
                    <w:spacing w:line="340" w:lineRule="exact"/>
                    <w:jc w:val="center"/>
                    <w:rPr>
                      <w:color w:val="0000FF"/>
                      <w:sz w:val="18"/>
                      <w:szCs w:val="18"/>
                    </w:rPr>
                  </w:pPr>
                  <w:r>
                    <w:rPr>
                      <w:rFonts w:hint="eastAsia"/>
                      <w:color w:val="0000FF"/>
                      <w:sz w:val="18"/>
                      <w:szCs w:val="18"/>
                    </w:rPr>
                    <w:t>/</w:t>
                  </w:r>
                </w:p>
              </w:tc>
              <w:tc>
                <w:tcPr>
                  <w:tcW w:w="684" w:type="pct"/>
                  <w:vAlign w:val="center"/>
                </w:tcPr>
                <w:p>
                  <w:pPr>
                    <w:spacing w:line="340" w:lineRule="exact"/>
                    <w:jc w:val="center"/>
                    <w:rPr>
                      <w:color w:val="0000FF"/>
                      <w:sz w:val="18"/>
                      <w:szCs w:val="18"/>
                    </w:rPr>
                  </w:pPr>
                  <w:r>
                    <w:rPr>
                      <w:rFonts w:hint="eastAsia"/>
                      <w:color w:val="0000FF"/>
                      <w:sz w:val="18"/>
                      <w:szCs w:val="18"/>
                    </w:rPr>
                    <w:t>/</w:t>
                  </w:r>
                </w:p>
              </w:tc>
              <w:tc>
                <w:tcPr>
                  <w:tcW w:w="433" w:type="pct"/>
                </w:tcPr>
                <w:p>
                  <w:pPr>
                    <w:spacing w:line="340" w:lineRule="exact"/>
                    <w:jc w:val="center"/>
                    <w:rPr>
                      <w:color w:val="0000FF"/>
                      <w:sz w:val="18"/>
                      <w:szCs w:val="18"/>
                    </w:rPr>
                  </w:pPr>
                  <w:r>
                    <w:rPr>
                      <w:color w:val="0000FF"/>
                      <w:sz w:val="18"/>
                      <w:szCs w:val="18"/>
                    </w:rPr>
                    <w:t>70</w:t>
                  </w:r>
                </w:p>
              </w:tc>
              <w:tc>
                <w:tcPr>
                  <w:tcW w:w="340" w:type="pct"/>
                  <w:vMerge w:val="continue"/>
                  <w:vAlign w:val="center"/>
                </w:tcPr>
                <w:p>
                  <w:pPr>
                    <w:spacing w:line="340" w:lineRule="exact"/>
                    <w:jc w:val="center"/>
                    <w:rPr>
                      <w:color w:val="0000FF"/>
                      <w:sz w:val="18"/>
                      <w:szCs w:val="18"/>
                    </w:rPr>
                  </w:pPr>
                </w:p>
              </w:tc>
              <w:tc>
                <w:tcPr>
                  <w:tcW w:w="346" w:type="pct"/>
                  <w:vAlign w:val="center"/>
                </w:tcPr>
                <w:p>
                  <w:pPr>
                    <w:spacing w:line="340" w:lineRule="exact"/>
                    <w:jc w:val="center"/>
                    <w:rPr>
                      <w:color w:val="0000FF"/>
                      <w:sz w:val="18"/>
                      <w:szCs w:val="18"/>
                    </w:rPr>
                  </w:pPr>
                  <w:r>
                    <w:rPr>
                      <w:rFonts w:hint="eastAsia"/>
                      <w:color w:val="0000FF"/>
                      <w:sz w:val="18"/>
                      <w:szCs w:val="18"/>
                    </w:rPr>
                    <w:t>-11</w:t>
                  </w:r>
                </w:p>
              </w:tc>
              <w:tc>
                <w:tcPr>
                  <w:tcW w:w="360" w:type="pct"/>
                  <w:vAlign w:val="center"/>
                </w:tcPr>
                <w:p>
                  <w:pPr>
                    <w:spacing w:line="340" w:lineRule="exact"/>
                    <w:jc w:val="center"/>
                    <w:rPr>
                      <w:color w:val="0000FF"/>
                      <w:sz w:val="18"/>
                      <w:szCs w:val="18"/>
                    </w:rPr>
                  </w:pPr>
                  <w:r>
                    <w:rPr>
                      <w:rFonts w:hint="eastAsia"/>
                      <w:color w:val="0000FF"/>
                      <w:sz w:val="18"/>
                      <w:szCs w:val="18"/>
                    </w:rPr>
                    <w:t>-13</w:t>
                  </w:r>
                </w:p>
              </w:tc>
              <w:tc>
                <w:tcPr>
                  <w:tcW w:w="266" w:type="pct"/>
                  <w:vAlign w:val="center"/>
                </w:tcPr>
                <w:p>
                  <w:pPr>
                    <w:spacing w:line="340" w:lineRule="exact"/>
                    <w:jc w:val="center"/>
                    <w:rPr>
                      <w:color w:val="0000FF"/>
                      <w:sz w:val="18"/>
                      <w:szCs w:val="18"/>
                    </w:rPr>
                  </w:pPr>
                  <w:r>
                    <w:rPr>
                      <w:rFonts w:hint="eastAsia"/>
                      <w:color w:val="0000FF"/>
                      <w:sz w:val="18"/>
                      <w:szCs w:val="18"/>
                    </w:rPr>
                    <w:t>1.2</w:t>
                  </w:r>
                </w:p>
              </w:tc>
              <w:tc>
                <w:tcPr>
                  <w:tcW w:w="420" w:type="pct"/>
                  <w:vAlign w:val="center"/>
                </w:tcPr>
                <w:p>
                  <w:pPr>
                    <w:spacing w:line="340" w:lineRule="exact"/>
                    <w:jc w:val="center"/>
                    <w:rPr>
                      <w:color w:val="0000FF"/>
                      <w:sz w:val="18"/>
                      <w:szCs w:val="18"/>
                    </w:rPr>
                  </w:pPr>
                  <w:r>
                    <w:rPr>
                      <w:color w:val="0000FF"/>
                      <w:sz w:val="18"/>
                      <w:szCs w:val="18"/>
                    </w:rPr>
                    <w:t>21</w:t>
                  </w:r>
                </w:p>
              </w:tc>
              <w:tc>
                <w:tcPr>
                  <w:tcW w:w="421" w:type="pct"/>
                  <w:vAlign w:val="center"/>
                </w:tcPr>
                <w:p>
                  <w:pPr>
                    <w:spacing w:line="340" w:lineRule="exact"/>
                    <w:jc w:val="center"/>
                    <w:rPr>
                      <w:color w:val="0000FF"/>
                      <w:sz w:val="18"/>
                      <w:szCs w:val="18"/>
                    </w:rPr>
                  </w:pPr>
                  <w:r>
                    <w:rPr>
                      <w:rFonts w:hint="eastAsia"/>
                      <w:color w:val="0000FF"/>
                      <w:sz w:val="18"/>
                      <w:szCs w:val="18"/>
                    </w:rPr>
                    <w:t xml:space="preserve">21.7 </w:t>
                  </w:r>
                </w:p>
              </w:tc>
              <w:tc>
                <w:tcPr>
                  <w:tcW w:w="331" w:type="pct"/>
                  <w:vMerge w:val="continue"/>
                  <w:vAlign w:val="center"/>
                </w:tcPr>
                <w:p>
                  <w:pPr>
                    <w:spacing w:line="340" w:lineRule="exact"/>
                    <w:jc w:val="center"/>
                    <w:rPr>
                      <w:color w:val="0000FF"/>
                      <w:sz w:val="18"/>
                      <w:szCs w:val="18"/>
                    </w:rPr>
                  </w:pPr>
                </w:p>
              </w:tc>
            </w:tr>
          </w:tbl>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黑体" w:hAnsi="黑体" w:eastAsia="黑体" w:cs="黑体"/>
                <w:b w:val="0"/>
                <w:bCs w:val="0"/>
                <w:color w:val="0000FF"/>
                <w:sz w:val="24"/>
              </w:rPr>
            </w:pPr>
          </w:p>
          <w:p>
            <w:pPr>
              <w:pStyle w:val="133"/>
              <w:adjustRightInd w:val="0"/>
              <w:snapToGrid w:val="0"/>
              <w:spacing w:before="0"/>
              <w:rPr>
                <w:rFonts w:hint="eastAsia" w:ascii="Calibri" w:hAnsi="Calibri" w:eastAsia="黑体" w:cs="Calibri"/>
                <w:b w:val="0"/>
                <w:bCs w:val="0"/>
                <w:color w:val="0000FF"/>
                <w:sz w:val="24"/>
              </w:rPr>
            </w:pPr>
            <w:r>
              <w:rPr>
                <w:rFonts w:hint="eastAsia" w:ascii="黑体" w:hAnsi="黑体" w:eastAsia="黑体" w:cs="黑体"/>
                <w:b w:val="0"/>
                <w:bCs w:val="0"/>
                <w:color w:val="0000FF"/>
                <w:sz w:val="24"/>
              </w:rPr>
              <w:t>表</w:t>
            </w:r>
            <w:r>
              <w:rPr>
                <w:rFonts w:eastAsia="黑体"/>
                <w:b w:val="0"/>
                <w:bCs w:val="0"/>
                <w:color w:val="0000FF"/>
                <w:sz w:val="24"/>
              </w:rPr>
              <w:t>4-</w:t>
            </w:r>
            <w:r>
              <w:rPr>
                <w:rFonts w:hint="eastAsia" w:eastAsia="黑体"/>
                <w:b w:val="0"/>
                <w:bCs w:val="0"/>
                <w:color w:val="0000FF"/>
                <w:sz w:val="24"/>
                <w:lang w:val="en-US" w:eastAsia="zh-CN"/>
              </w:rPr>
              <w:t>26</w:t>
            </w:r>
            <w:r>
              <w:rPr>
                <w:rFonts w:hint="eastAsia" w:ascii="黑体" w:hAnsi="黑体" w:eastAsia="黑体" w:cs="黑体"/>
                <w:b w:val="0"/>
                <w:bCs w:val="0"/>
                <w:color w:val="0000FF"/>
                <w:sz w:val="24"/>
                <w:szCs w:val="24"/>
              </w:rPr>
              <w:t xml:space="preserve">  主要设备噪声源强一览表（室外声源）</w:t>
            </w:r>
          </w:p>
          <w:tbl>
            <w:tblPr>
              <w:tblStyle w:val="33"/>
              <w:tblW w:w="495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440"/>
              <w:gridCol w:w="1125"/>
              <w:gridCol w:w="1141"/>
              <w:gridCol w:w="1084"/>
              <w:gridCol w:w="980"/>
              <w:gridCol w:w="811"/>
              <w:gridCol w:w="11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08" w:type="pct"/>
                  <w:vMerge w:val="restart"/>
                  <w:noWrap w:val="0"/>
                  <w:vAlign w:val="center"/>
                </w:tcPr>
                <w:p>
                  <w:pPr>
                    <w:jc w:val="center"/>
                    <w:rPr>
                      <w:color w:val="0000FF"/>
                    </w:rPr>
                  </w:pPr>
                  <w:r>
                    <w:rPr>
                      <w:rFonts w:hint="eastAsia"/>
                      <w:color w:val="0000FF"/>
                    </w:rPr>
                    <w:t>序号</w:t>
                  </w:r>
                </w:p>
              </w:tc>
              <w:tc>
                <w:tcPr>
                  <w:tcW w:w="854" w:type="pct"/>
                  <w:vMerge w:val="restart"/>
                  <w:noWrap w:val="0"/>
                  <w:vAlign w:val="center"/>
                </w:tcPr>
                <w:p>
                  <w:pPr>
                    <w:jc w:val="center"/>
                    <w:rPr>
                      <w:rFonts w:hint="eastAsia"/>
                      <w:color w:val="0000FF"/>
                    </w:rPr>
                  </w:pPr>
                  <w:r>
                    <w:rPr>
                      <w:rFonts w:hint="eastAsia"/>
                      <w:color w:val="0000FF"/>
                    </w:rPr>
                    <w:t>声源名称</w:t>
                  </w:r>
                </w:p>
              </w:tc>
              <w:tc>
                <w:tcPr>
                  <w:tcW w:w="1988" w:type="pct"/>
                  <w:gridSpan w:val="3"/>
                  <w:noWrap w:val="0"/>
                  <w:vAlign w:val="center"/>
                </w:tcPr>
                <w:p>
                  <w:pPr>
                    <w:jc w:val="center"/>
                    <w:rPr>
                      <w:color w:val="0000FF"/>
                    </w:rPr>
                  </w:pPr>
                  <w:r>
                    <w:rPr>
                      <w:rFonts w:hint="eastAsia"/>
                      <w:color w:val="0000FF"/>
                    </w:rPr>
                    <w:t>空间相对位置</w:t>
                  </w:r>
                </w:p>
              </w:tc>
              <w:tc>
                <w:tcPr>
                  <w:tcW w:w="581" w:type="pct"/>
                  <w:vMerge w:val="restart"/>
                  <w:noWrap w:val="0"/>
                  <w:vAlign w:val="center"/>
                </w:tcPr>
                <w:p>
                  <w:pPr>
                    <w:jc w:val="center"/>
                    <w:rPr>
                      <w:rFonts w:hint="eastAsia"/>
                      <w:color w:val="0000FF"/>
                    </w:rPr>
                  </w:pPr>
                  <w:r>
                    <w:rPr>
                      <w:rFonts w:hint="eastAsia"/>
                      <w:color w:val="0000FF"/>
                    </w:rPr>
                    <w:t>声功率级/dB(A)</w:t>
                  </w:r>
                </w:p>
                <w:p>
                  <w:pPr>
                    <w:ind w:left="-105" w:leftChars="-50" w:right="-105" w:rightChars="-50"/>
                    <w:rPr>
                      <w:rFonts w:hint="eastAsia"/>
                      <w:color w:val="0000FF"/>
                    </w:rPr>
                  </w:pPr>
                </w:p>
              </w:tc>
              <w:tc>
                <w:tcPr>
                  <w:tcW w:w="481" w:type="pct"/>
                  <w:vMerge w:val="restart"/>
                  <w:noWrap w:val="0"/>
                  <w:vAlign w:val="center"/>
                </w:tcPr>
                <w:p>
                  <w:pPr>
                    <w:jc w:val="center"/>
                    <w:rPr>
                      <w:rFonts w:hint="eastAsia"/>
                      <w:color w:val="0000FF"/>
                    </w:rPr>
                  </w:pPr>
                  <w:r>
                    <w:rPr>
                      <w:rFonts w:hint="eastAsia"/>
                      <w:color w:val="0000FF"/>
                    </w:rPr>
                    <w:t>声源控制措施</w:t>
                  </w:r>
                </w:p>
              </w:tc>
              <w:tc>
                <w:tcPr>
                  <w:tcW w:w="684" w:type="pct"/>
                  <w:vMerge w:val="restart"/>
                  <w:noWrap w:val="0"/>
                  <w:vAlign w:val="center"/>
                </w:tcPr>
                <w:p>
                  <w:pPr>
                    <w:jc w:val="center"/>
                    <w:rPr>
                      <w:rFonts w:hint="eastAsia"/>
                      <w:color w:val="0000FF"/>
                    </w:rPr>
                  </w:pPr>
                  <w:r>
                    <w:rPr>
                      <w:rFonts w:hint="eastAsia"/>
                      <w:color w:val="0000FF"/>
                    </w:rPr>
                    <w:t>运行时段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08" w:type="pct"/>
                  <w:vMerge w:val="continue"/>
                  <w:noWrap w:val="0"/>
                  <w:vAlign w:val="center"/>
                </w:tcPr>
                <w:p>
                  <w:pPr>
                    <w:jc w:val="center"/>
                    <w:rPr>
                      <w:rFonts w:hint="eastAsia"/>
                      <w:color w:val="0000FF"/>
                    </w:rPr>
                  </w:pPr>
                </w:p>
              </w:tc>
              <w:tc>
                <w:tcPr>
                  <w:tcW w:w="854" w:type="pct"/>
                  <w:vMerge w:val="continue"/>
                  <w:noWrap w:val="0"/>
                  <w:vAlign w:val="center"/>
                </w:tcPr>
                <w:p>
                  <w:pPr>
                    <w:jc w:val="center"/>
                    <w:rPr>
                      <w:rFonts w:hint="eastAsia"/>
                      <w:color w:val="0000FF"/>
                    </w:rPr>
                  </w:pPr>
                </w:p>
              </w:tc>
              <w:tc>
                <w:tcPr>
                  <w:tcW w:w="667" w:type="pct"/>
                  <w:noWrap w:val="0"/>
                  <w:vAlign w:val="center"/>
                </w:tcPr>
                <w:p>
                  <w:pPr>
                    <w:jc w:val="center"/>
                    <w:rPr>
                      <w:rFonts w:hint="eastAsia"/>
                      <w:color w:val="0000FF"/>
                    </w:rPr>
                  </w:pPr>
                  <w:r>
                    <w:rPr>
                      <w:rFonts w:hint="eastAsia"/>
                      <w:color w:val="0000FF"/>
                    </w:rPr>
                    <w:t>X</w:t>
                  </w:r>
                </w:p>
              </w:tc>
              <w:tc>
                <w:tcPr>
                  <w:tcW w:w="677" w:type="pct"/>
                  <w:noWrap w:val="0"/>
                  <w:vAlign w:val="center"/>
                </w:tcPr>
                <w:p>
                  <w:pPr>
                    <w:jc w:val="center"/>
                    <w:rPr>
                      <w:rFonts w:hint="eastAsia"/>
                      <w:color w:val="0000FF"/>
                    </w:rPr>
                  </w:pPr>
                  <w:r>
                    <w:rPr>
                      <w:rFonts w:hint="eastAsia"/>
                      <w:color w:val="0000FF"/>
                    </w:rPr>
                    <w:t>Y</w:t>
                  </w:r>
                </w:p>
              </w:tc>
              <w:tc>
                <w:tcPr>
                  <w:tcW w:w="643" w:type="pct"/>
                  <w:noWrap w:val="0"/>
                  <w:vAlign w:val="center"/>
                </w:tcPr>
                <w:p>
                  <w:pPr>
                    <w:jc w:val="center"/>
                    <w:rPr>
                      <w:rFonts w:hint="eastAsia"/>
                      <w:color w:val="0000FF"/>
                    </w:rPr>
                  </w:pPr>
                  <w:r>
                    <w:rPr>
                      <w:rFonts w:hint="eastAsia"/>
                      <w:color w:val="0000FF"/>
                    </w:rPr>
                    <w:t>Z</w:t>
                  </w:r>
                </w:p>
              </w:tc>
              <w:tc>
                <w:tcPr>
                  <w:tcW w:w="581" w:type="pct"/>
                  <w:vMerge w:val="continue"/>
                  <w:noWrap w:val="0"/>
                  <w:vAlign w:val="center"/>
                </w:tcPr>
                <w:p>
                  <w:pPr>
                    <w:ind w:left="-105" w:leftChars="-50" w:right="-105" w:rightChars="-50"/>
                    <w:jc w:val="center"/>
                    <w:rPr>
                      <w:rFonts w:hint="eastAsia"/>
                      <w:color w:val="0000FF"/>
                    </w:rPr>
                  </w:pPr>
                </w:p>
              </w:tc>
              <w:tc>
                <w:tcPr>
                  <w:tcW w:w="481" w:type="pct"/>
                  <w:vMerge w:val="continue"/>
                  <w:noWrap w:val="0"/>
                  <w:vAlign w:val="center"/>
                </w:tcPr>
                <w:p>
                  <w:pPr>
                    <w:jc w:val="center"/>
                    <w:rPr>
                      <w:rFonts w:hint="eastAsia"/>
                      <w:color w:val="0000FF"/>
                    </w:rPr>
                  </w:pPr>
                </w:p>
              </w:tc>
              <w:tc>
                <w:tcPr>
                  <w:tcW w:w="684" w:type="pct"/>
                  <w:vMerge w:val="continue"/>
                  <w:noWrap w:val="0"/>
                  <w:vAlign w:val="center"/>
                </w:tcPr>
                <w:p>
                  <w:pPr>
                    <w:jc w:val="center"/>
                    <w:rPr>
                      <w:rFonts w:hint="eastAsia"/>
                      <w:color w:val="0000FF"/>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08" w:type="pct"/>
                  <w:noWrap w:val="0"/>
                  <w:vAlign w:val="center"/>
                </w:tcPr>
                <w:p>
                  <w:pPr>
                    <w:jc w:val="center"/>
                    <w:rPr>
                      <w:rFonts w:hint="eastAsia"/>
                      <w:color w:val="0000FF"/>
                    </w:rPr>
                  </w:pPr>
                  <w:r>
                    <w:rPr>
                      <w:rFonts w:hint="eastAsia"/>
                      <w:color w:val="0000FF"/>
                    </w:rPr>
                    <w:t>1</w:t>
                  </w:r>
                </w:p>
              </w:tc>
              <w:tc>
                <w:tcPr>
                  <w:tcW w:w="854" w:type="pct"/>
                  <w:noWrap w:val="0"/>
                  <w:vAlign w:val="center"/>
                </w:tcPr>
                <w:p>
                  <w:pPr>
                    <w:jc w:val="center"/>
                    <w:rPr>
                      <w:rFonts w:hint="eastAsia" w:eastAsia="宋体"/>
                      <w:color w:val="0000FF"/>
                      <w:lang w:eastAsia="zh-CN"/>
                    </w:rPr>
                  </w:pPr>
                  <w:r>
                    <w:rPr>
                      <w:rFonts w:hint="eastAsia"/>
                      <w:color w:val="0000FF"/>
                      <w:lang w:eastAsia="zh-CN"/>
                    </w:rPr>
                    <w:t>风机</w:t>
                  </w:r>
                </w:p>
              </w:tc>
              <w:tc>
                <w:tcPr>
                  <w:tcW w:w="667" w:type="pct"/>
                  <w:noWrap w:val="0"/>
                  <w:vAlign w:val="center"/>
                </w:tcPr>
                <w:p>
                  <w:pPr>
                    <w:jc w:val="center"/>
                    <w:rPr>
                      <w:color w:val="0000FF"/>
                    </w:rPr>
                  </w:pPr>
                  <w:r>
                    <w:rPr>
                      <w:rFonts w:hint="eastAsia"/>
                      <w:color w:val="0000FF"/>
                    </w:rPr>
                    <w:t>0</w:t>
                  </w:r>
                </w:p>
              </w:tc>
              <w:tc>
                <w:tcPr>
                  <w:tcW w:w="677" w:type="pct"/>
                  <w:noWrap w:val="0"/>
                  <w:vAlign w:val="center"/>
                </w:tcPr>
                <w:p>
                  <w:pPr>
                    <w:jc w:val="center"/>
                    <w:rPr>
                      <w:color w:val="0000FF"/>
                    </w:rPr>
                  </w:pPr>
                  <w:r>
                    <w:rPr>
                      <w:rFonts w:hint="eastAsia"/>
                      <w:color w:val="0000FF"/>
                    </w:rPr>
                    <w:t>0</w:t>
                  </w:r>
                </w:p>
              </w:tc>
              <w:tc>
                <w:tcPr>
                  <w:tcW w:w="643" w:type="pct"/>
                  <w:noWrap w:val="0"/>
                  <w:vAlign w:val="center"/>
                </w:tcPr>
                <w:p>
                  <w:pPr>
                    <w:jc w:val="center"/>
                    <w:rPr>
                      <w:rFonts w:hint="default" w:eastAsia="宋体"/>
                      <w:color w:val="0000FF"/>
                      <w:lang w:val="en-US" w:eastAsia="zh-CN"/>
                    </w:rPr>
                  </w:pPr>
                  <w:r>
                    <w:rPr>
                      <w:rFonts w:hint="eastAsia"/>
                      <w:color w:val="0000FF"/>
                      <w:lang w:val="en-US" w:eastAsia="zh-CN"/>
                    </w:rPr>
                    <w:t>1.2</w:t>
                  </w:r>
                </w:p>
              </w:tc>
              <w:tc>
                <w:tcPr>
                  <w:tcW w:w="581" w:type="pct"/>
                  <w:noWrap w:val="0"/>
                  <w:vAlign w:val="center"/>
                </w:tcPr>
                <w:p>
                  <w:pPr>
                    <w:ind w:left="-105" w:leftChars="-50" w:right="-105" w:rightChars="-50"/>
                    <w:jc w:val="center"/>
                    <w:rPr>
                      <w:rFonts w:hint="default" w:eastAsia="宋体"/>
                      <w:color w:val="0000FF"/>
                      <w:lang w:val="en-US" w:eastAsia="zh-CN"/>
                    </w:rPr>
                  </w:pPr>
                  <w:r>
                    <w:rPr>
                      <w:rFonts w:hint="eastAsia"/>
                      <w:color w:val="0000FF"/>
                      <w:lang w:val="en-US" w:eastAsia="zh-CN"/>
                    </w:rPr>
                    <w:t>65</w:t>
                  </w:r>
                </w:p>
              </w:tc>
              <w:tc>
                <w:tcPr>
                  <w:tcW w:w="481" w:type="pct"/>
                  <w:vMerge w:val="restart"/>
                  <w:noWrap w:val="0"/>
                  <w:vAlign w:val="center"/>
                </w:tcPr>
                <w:p>
                  <w:pPr>
                    <w:jc w:val="center"/>
                    <w:rPr>
                      <w:rFonts w:hint="eastAsia"/>
                      <w:color w:val="0000FF"/>
                    </w:rPr>
                  </w:pPr>
                  <w:r>
                    <w:rPr>
                      <w:rFonts w:hint="eastAsia"/>
                      <w:color w:val="0000FF"/>
                    </w:rPr>
                    <w:t>基础减振</w:t>
                  </w:r>
                </w:p>
              </w:tc>
              <w:tc>
                <w:tcPr>
                  <w:tcW w:w="684" w:type="pct"/>
                  <w:vMerge w:val="restart"/>
                  <w:noWrap w:val="0"/>
                  <w:vAlign w:val="center"/>
                </w:tcPr>
                <w:p>
                  <w:pPr>
                    <w:jc w:val="center"/>
                    <w:rPr>
                      <w:rFonts w:hint="eastAsia"/>
                      <w:color w:val="0000FF"/>
                    </w:rPr>
                  </w:pPr>
                  <w:r>
                    <w:rPr>
                      <w:rFonts w:hint="eastAsia"/>
                      <w:color w:val="0000FF"/>
                      <w:lang w:val="en-US" w:eastAsia="zh-CN"/>
                    </w:rPr>
                    <w:t>8</w:t>
                  </w:r>
                  <w:r>
                    <w:rPr>
                      <w:rFonts w:hint="eastAsia"/>
                      <w:color w:val="0000FF"/>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08" w:type="pct"/>
                  <w:noWrap w:val="0"/>
                  <w:vAlign w:val="center"/>
                </w:tcPr>
                <w:p>
                  <w:pPr>
                    <w:jc w:val="center"/>
                    <w:rPr>
                      <w:rFonts w:hint="eastAsia" w:eastAsia="宋体"/>
                      <w:color w:val="0000FF"/>
                      <w:lang w:val="en-US" w:eastAsia="zh-CN"/>
                    </w:rPr>
                  </w:pPr>
                  <w:r>
                    <w:rPr>
                      <w:rFonts w:hint="eastAsia"/>
                      <w:color w:val="0000FF"/>
                      <w:lang w:val="en-US" w:eastAsia="zh-CN"/>
                    </w:rPr>
                    <w:t>2</w:t>
                  </w:r>
                </w:p>
              </w:tc>
              <w:tc>
                <w:tcPr>
                  <w:tcW w:w="854" w:type="pct"/>
                  <w:noWrap w:val="0"/>
                  <w:vAlign w:val="center"/>
                </w:tcPr>
                <w:p>
                  <w:pPr>
                    <w:jc w:val="center"/>
                    <w:rPr>
                      <w:rFonts w:hint="eastAsia"/>
                      <w:color w:val="0000FF"/>
                    </w:rPr>
                  </w:pPr>
                  <w:r>
                    <w:rPr>
                      <w:rFonts w:hint="eastAsia"/>
                      <w:color w:val="0000FF"/>
                      <w:lang w:eastAsia="zh-CN"/>
                    </w:rPr>
                    <w:t>风机</w:t>
                  </w:r>
                </w:p>
              </w:tc>
              <w:tc>
                <w:tcPr>
                  <w:tcW w:w="667" w:type="pct"/>
                  <w:noWrap w:val="0"/>
                  <w:vAlign w:val="center"/>
                </w:tcPr>
                <w:p>
                  <w:pPr>
                    <w:jc w:val="center"/>
                    <w:rPr>
                      <w:rFonts w:hint="default" w:eastAsia="宋体"/>
                      <w:color w:val="0000FF"/>
                      <w:lang w:val="en-US" w:eastAsia="zh-CN"/>
                    </w:rPr>
                  </w:pPr>
                  <w:r>
                    <w:rPr>
                      <w:rFonts w:hint="eastAsia"/>
                      <w:color w:val="0000FF"/>
                      <w:lang w:val="en-US" w:eastAsia="zh-CN"/>
                    </w:rPr>
                    <w:t>35</w:t>
                  </w:r>
                </w:p>
              </w:tc>
              <w:tc>
                <w:tcPr>
                  <w:tcW w:w="677" w:type="pct"/>
                  <w:noWrap w:val="0"/>
                  <w:vAlign w:val="center"/>
                </w:tcPr>
                <w:p>
                  <w:pPr>
                    <w:jc w:val="center"/>
                    <w:rPr>
                      <w:rFonts w:hint="default" w:eastAsia="宋体"/>
                      <w:color w:val="0000FF"/>
                      <w:lang w:val="en-US" w:eastAsia="zh-CN"/>
                    </w:rPr>
                  </w:pPr>
                  <w:r>
                    <w:rPr>
                      <w:rFonts w:hint="eastAsia"/>
                      <w:color w:val="0000FF"/>
                      <w:lang w:val="en-US" w:eastAsia="zh-CN"/>
                    </w:rPr>
                    <w:t>52</w:t>
                  </w:r>
                </w:p>
              </w:tc>
              <w:tc>
                <w:tcPr>
                  <w:tcW w:w="643" w:type="pct"/>
                  <w:noWrap w:val="0"/>
                  <w:vAlign w:val="center"/>
                </w:tcPr>
                <w:p>
                  <w:pPr>
                    <w:jc w:val="center"/>
                    <w:rPr>
                      <w:rFonts w:hint="default" w:eastAsia="宋体"/>
                      <w:color w:val="0000FF"/>
                      <w:lang w:val="en-US" w:eastAsia="zh-CN"/>
                    </w:rPr>
                  </w:pPr>
                  <w:r>
                    <w:rPr>
                      <w:rFonts w:hint="eastAsia"/>
                      <w:color w:val="0000FF"/>
                      <w:lang w:val="en-US" w:eastAsia="zh-CN"/>
                    </w:rPr>
                    <w:t>1.2</w:t>
                  </w:r>
                </w:p>
              </w:tc>
              <w:tc>
                <w:tcPr>
                  <w:tcW w:w="581" w:type="pct"/>
                  <w:noWrap w:val="0"/>
                  <w:vAlign w:val="center"/>
                </w:tcPr>
                <w:p>
                  <w:pPr>
                    <w:ind w:left="-105" w:leftChars="-50" w:right="-105" w:rightChars="-50"/>
                    <w:jc w:val="center"/>
                    <w:rPr>
                      <w:rFonts w:hint="eastAsia"/>
                      <w:color w:val="0000FF"/>
                    </w:rPr>
                  </w:pPr>
                  <w:r>
                    <w:rPr>
                      <w:rFonts w:hint="eastAsia"/>
                      <w:color w:val="0000FF"/>
                      <w:lang w:val="en-US" w:eastAsia="zh-CN"/>
                    </w:rPr>
                    <w:t>65</w:t>
                  </w:r>
                </w:p>
              </w:tc>
              <w:tc>
                <w:tcPr>
                  <w:tcW w:w="481" w:type="pct"/>
                  <w:vMerge w:val="continue"/>
                  <w:noWrap w:val="0"/>
                  <w:vAlign w:val="center"/>
                </w:tcPr>
                <w:p>
                  <w:pPr>
                    <w:jc w:val="center"/>
                    <w:rPr>
                      <w:rFonts w:hint="eastAsia"/>
                      <w:color w:val="0000FF"/>
                    </w:rPr>
                  </w:pPr>
                </w:p>
              </w:tc>
              <w:tc>
                <w:tcPr>
                  <w:tcW w:w="684" w:type="pct"/>
                  <w:vMerge w:val="continue"/>
                  <w:noWrap w:val="0"/>
                  <w:vAlign w:val="center"/>
                </w:tcPr>
                <w:p>
                  <w:pPr>
                    <w:jc w:val="center"/>
                    <w:rPr>
                      <w:rFonts w:hint="eastAsia"/>
                      <w:color w:val="0000FF"/>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08" w:type="pct"/>
                  <w:noWrap w:val="0"/>
                  <w:vAlign w:val="center"/>
                </w:tcPr>
                <w:p>
                  <w:pPr>
                    <w:jc w:val="center"/>
                    <w:rPr>
                      <w:rFonts w:hint="eastAsia" w:eastAsia="宋体"/>
                      <w:color w:val="0000FF"/>
                      <w:lang w:val="en-US" w:eastAsia="zh-CN"/>
                    </w:rPr>
                  </w:pPr>
                  <w:r>
                    <w:rPr>
                      <w:rFonts w:hint="eastAsia"/>
                      <w:color w:val="0000FF"/>
                      <w:lang w:val="en-US" w:eastAsia="zh-CN"/>
                    </w:rPr>
                    <w:t>3</w:t>
                  </w:r>
                </w:p>
              </w:tc>
              <w:tc>
                <w:tcPr>
                  <w:tcW w:w="854" w:type="pct"/>
                  <w:noWrap w:val="0"/>
                  <w:vAlign w:val="center"/>
                </w:tcPr>
                <w:p>
                  <w:pPr>
                    <w:jc w:val="center"/>
                    <w:rPr>
                      <w:rFonts w:hint="eastAsia"/>
                      <w:color w:val="0000FF"/>
                    </w:rPr>
                  </w:pPr>
                  <w:r>
                    <w:rPr>
                      <w:rFonts w:hint="eastAsia"/>
                      <w:color w:val="0000FF"/>
                      <w:lang w:eastAsia="zh-CN"/>
                    </w:rPr>
                    <w:t>风机</w:t>
                  </w:r>
                </w:p>
              </w:tc>
              <w:tc>
                <w:tcPr>
                  <w:tcW w:w="667" w:type="pct"/>
                  <w:noWrap w:val="0"/>
                  <w:vAlign w:val="center"/>
                </w:tcPr>
                <w:p>
                  <w:pPr>
                    <w:jc w:val="center"/>
                    <w:rPr>
                      <w:rFonts w:hint="default" w:eastAsia="宋体"/>
                      <w:color w:val="0000FF"/>
                      <w:lang w:val="en-US" w:eastAsia="zh-CN"/>
                    </w:rPr>
                  </w:pPr>
                  <w:r>
                    <w:rPr>
                      <w:rFonts w:hint="eastAsia"/>
                      <w:color w:val="0000FF"/>
                      <w:lang w:val="en-US" w:eastAsia="zh-CN"/>
                    </w:rPr>
                    <w:t>40</w:t>
                  </w:r>
                </w:p>
              </w:tc>
              <w:tc>
                <w:tcPr>
                  <w:tcW w:w="677" w:type="pct"/>
                  <w:noWrap w:val="0"/>
                  <w:vAlign w:val="center"/>
                </w:tcPr>
                <w:p>
                  <w:pPr>
                    <w:jc w:val="center"/>
                    <w:rPr>
                      <w:rFonts w:hint="default" w:eastAsia="宋体"/>
                      <w:color w:val="0000FF"/>
                      <w:lang w:val="en-US" w:eastAsia="zh-CN"/>
                    </w:rPr>
                  </w:pPr>
                  <w:r>
                    <w:rPr>
                      <w:rFonts w:hint="eastAsia"/>
                      <w:color w:val="0000FF"/>
                      <w:lang w:val="en-US" w:eastAsia="zh-CN"/>
                    </w:rPr>
                    <w:t>50</w:t>
                  </w:r>
                </w:p>
              </w:tc>
              <w:tc>
                <w:tcPr>
                  <w:tcW w:w="643" w:type="pct"/>
                  <w:noWrap w:val="0"/>
                  <w:vAlign w:val="center"/>
                </w:tcPr>
                <w:p>
                  <w:pPr>
                    <w:jc w:val="center"/>
                    <w:rPr>
                      <w:rFonts w:hint="eastAsia"/>
                      <w:color w:val="0000FF"/>
                    </w:rPr>
                  </w:pPr>
                  <w:r>
                    <w:rPr>
                      <w:rFonts w:hint="eastAsia"/>
                      <w:color w:val="0000FF"/>
                      <w:lang w:val="en-US" w:eastAsia="zh-CN"/>
                    </w:rPr>
                    <w:t>1.2</w:t>
                  </w:r>
                </w:p>
              </w:tc>
              <w:tc>
                <w:tcPr>
                  <w:tcW w:w="581" w:type="pct"/>
                  <w:noWrap w:val="0"/>
                  <w:vAlign w:val="center"/>
                </w:tcPr>
                <w:p>
                  <w:pPr>
                    <w:ind w:left="-105" w:leftChars="-50" w:right="-105" w:rightChars="-50"/>
                    <w:jc w:val="center"/>
                    <w:rPr>
                      <w:rFonts w:hint="eastAsia"/>
                      <w:color w:val="0000FF"/>
                    </w:rPr>
                  </w:pPr>
                  <w:r>
                    <w:rPr>
                      <w:rFonts w:hint="eastAsia"/>
                      <w:color w:val="0000FF"/>
                      <w:lang w:val="en-US" w:eastAsia="zh-CN"/>
                    </w:rPr>
                    <w:t>65</w:t>
                  </w:r>
                </w:p>
              </w:tc>
              <w:tc>
                <w:tcPr>
                  <w:tcW w:w="481" w:type="pct"/>
                  <w:vMerge w:val="continue"/>
                  <w:noWrap w:val="0"/>
                  <w:vAlign w:val="center"/>
                </w:tcPr>
                <w:p>
                  <w:pPr>
                    <w:jc w:val="center"/>
                    <w:rPr>
                      <w:rFonts w:hint="eastAsia"/>
                      <w:color w:val="0000FF"/>
                    </w:rPr>
                  </w:pPr>
                </w:p>
              </w:tc>
              <w:tc>
                <w:tcPr>
                  <w:tcW w:w="684" w:type="pct"/>
                  <w:vMerge w:val="continue"/>
                  <w:noWrap w:val="0"/>
                  <w:vAlign w:val="center"/>
                </w:tcPr>
                <w:p>
                  <w:pPr>
                    <w:jc w:val="center"/>
                    <w:rPr>
                      <w:rFonts w:hint="eastAsia"/>
                      <w:color w:val="0000FF"/>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08" w:type="pct"/>
                  <w:noWrap w:val="0"/>
                  <w:vAlign w:val="center"/>
                </w:tcPr>
                <w:p>
                  <w:pPr>
                    <w:jc w:val="center"/>
                    <w:rPr>
                      <w:rFonts w:hint="eastAsia" w:eastAsia="宋体"/>
                      <w:color w:val="0000FF"/>
                      <w:lang w:val="en-US" w:eastAsia="zh-CN"/>
                    </w:rPr>
                  </w:pPr>
                  <w:r>
                    <w:rPr>
                      <w:rFonts w:hint="eastAsia"/>
                      <w:color w:val="0000FF"/>
                      <w:lang w:val="en-US" w:eastAsia="zh-CN"/>
                    </w:rPr>
                    <w:t>4</w:t>
                  </w:r>
                </w:p>
              </w:tc>
              <w:tc>
                <w:tcPr>
                  <w:tcW w:w="854" w:type="pct"/>
                  <w:noWrap w:val="0"/>
                  <w:vAlign w:val="center"/>
                </w:tcPr>
                <w:p>
                  <w:pPr>
                    <w:jc w:val="center"/>
                    <w:rPr>
                      <w:rFonts w:hint="eastAsia"/>
                      <w:color w:val="0000FF"/>
                    </w:rPr>
                  </w:pPr>
                  <w:r>
                    <w:rPr>
                      <w:rFonts w:hint="eastAsia"/>
                      <w:color w:val="0000FF"/>
                      <w:lang w:eastAsia="zh-CN"/>
                    </w:rPr>
                    <w:t>风机</w:t>
                  </w:r>
                </w:p>
              </w:tc>
              <w:tc>
                <w:tcPr>
                  <w:tcW w:w="667" w:type="pct"/>
                  <w:noWrap w:val="0"/>
                  <w:vAlign w:val="center"/>
                </w:tcPr>
                <w:p>
                  <w:pPr>
                    <w:jc w:val="center"/>
                    <w:rPr>
                      <w:rFonts w:hint="default" w:eastAsia="宋体"/>
                      <w:color w:val="0000FF"/>
                      <w:lang w:val="en-US" w:eastAsia="zh-CN"/>
                    </w:rPr>
                  </w:pPr>
                  <w:r>
                    <w:rPr>
                      <w:rFonts w:hint="eastAsia"/>
                      <w:color w:val="0000FF"/>
                      <w:lang w:val="en-US" w:eastAsia="zh-CN"/>
                    </w:rPr>
                    <w:t>50</w:t>
                  </w:r>
                </w:p>
              </w:tc>
              <w:tc>
                <w:tcPr>
                  <w:tcW w:w="677" w:type="pct"/>
                  <w:noWrap w:val="0"/>
                  <w:vAlign w:val="center"/>
                </w:tcPr>
                <w:p>
                  <w:pPr>
                    <w:jc w:val="center"/>
                    <w:rPr>
                      <w:rFonts w:hint="default" w:eastAsia="宋体"/>
                      <w:color w:val="0000FF"/>
                      <w:lang w:val="en-US" w:eastAsia="zh-CN"/>
                    </w:rPr>
                  </w:pPr>
                  <w:r>
                    <w:rPr>
                      <w:rFonts w:hint="eastAsia"/>
                      <w:color w:val="0000FF"/>
                      <w:lang w:val="en-US" w:eastAsia="zh-CN"/>
                    </w:rPr>
                    <w:t>55</w:t>
                  </w:r>
                </w:p>
              </w:tc>
              <w:tc>
                <w:tcPr>
                  <w:tcW w:w="643" w:type="pct"/>
                  <w:noWrap w:val="0"/>
                  <w:vAlign w:val="center"/>
                </w:tcPr>
                <w:p>
                  <w:pPr>
                    <w:jc w:val="center"/>
                    <w:rPr>
                      <w:rFonts w:hint="eastAsia"/>
                      <w:color w:val="0000FF"/>
                    </w:rPr>
                  </w:pPr>
                  <w:r>
                    <w:rPr>
                      <w:rFonts w:hint="eastAsia"/>
                      <w:color w:val="0000FF"/>
                      <w:lang w:val="en-US" w:eastAsia="zh-CN"/>
                    </w:rPr>
                    <w:t>1.2</w:t>
                  </w:r>
                </w:p>
              </w:tc>
              <w:tc>
                <w:tcPr>
                  <w:tcW w:w="581" w:type="pct"/>
                  <w:noWrap w:val="0"/>
                  <w:vAlign w:val="center"/>
                </w:tcPr>
                <w:p>
                  <w:pPr>
                    <w:ind w:left="-105" w:leftChars="-50" w:right="-105" w:rightChars="-50"/>
                    <w:jc w:val="center"/>
                    <w:rPr>
                      <w:rFonts w:hint="eastAsia"/>
                      <w:color w:val="0000FF"/>
                    </w:rPr>
                  </w:pPr>
                  <w:r>
                    <w:rPr>
                      <w:rFonts w:hint="eastAsia"/>
                      <w:color w:val="0000FF"/>
                      <w:lang w:val="en-US" w:eastAsia="zh-CN"/>
                    </w:rPr>
                    <w:t>65</w:t>
                  </w:r>
                </w:p>
              </w:tc>
              <w:tc>
                <w:tcPr>
                  <w:tcW w:w="481" w:type="pct"/>
                  <w:vMerge w:val="continue"/>
                  <w:noWrap w:val="0"/>
                  <w:vAlign w:val="center"/>
                </w:tcPr>
                <w:p>
                  <w:pPr>
                    <w:jc w:val="center"/>
                    <w:rPr>
                      <w:rFonts w:hint="eastAsia"/>
                      <w:color w:val="0000FF"/>
                    </w:rPr>
                  </w:pPr>
                </w:p>
              </w:tc>
              <w:tc>
                <w:tcPr>
                  <w:tcW w:w="684" w:type="pct"/>
                  <w:vMerge w:val="continue"/>
                  <w:noWrap w:val="0"/>
                  <w:vAlign w:val="center"/>
                </w:tcPr>
                <w:p>
                  <w:pPr>
                    <w:jc w:val="center"/>
                    <w:rPr>
                      <w:rFonts w:hint="eastAsia"/>
                      <w:color w:val="0000FF"/>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08" w:type="pct"/>
                  <w:noWrap w:val="0"/>
                  <w:vAlign w:val="center"/>
                </w:tcPr>
                <w:p>
                  <w:pPr>
                    <w:jc w:val="center"/>
                    <w:rPr>
                      <w:rFonts w:hint="eastAsia" w:eastAsia="宋体"/>
                      <w:color w:val="0000FF"/>
                      <w:lang w:val="en-US" w:eastAsia="zh-CN"/>
                    </w:rPr>
                  </w:pPr>
                  <w:r>
                    <w:rPr>
                      <w:rFonts w:hint="eastAsia"/>
                      <w:color w:val="0000FF"/>
                      <w:lang w:val="en-US" w:eastAsia="zh-CN"/>
                    </w:rPr>
                    <w:t>5</w:t>
                  </w:r>
                </w:p>
              </w:tc>
              <w:tc>
                <w:tcPr>
                  <w:tcW w:w="854" w:type="pct"/>
                  <w:noWrap w:val="0"/>
                  <w:vAlign w:val="center"/>
                </w:tcPr>
                <w:p>
                  <w:pPr>
                    <w:jc w:val="center"/>
                    <w:rPr>
                      <w:rFonts w:hint="eastAsia"/>
                      <w:color w:val="0000FF"/>
                    </w:rPr>
                  </w:pPr>
                  <w:r>
                    <w:rPr>
                      <w:rFonts w:hint="eastAsia"/>
                      <w:color w:val="0000FF"/>
                      <w:lang w:eastAsia="zh-CN"/>
                    </w:rPr>
                    <w:t>风机</w:t>
                  </w:r>
                </w:p>
              </w:tc>
              <w:tc>
                <w:tcPr>
                  <w:tcW w:w="667" w:type="pct"/>
                  <w:noWrap w:val="0"/>
                  <w:vAlign w:val="center"/>
                </w:tcPr>
                <w:p>
                  <w:pPr>
                    <w:jc w:val="center"/>
                    <w:rPr>
                      <w:rFonts w:hint="default" w:eastAsia="宋体"/>
                      <w:color w:val="0000FF"/>
                      <w:lang w:val="en-US" w:eastAsia="zh-CN"/>
                    </w:rPr>
                  </w:pPr>
                  <w:r>
                    <w:rPr>
                      <w:rFonts w:hint="eastAsia"/>
                      <w:color w:val="0000FF"/>
                      <w:lang w:val="en-US" w:eastAsia="zh-CN"/>
                    </w:rPr>
                    <w:t>75</w:t>
                  </w:r>
                </w:p>
              </w:tc>
              <w:tc>
                <w:tcPr>
                  <w:tcW w:w="677" w:type="pct"/>
                  <w:noWrap w:val="0"/>
                  <w:vAlign w:val="center"/>
                </w:tcPr>
                <w:p>
                  <w:pPr>
                    <w:jc w:val="center"/>
                    <w:rPr>
                      <w:rFonts w:hint="default" w:eastAsia="宋体"/>
                      <w:color w:val="0000FF"/>
                      <w:lang w:val="en-US" w:eastAsia="zh-CN"/>
                    </w:rPr>
                  </w:pPr>
                  <w:r>
                    <w:rPr>
                      <w:rFonts w:hint="eastAsia"/>
                      <w:color w:val="0000FF"/>
                      <w:lang w:val="en-US" w:eastAsia="zh-CN"/>
                    </w:rPr>
                    <w:t>65</w:t>
                  </w:r>
                </w:p>
              </w:tc>
              <w:tc>
                <w:tcPr>
                  <w:tcW w:w="643" w:type="pct"/>
                  <w:noWrap w:val="0"/>
                  <w:vAlign w:val="center"/>
                </w:tcPr>
                <w:p>
                  <w:pPr>
                    <w:jc w:val="center"/>
                    <w:rPr>
                      <w:rFonts w:hint="eastAsia"/>
                      <w:color w:val="0000FF"/>
                    </w:rPr>
                  </w:pPr>
                  <w:r>
                    <w:rPr>
                      <w:rFonts w:hint="eastAsia"/>
                      <w:color w:val="0000FF"/>
                      <w:lang w:val="en-US" w:eastAsia="zh-CN"/>
                    </w:rPr>
                    <w:t>1.2</w:t>
                  </w:r>
                </w:p>
              </w:tc>
              <w:tc>
                <w:tcPr>
                  <w:tcW w:w="581" w:type="pct"/>
                  <w:noWrap w:val="0"/>
                  <w:vAlign w:val="center"/>
                </w:tcPr>
                <w:p>
                  <w:pPr>
                    <w:ind w:left="-105" w:leftChars="-50" w:right="-105" w:rightChars="-50"/>
                    <w:jc w:val="center"/>
                    <w:rPr>
                      <w:rFonts w:hint="eastAsia"/>
                      <w:color w:val="0000FF"/>
                    </w:rPr>
                  </w:pPr>
                  <w:r>
                    <w:rPr>
                      <w:rFonts w:hint="eastAsia"/>
                      <w:color w:val="0000FF"/>
                      <w:lang w:val="en-US" w:eastAsia="zh-CN"/>
                    </w:rPr>
                    <w:t>65</w:t>
                  </w:r>
                </w:p>
              </w:tc>
              <w:tc>
                <w:tcPr>
                  <w:tcW w:w="481" w:type="pct"/>
                  <w:vMerge w:val="continue"/>
                  <w:noWrap w:val="0"/>
                  <w:vAlign w:val="center"/>
                </w:tcPr>
                <w:p>
                  <w:pPr>
                    <w:jc w:val="center"/>
                    <w:rPr>
                      <w:rFonts w:hint="eastAsia"/>
                      <w:color w:val="0000FF"/>
                    </w:rPr>
                  </w:pPr>
                </w:p>
              </w:tc>
              <w:tc>
                <w:tcPr>
                  <w:tcW w:w="684" w:type="pct"/>
                  <w:vMerge w:val="continue"/>
                  <w:noWrap w:val="0"/>
                  <w:vAlign w:val="center"/>
                </w:tcPr>
                <w:p>
                  <w:pPr>
                    <w:jc w:val="center"/>
                    <w:rPr>
                      <w:rFonts w:hint="eastAsia"/>
                      <w:color w:val="0000FF"/>
                    </w:rPr>
                  </w:pPr>
                </w:p>
              </w:tc>
            </w:tr>
          </w:tbl>
          <w:p>
            <w:pPr>
              <w:spacing w:line="360" w:lineRule="auto"/>
              <w:ind w:firstLine="480" w:firstLineChars="200"/>
              <w:rPr>
                <w:sz w:val="24"/>
              </w:rPr>
            </w:pPr>
            <w:r>
              <w:rPr>
                <w:sz w:val="24"/>
              </w:rPr>
              <w:t>⑵噪声环境影响分析</w:t>
            </w:r>
          </w:p>
          <w:p>
            <w:pPr>
              <w:spacing w:line="360" w:lineRule="auto"/>
              <w:ind w:firstLine="482"/>
              <w:rPr>
                <w:sz w:val="24"/>
              </w:rPr>
            </w:pPr>
            <w:r>
              <w:rPr>
                <w:rFonts w:hint="eastAsia"/>
                <w:sz w:val="24"/>
              </w:rPr>
              <w:t>1)噪声源强确定</w:t>
            </w:r>
          </w:p>
          <w:p>
            <w:pPr>
              <w:spacing w:line="360" w:lineRule="auto"/>
              <w:ind w:firstLine="482"/>
              <w:rPr>
                <w:sz w:val="24"/>
              </w:rPr>
            </w:pPr>
            <w:r>
              <w:rPr>
                <w:rFonts w:hint="eastAsia"/>
                <w:sz w:val="24"/>
              </w:rPr>
              <w:t>项目噪声</w:t>
            </w:r>
            <w:r>
              <w:rPr>
                <w:sz w:val="24"/>
              </w:rPr>
              <w:t>主要为加工设备运行噪</w:t>
            </w:r>
            <w:r>
              <w:rPr>
                <w:rFonts w:hint="eastAsia"/>
                <w:sz w:val="24"/>
              </w:rPr>
              <w:t>声，噪声级在70~85dB(A)，机器设备在运营时间段内开启，非运营时段关闭，具体的项目设备产生的噪声声级及其布置，详见表4-25</w:t>
            </w:r>
            <w:r>
              <w:rPr>
                <w:rFonts w:hint="eastAsia"/>
                <w:sz w:val="24"/>
                <w:lang w:eastAsia="zh-CN"/>
              </w:rPr>
              <w:t>、表</w:t>
            </w:r>
            <w:r>
              <w:rPr>
                <w:rFonts w:hint="eastAsia"/>
                <w:sz w:val="24"/>
                <w:lang w:val="en-US" w:eastAsia="zh-CN"/>
              </w:rPr>
              <w:t>4-26</w:t>
            </w:r>
            <w:r>
              <w:rPr>
                <w:rFonts w:hint="eastAsia"/>
                <w:sz w:val="24"/>
              </w:rPr>
              <w:t>。</w:t>
            </w:r>
          </w:p>
          <w:p>
            <w:pPr>
              <w:spacing w:line="360" w:lineRule="auto"/>
              <w:ind w:firstLine="482"/>
              <w:rPr>
                <w:sz w:val="24"/>
              </w:rPr>
            </w:pPr>
            <w:r>
              <w:rPr>
                <w:rFonts w:hint="eastAsia"/>
                <w:sz w:val="24"/>
              </w:rPr>
              <w:t>2)预测模式</w:t>
            </w:r>
          </w:p>
          <w:p>
            <w:pPr>
              <w:spacing w:line="360" w:lineRule="auto"/>
              <w:ind w:firstLine="482"/>
              <w:rPr>
                <w:sz w:val="24"/>
              </w:rPr>
            </w:pPr>
            <w:r>
              <w:rPr>
                <w:rFonts w:hint="eastAsia"/>
                <w:sz w:val="24"/>
              </w:rPr>
              <w:t>从噪声源到受声点的噪声总衰减量，是由噪声源到受声点的距离、墙体隔声量、空气吸收及建筑屏障的衰减综合而成，本预测只考虑距离的衰减和建筑墙体的隔声量，空气吸收因本建设项目噪声源离预测点较近而忽略不计。本项目主要是生产车间各类生产设备产生的噪声，考虑到各噪声源的距离，将每一类噪声源简化为一个等效点声源处理。</w:t>
            </w:r>
          </w:p>
          <w:p>
            <w:pPr>
              <w:spacing w:line="360" w:lineRule="auto"/>
              <w:ind w:firstLine="480" w:firstLineChars="200"/>
              <w:rPr>
                <w:sz w:val="24"/>
              </w:rPr>
            </w:pPr>
            <w:r>
              <w:rPr>
                <w:sz w:val="24"/>
              </w:rPr>
              <w:t>①单声源声压级的预测</w:t>
            </w:r>
          </w:p>
          <w:p>
            <w:pPr>
              <w:spacing w:line="360" w:lineRule="auto"/>
              <w:ind w:firstLine="480" w:firstLineChars="200"/>
              <w:rPr>
                <w:sz w:val="24"/>
              </w:rPr>
            </w:pPr>
            <w:r>
              <w:rPr>
                <w:sz w:val="24"/>
              </w:rPr>
              <w:t>将噪声源视为点源，以球面波传播，预测计算式为：</w:t>
            </w:r>
          </w:p>
          <w:p>
            <w:pPr>
              <w:spacing w:line="360" w:lineRule="auto"/>
              <w:ind w:firstLine="570"/>
              <w:rPr>
                <w:sz w:val="24"/>
              </w:rPr>
            </w:pPr>
            <w:r>
              <w:rPr>
                <w:sz w:val="24"/>
              </w:rPr>
              <w:t xml:space="preserve">     </w:t>
            </w:r>
            <w:r>
              <w:rPr>
                <w:sz w:val="24"/>
              </w:rPr>
              <w:object>
                <v:shape id="_x0000_i1028" o:spt="75" type="#_x0000_t75" style="height:18pt;width:132pt;" o:ole="t" fillcolor="#6D6D6D"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28" r:id="rId25">
                  <o:LockedField>false</o:LockedField>
                </o:OLEObject>
              </w:object>
            </w:r>
          </w:p>
          <w:p>
            <w:pPr>
              <w:spacing w:line="360" w:lineRule="auto"/>
              <w:rPr>
                <w:sz w:val="24"/>
              </w:rPr>
            </w:pPr>
            <w:r>
              <w:rPr>
                <w:sz w:val="24"/>
              </w:rPr>
              <w:t>式中  Lr—距声源r米处的声压级，dB(A)；</w:t>
            </w:r>
          </w:p>
          <w:p>
            <w:pPr>
              <w:spacing w:line="360" w:lineRule="auto"/>
              <w:rPr>
                <w:sz w:val="24"/>
              </w:rPr>
            </w:pPr>
            <w:r>
              <w:rPr>
                <w:sz w:val="24"/>
              </w:rPr>
              <w:t xml:space="preserve">      Lr0—距声源r0处的声压级，dB(A)；（r0取1米）；</w:t>
            </w:r>
          </w:p>
          <w:p>
            <w:pPr>
              <w:spacing w:line="360" w:lineRule="auto"/>
              <w:ind w:firstLine="720"/>
              <w:rPr>
                <w:sz w:val="24"/>
              </w:rPr>
            </w:pPr>
            <w:r>
              <w:rPr>
                <w:sz w:val="24"/>
              </w:rPr>
              <w:t>r —距声源的距离，米；TL —墙壁隔声量，13dB(A)。</w:t>
            </w:r>
          </w:p>
          <w:p>
            <w:pPr>
              <w:spacing w:line="360" w:lineRule="auto"/>
              <w:ind w:firstLine="480" w:firstLineChars="200"/>
              <w:rPr>
                <w:sz w:val="24"/>
              </w:rPr>
            </w:pPr>
            <w:r>
              <w:rPr>
                <w:sz w:val="24"/>
              </w:rPr>
              <w:t>②多声源声压级的预测</w:t>
            </w:r>
          </w:p>
          <w:p>
            <w:pPr>
              <w:spacing w:line="360" w:lineRule="auto"/>
              <w:ind w:firstLine="480" w:firstLineChars="200"/>
              <w:rPr>
                <w:sz w:val="24"/>
              </w:rPr>
            </w:pPr>
            <w:r>
              <w:rPr>
                <w:sz w:val="24"/>
              </w:rPr>
              <w:t>在噪声源众多的情况下，某预测点的声压级为各噪声对该受声点的噪声级分贝值迭加之和。</w:t>
            </w:r>
          </w:p>
          <w:p>
            <w:pPr>
              <w:spacing w:line="360" w:lineRule="auto"/>
              <w:ind w:firstLine="570"/>
              <w:rPr>
                <w:sz w:val="24"/>
              </w:rPr>
            </w:pPr>
            <w:r>
              <w:rPr>
                <w:sz w:val="24"/>
              </w:rPr>
              <w:t>计算式：</w:t>
            </w:r>
            <w:r>
              <w:rPr>
                <w:sz w:val="24"/>
              </w:rPr>
              <w:object>
                <v:shape id="_x0000_i1029" o:spt="75" type="#_x0000_t75" style="height:36pt;width:113.4pt;" o:ole="t" fillcolor="#6D6D6D"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29" r:id="rId27">
                  <o:LockedField>false</o:LockedField>
                </o:OLEObject>
              </w:object>
            </w:r>
          </w:p>
          <w:p>
            <w:pPr>
              <w:spacing w:line="360" w:lineRule="auto"/>
              <w:ind w:firstLine="480" w:firstLineChars="200"/>
              <w:rPr>
                <w:sz w:val="24"/>
              </w:rPr>
            </w:pPr>
            <w:r>
              <w:rPr>
                <w:sz w:val="24"/>
              </w:rPr>
              <w:t xml:space="preserve">式中  </w:t>
            </w:r>
            <w:r>
              <w:rPr>
                <w:sz w:val="24"/>
              </w:rPr>
              <w:object>
                <v:shape id="_x0000_i1030" o:spt="75" type="#_x0000_t75" style="height:18.6pt;width:18.6pt;" o:ole="t" fillcolor="#6D6D6D"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0" r:id="rId29">
                  <o:LockedField>false</o:LockedField>
                </o:OLEObject>
              </w:object>
            </w:r>
            <w:r>
              <w:rPr>
                <w:sz w:val="24"/>
              </w:rPr>
              <w:t>—某预测点迭加后的总声压级，分贝(A)；</w:t>
            </w:r>
          </w:p>
          <w:p>
            <w:pPr>
              <w:spacing w:line="360" w:lineRule="auto"/>
              <w:rPr>
                <w:sz w:val="24"/>
              </w:rPr>
            </w:pPr>
            <w:r>
              <w:rPr>
                <w:sz w:val="24"/>
              </w:rPr>
              <w:t xml:space="preserve">          </w:t>
            </w:r>
            <w:r>
              <w:rPr>
                <w:sz w:val="24"/>
              </w:rPr>
              <w:object>
                <v:shape id="_x0000_i1031" o:spt="75" type="#_x0000_t75" style="height:18.6pt;width:17.4pt;" o:ole="t" fillcolor="#6D6D6D" filled="f" o:preferrelative="t" stroked="f" coordsize="21600,21600">
                  <v:path/>
                  <v:fill on="f" focussize="0,0"/>
                  <v:stroke on="f" joinstyle="miter"/>
                  <v:imagedata r:id="rId32" o:title=""/>
                  <o:lock v:ext="edit" aspectratio="t"/>
                  <w10:wrap type="none"/>
                  <w10:anchorlock/>
                </v:shape>
                <o:OLEObject Type="Embed" ProgID="Equation.3" ShapeID="_x0000_i1031" DrawAspect="Content" ObjectID="_1468075731" r:id="rId31">
                  <o:LockedField>false</o:LockedField>
                </o:OLEObject>
              </w:object>
            </w:r>
            <w:r>
              <w:rPr>
                <w:sz w:val="24"/>
              </w:rPr>
              <w:t>—i声源对某预测点的贡献声压级，分贝(A)。</w:t>
            </w:r>
          </w:p>
          <w:p>
            <w:pPr>
              <w:snapToGrid w:val="0"/>
              <w:spacing w:line="360" w:lineRule="auto"/>
              <w:ind w:firstLine="480" w:firstLineChars="200"/>
              <w:rPr>
                <w:color w:val="0000FF"/>
                <w:sz w:val="24"/>
              </w:rPr>
            </w:pPr>
            <w:r>
              <w:rPr>
                <w:color w:val="0000FF"/>
                <w:sz w:val="24"/>
              </w:rPr>
              <w:t>③室内声源等效室外声源声功率级计算方法</w:t>
            </w:r>
          </w:p>
          <w:p>
            <w:pPr>
              <w:snapToGrid w:val="0"/>
              <w:spacing w:line="360" w:lineRule="auto"/>
              <w:ind w:firstLine="480" w:firstLineChars="200"/>
              <w:rPr>
                <w:color w:val="0000FF"/>
                <w:sz w:val="24"/>
              </w:rPr>
            </w:pPr>
            <w:r>
              <w:rPr>
                <w:color w:val="0000FF"/>
                <w:sz w:val="24"/>
              </w:rPr>
              <w:t>声源位于室内，室内声源可采用等效室外声源声功率级法进行计算。设靠近开口处（或窗户）室内、室外某倍频带的声压级分别为L</w:t>
            </w:r>
            <w:r>
              <w:rPr>
                <w:color w:val="0000FF"/>
                <w:sz w:val="24"/>
                <w:vertAlign w:val="subscript"/>
              </w:rPr>
              <w:t>p1</w:t>
            </w:r>
            <w:r>
              <w:rPr>
                <w:color w:val="0000FF"/>
                <w:sz w:val="24"/>
              </w:rPr>
              <w:t>和L</w:t>
            </w:r>
            <w:r>
              <w:rPr>
                <w:color w:val="0000FF"/>
                <w:sz w:val="24"/>
                <w:vertAlign w:val="subscript"/>
              </w:rPr>
              <w:t>p2</w:t>
            </w:r>
            <w:r>
              <w:rPr>
                <w:color w:val="0000FF"/>
                <w:sz w:val="24"/>
              </w:rPr>
              <w:t>。若声源所在室内声场为近似扩散声场，则室外的倍频带声压级可按公式（A.6）近似求出：</w:t>
            </w:r>
          </w:p>
          <w:p>
            <w:pPr>
              <w:snapToGrid w:val="0"/>
              <w:spacing w:line="360" w:lineRule="auto"/>
              <w:ind w:firstLine="2280" w:firstLineChars="950"/>
              <w:rPr>
                <w:color w:val="0000FF"/>
                <w:sz w:val="24"/>
              </w:rPr>
            </w:pPr>
            <w:r>
              <w:rPr>
                <w:color w:val="0000FF"/>
                <w:sz w:val="24"/>
              </w:rPr>
              <w:t>L</w:t>
            </w:r>
            <w:r>
              <w:rPr>
                <w:color w:val="0000FF"/>
                <w:sz w:val="24"/>
                <w:vertAlign w:val="subscript"/>
              </w:rPr>
              <w:t>p2</w:t>
            </w:r>
            <w:r>
              <w:rPr>
                <w:color w:val="0000FF"/>
                <w:sz w:val="24"/>
              </w:rPr>
              <w:t>=L</w:t>
            </w:r>
            <w:r>
              <w:rPr>
                <w:color w:val="0000FF"/>
                <w:sz w:val="24"/>
                <w:vertAlign w:val="subscript"/>
              </w:rPr>
              <w:t>p1</w:t>
            </w:r>
            <w:r>
              <w:rPr>
                <w:color w:val="0000FF"/>
                <w:sz w:val="24"/>
              </w:rPr>
              <w:t>-（TL+6）                     （A.6）</w:t>
            </w:r>
          </w:p>
          <w:p>
            <w:pPr>
              <w:snapToGrid w:val="0"/>
              <w:spacing w:line="360" w:lineRule="auto"/>
              <w:ind w:firstLine="480" w:firstLineChars="200"/>
              <w:rPr>
                <w:color w:val="0000FF"/>
                <w:sz w:val="24"/>
              </w:rPr>
            </w:pPr>
            <w:r>
              <w:rPr>
                <w:color w:val="0000FF"/>
                <w:sz w:val="24"/>
              </w:rPr>
              <w:t>式中：TL—隔墙（或窗户）倍频带的隔声量，dB。</w:t>
            </w:r>
          </w:p>
          <w:p>
            <w:pPr>
              <w:snapToGrid w:val="0"/>
              <w:spacing w:line="360" w:lineRule="auto"/>
              <w:ind w:firstLine="480" w:firstLineChars="200"/>
              <w:rPr>
                <w:color w:val="0000FF"/>
                <w:sz w:val="24"/>
              </w:rPr>
            </w:pPr>
            <w:r>
              <w:rPr>
                <w:color w:val="0000FF"/>
                <w:sz w:val="24"/>
              </w:rPr>
              <w:t>也可按公式（A.7）计算某一室内声源靠近围护结构处产生的倍频带声压级：</w:t>
            </w:r>
          </w:p>
          <w:p>
            <w:pPr>
              <w:snapToGrid w:val="0"/>
              <w:spacing w:line="360" w:lineRule="auto"/>
              <w:jc w:val="center"/>
              <w:rPr>
                <w:color w:val="0000FF"/>
                <w:sz w:val="24"/>
              </w:rPr>
            </w:pPr>
            <w:r>
              <w:rPr>
                <w:color w:val="0000FF"/>
                <w:sz w:val="24"/>
              </w:rPr>
              <w:drawing>
                <wp:inline distT="0" distB="0" distL="114300" distR="114300">
                  <wp:extent cx="4237990" cy="529590"/>
                  <wp:effectExtent l="0" t="0" r="10160" b="3810"/>
                  <wp:docPr id="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pic:cNvPicPr>
                            <a:picLocks noChangeAspect="1"/>
                          </pic:cNvPicPr>
                        </pic:nvPicPr>
                        <pic:blipFill>
                          <a:blip r:embed="rId33"/>
                          <a:stretch>
                            <a:fillRect/>
                          </a:stretch>
                        </pic:blipFill>
                        <pic:spPr>
                          <a:xfrm>
                            <a:off x="0" y="0"/>
                            <a:ext cx="4237990" cy="529590"/>
                          </a:xfrm>
                          <a:prstGeom prst="rect">
                            <a:avLst/>
                          </a:prstGeom>
                          <a:noFill/>
                          <a:ln>
                            <a:noFill/>
                          </a:ln>
                        </pic:spPr>
                      </pic:pic>
                    </a:graphicData>
                  </a:graphic>
                </wp:inline>
              </w:drawing>
            </w:r>
          </w:p>
          <w:p>
            <w:pPr>
              <w:snapToGrid w:val="0"/>
              <w:spacing w:line="360" w:lineRule="auto"/>
              <w:ind w:firstLine="480" w:firstLineChars="200"/>
              <w:rPr>
                <w:color w:val="0000FF"/>
                <w:sz w:val="24"/>
              </w:rPr>
            </w:pPr>
            <w:r>
              <w:rPr>
                <w:color w:val="0000FF"/>
                <w:sz w:val="24"/>
              </w:rPr>
              <w:t>式中：Q—指向性因数；通常对无指向性声源，当声源放在房间中心时，Q=1；当放在一面墙的中心时，Q=2；当放在两面墙夹角处时，Q=4；当放在三面墙夹角处时，Q=8。</w:t>
            </w:r>
          </w:p>
          <w:p>
            <w:pPr>
              <w:snapToGrid w:val="0"/>
              <w:spacing w:line="360" w:lineRule="auto"/>
              <w:ind w:firstLine="1200" w:firstLineChars="500"/>
              <w:rPr>
                <w:color w:val="0000FF"/>
                <w:sz w:val="24"/>
              </w:rPr>
            </w:pPr>
            <w:r>
              <w:rPr>
                <w:color w:val="0000FF"/>
                <w:sz w:val="24"/>
              </w:rPr>
              <w:t>R—房间常数；R=Sα/（1-α），S为房间内表面面积，m</w:t>
            </w:r>
            <w:r>
              <w:rPr>
                <w:color w:val="0000FF"/>
                <w:sz w:val="24"/>
                <w:vertAlign w:val="superscript"/>
              </w:rPr>
              <w:t>2</w:t>
            </w:r>
            <w:r>
              <w:rPr>
                <w:color w:val="0000FF"/>
                <w:sz w:val="24"/>
              </w:rPr>
              <w:t>；α为平均吸声系数。</w:t>
            </w:r>
          </w:p>
          <w:p>
            <w:pPr>
              <w:snapToGrid w:val="0"/>
              <w:spacing w:line="360" w:lineRule="auto"/>
              <w:ind w:firstLine="1200" w:firstLineChars="500"/>
              <w:rPr>
                <w:color w:val="0000FF"/>
                <w:sz w:val="24"/>
              </w:rPr>
            </w:pPr>
            <w:r>
              <w:rPr>
                <w:color w:val="0000FF"/>
                <w:sz w:val="24"/>
              </w:rPr>
              <w:t>r—声源到靠近围护结构某点处的距离，m。</w:t>
            </w:r>
          </w:p>
          <w:p>
            <w:pPr>
              <w:snapToGrid w:val="0"/>
              <w:spacing w:line="360" w:lineRule="auto"/>
              <w:jc w:val="center"/>
              <w:rPr>
                <w:color w:val="0000FF"/>
                <w:sz w:val="24"/>
              </w:rPr>
            </w:pPr>
            <w:r>
              <w:rPr>
                <w:color w:val="0000FF"/>
                <w:sz w:val="24"/>
              </w:rPr>
              <w:drawing>
                <wp:inline distT="0" distB="0" distL="114300" distR="114300">
                  <wp:extent cx="3805555" cy="535940"/>
                  <wp:effectExtent l="0" t="0" r="4445" b="16510"/>
                  <wp:docPr id="1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0"/>
                          <pic:cNvPicPr>
                            <a:picLocks noChangeAspect="1"/>
                          </pic:cNvPicPr>
                        </pic:nvPicPr>
                        <pic:blipFill>
                          <a:blip r:embed="rId34"/>
                          <a:stretch>
                            <a:fillRect/>
                          </a:stretch>
                        </pic:blipFill>
                        <pic:spPr>
                          <a:xfrm>
                            <a:off x="0" y="0"/>
                            <a:ext cx="3805555" cy="535940"/>
                          </a:xfrm>
                          <a:prstGeom prst="rect">
                            <a:avLst/>
                          </a:prstGeom>
                          <a:noFill/>
                          <a:ln>
                            <a:noFill/>
                          </a:ln>
                        </pic:spPr>
                      </pic:pic>
                    </a:graphicData>
                  </a:graphic>
                </wp:inline>
              </w:drawing>
            </w:r>
          </w:p>
          <w:p>
            <w:pPr>
              <w:snapToGrid w:val="0"/>
              <w:spacing w:line="360" w:lineRule="auto"/>
              <w:ind w:firstLine="480" w:firstLineChars="200"/>
              <w:rPr>
                <w:color w:val="0000FF"/>
                <w:sz w:val="24"/>
              </w:rPr>
            </w:pPr>
            <w:r>
              <w:rPr>
                <w:color w:val="0000FF"/>
                <w:sz w:val="24"/>
              </w:rPr>
              <w:t>然后按公式（A.8）计算出所有室内声源在围护结构处产生的i倍频带叠加声压级：</w:t>
            </w:r>
          </w:p>
          <w:p>
            <w:pPr>
              <w:snapToGrid w:val="0"/>
              <w:spacing w:line="360" w:lineRule="auto"/>
              <w:ind w:firstLine="480" w:firstLineChars="200"/>
              <w:rPr>
                <w:color w:val="0000FF"/>
                <w:sz w:val="24"/>
              </w:rPr>
            </w:pPr>
            <w:r>
              <w:rPr>
                <w:color w:val="0000FF"/>
                <w:sz w:val="24"/>
              </w:rPr>
              <w:t>式中：L</w:t>
            </w:r>
            <w:r>
              <w:rPr>
                <w:color w:val="0000FF"/>
                <w:sz w:val="24"/>
                <w:vertAlign w:val="subscript"/>
              </w:rPr>
              <w:t>pli</w:t>
            </w:r>
            <w:r>
              <w:rPr>
                <w:color w:val="0000FF"/>
                <w:sz w:val="24"/>
              </w:rPr>
              <w:t>(T)—靠近围护结构处室内N个声源i倍频带的叠加声压级，dB；</w:t>
            </w:r>
          </w:p>
          <w:p>
            <w:pPr>
              <w:snapToGrid w:val="0"/>
              <w:spacing w:line="360" w:lineRule="auto"/>
              <w:ind w:firstLine="1200" w:firstLineChars="500"/>
              <w:rPr>
                <w:color w:val="0000FF"/>
                <w:sz w:val="24"/>
              </w:rPr>
            </w:pPr>
            <w:r>
              <w:rPr>
                <w:color w:val="0000FF"/>
                <w:sz w:val="24"/>
              </w:rPr>
              <w:t>L</w:t>
            </w:r>
            <w:r>
              <w:rPr>
                <w:color w:val="0000FF"/>
                <w:sz w:val="24"/>
                <w:vertAlign w:val="subscript"/>
              </w:rPr>
              <w:t>plij</w:t>
            </w:r>
            <w:r>
              <w:rPr>
                <w:color w:val="0000FF"/>
                <w:sz w:val="24"/>
              </w:rPr>
              <w:t>(T)L—室内j声源i倍频带的声压级，dB；</w:t>
            </w:r>
          </w:p>
          <w:p>
            <w:pPr>
              <w:snapToGrid w:val="0"/>
              <w:spacing w:line="360" w:lineRule="auto"/>
              <w:ind w:firstLine="1200" w:firstLineChars="500"/>
              <w:rPr>
                <w:color w:val="0000FF"/>
                <w:sz w:val="24"/>
              </w:rPr>
            </w:pPr>
            <w:r>
              <w:rPr>
                <w:color w:val="0000FF"/>
                <w:sz w:val="24"/>
              </w:rPr>
              <w:t>N—室内声源总数。</w:t>
            </w:r>
          </w:p>
          <w:p>
            <w:pPr>
              <w:snapToGrid w:val="0"/>
              <w:spacing w:line="360" w:lineRule="auto"/>
              <w:ind w:firstLine="480" w:firstLineChars="200"/>
              <w:rPr>
                <w:color w:val="0000FF"/>
                <w:sz w:val="24"/>
              </w:rPr>
            </w:pPr>
            <w:r>
              <w:rPr>
                <w:color w:val="0000FF"/>
                <w:sz w:val="24"/>
              </w:rPr>
              <w:t>在室内近似为扩散声场时，按公式（A.9）计算出靠近室外围护结构处的声压级：</w:t>
            </w:r>
          </w:p>
          <w:p>
            <w:pPr>
              <w:snapToGrid w:val="0"/>
              <w:spacing w:line="360" w:lineRule="auto"/>
              <w:jc w:val="center"/>
              <w:rPr>
                <w:color w:val="0000FF"/>
                <w:sz w:val="24"/>
              </w:rPr>
            </w:pPr>
            <w:r>
              <w:rPr>
                <w:color w:val="0000FF"/>
                <w:sz w:val="24"/>
              </w:rPr>
              <w:drawing>
                <wp:inline distT="0" distB="0" distL="114300" distR="114300">
                  <wp:extent cx="4406900" cy="368300"/>
                  <wp:effectExtent l="0" t="0" r="12700" b="12700"/>
                  <wp:docPr id="1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1"/>
                          <pic:cNvPicPr>
                            <a:picLocks noChangeAspect="1"/>
                          </pic:cNvPicPr>
                        </pic:nvPicPr>
                        <pic:blipFill>
                          <a:blip r:embed="rId35"/>
                          <a:stretch>
                            <a:fillRect/>
                          </a:stretch>
                        </pic:blipFill>
                        <pic:spPr>
                          <a:xfrm>
                            <a:off x="0" y="0"/>
                            <a:ext cx="4406900" cy="368300"/>
                          </a:xfrm>
                          <a:prstGeom prst="rect">
                            <a:avLst/>
                          </a:prstGeom>
                          <a:noFill/>
                          <a:ln>
                            <a:noFill/>
                          </a:ln>
                        </pic:spPr>
                      </pic:pic>
                    </a:graphicData>
                  </a:graphic>
                </wp:inline>
              </w:drawing>
            </w:r>
          </w:p>
          <w:p>
            <w:pPr>
              <w:snapToGrid w:val="0"/>
              <w:spacing w:line="360" w:lineRule="auto"/>
              <w:ind w:firstLine="480" w:firstLineChars="200"/>
              <w:rPr>
                <w:color w:val="0000FF"/>
                <w:sz w:val="24"/>
              </w:rPr>
            </w:pPr>
            <w:r>
              <w:rPr>
                <w:color w:val="0000FF"/>
                <w:sz w:val="24"/>
              </w:rPr>
              <w:t>式中：Lp2i(T)—靠近围护结构处室外N个声源i倍频带的叠加声压级，dB；</w:t>
            </w:r>
          </w:p>
          <w:p>
            <w:pPr>
              <w:snapToGrid w:val="0"/>
              <w:spacing w:line="360" w:lineRule="auto"/>
              <w:ind w:firstLine="1200" w:firstLineChars="500"/>
              <w:rPr>
                <w:color w:val="0000FF"/>
                <w:sz w:val="24"/>
              </w:rPr>
            </w:pPr>
            <w:r>
              <w:rPr>
                <w:color w:val="0000FF"/>
                <w:sz w:val="24"/>
              </w:rPr>
              <w:t>TL</w:t>
            </w:r>
            <w:r>
              <w:rPr>
                <w:color w:val="0000FF"/>
                <w:sz w:val="24"/>
                <w:vertAlign w:val="subscript"/>
              </w:rPr>
              <w:t>i</w:t>
            </w:r>
            <w:r>
              <w:rPr>
                <w:color w:val="0000FF"/>
                <w:sz w:val="24"/>
              </w:rPr>
              <w:t>—围护结构i倍频带的隔声量，dB。</w:t>
            </w:r>
          </w:p>
          <w:p>
            <w:pPr>
              <w:snapToGrid w:val="0"/>
              <w:spacing w:line="360" w:lineRule="auto"/>
              <w:ind w:firstLine="480" w:firstLineChars="200"/>
              <w:rPr>
                <w:color w:val="0000FF"/>
                <w:sz w:val="24"/>
              </w:rPr>
            </w:pPr>
            <w:r>
              <w:rPr>
                <w:color w:val="0000FF"/>
                <w:sz w:val="24"/>
              </w:rPr>
              <w:t>然后按公式（A.10）将室外声源的声压级和透过面积换算成等效的室外声源，计算出中心位置位于透声面积（S）处的等效声源的倍频带声功率级。</w:t>
            </w:r>
          </w:p>
          <w:p>
            <w:pPr>
              <w:spacing w:line="360" w:lineRule="auto"/>
              <w:ind w:firstLine="480"/>
              <w:rPr>
                <w:color w:val="0000FF"/>
                <w:sz w:val="24"/>
              </w:rPr>
            </w:pPr>
            <w:r>
              <w:rPr>
                <w:color w:val="0000FF"/>
                <w:sz w:val="24"/>
              </w:rPr>
              <w:drawing>
                <wp:inline distT="0" distB="0" distL="114300" distR="114300">
                  <wp:extent cx="4314825" cy="400050"/>
                  <wp:effectExtent l="0" t="0" r="9525" b="0"/>
                  <wp:docPr id="1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2"/>
                          <pic:cNvPicPr>
                            <a:picLocks noChangeAspect="1"/>
                          </pic:cNvPicPr>
                        </pic:nvPicPr>
                        <pic:blipFill>
                          <a:blip r:embed="rId36"/>
                          <a:stretch>
                            <a:fillRect/>
                          </a:stretch>
                        </pic:blipFill>
                        <pic:spPr>
                          <a:xfrm>
                            <a:off x="0" y="0"/>
                            <a:ext cx="4314825" cy="400050"/>
                          </a:xfrm>
                          <a:prstGeom prst="rect">
                            <a:avLst/>
                          </a:prstGeom>
                          <a:noFill/>
                          <a:ln>
                            <a:noFill/>
                          </a:ln>
                        </pic:spPr>
                      </pic:pic>
                    </a:graphicData>
                  </a:graphic>
                </wp:inline>
              </w:drawing>
            </w:r>
          </w:p>
          <w:p>
            <w:pPr>
              <w:spacing w:line="360" w:lineRule="auto"/>
              <w:ind w:firstLine="480"/>
              <w:rPr>
                <w:sz w:val="24"/>
              </w:rPr>
            </w:pPr>
            <w:r>
              <w:rPr>
                <w:rFonts w:hint="eastAsia" w:ascii="宋体" w:hAnsi="宋体" w:eastAsia="宋体" w:cs="宋体"/>
                <w:sz w:val="24"/>
              </w:rPr>
              <w:t>④</w:t>
            </w:r>
            <w:r>
              <w:rPr>
                <w:sz w:val="24"/>
              </w:rPr>
              <w:t>厂界噪声衰减扩散预测</w:t>
            </w:r>
          </w:p>
          <w:p>
            <w:pPr>
              <w:spacing w:line="360" w:lineRule="auto"/>
              <w:ind w:firstLine="480" w:firstLineChars="200"/>
              <w:rPr>
                <w:sz w:val="24"/>
              </w:rPr>
            </w:pPr>
            <w:r>
              <w:rPr>
                <w:sz w:val="24"/>
              </w:rPr>
              <w:t>根据《环境影响评价技术导则 声环境》HJ2.4-20</w:t>
            </w:r>
            <w:r>
              <w:rPr>
                <w:rFonts w:hint="eastAsia"/>
                <w:sz w:val="24"/>
              </w:rPr>
              <w:t>21</w:t>
            </w:r>
            <w:r>
              <w:rPr>
                <w:sz w:val="24"/>
              </w:rPr>
              <w:t>推荐的噪声户外传播衰减计算的替代方法，即用A声级计算，其计算公式如下：</w:t>
            </w:r>
          </w:p>
          <w:p>
            <w:pPr>
              <w:tabs>
                <w:tab w:val="left" w:pos="720"/>
              </w:tabs>
              <w:spacing w:line="360" w:lineRule="auto"/>
              <w:ind w:left="360"/>
              <w:rPr>
                <w:sz w:val="24"/>
              </w:rPr>
            </w:pPr>
            <w:r>
              <w:rPr>
                <w:sz w:val="24"/>
              </w:rPr>
              <w:t xml:space="preserve">          </w:t>
            </w:r>
            <w:r>
              <w:rPr>
                <w:sz w:val="24"/>
              </w:rPr>
              <w:object>
                <v:shape id="_x0000_i1032"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32" DrawAspect="Content" ObjectID="_1468075732" r:id="rId37">
                  <o:LockedField>false</o:LockedField>
                </o:OLEObject>
              </w:object>
            </w:r>
            <w:r>
              <w:rPr>
                <w:sz w:val="24"/>
              </w:rPr>
              <w:tab/>
            </w:r>
            <w:r>
              <w:rPr>
                <w:sz w:val="24"/>
              </w:rPr>
              <w:object>
                <v:shape id="_x0000_i1033" o:spt="75" type="#_x0000_t75" style="height:18pt;width:206.4pt;" o:ole="t" filled="f" o:preferrelative="t" stroked="f" coordsize="21600,21600">
                  <v:path/>
                  <v:fill on="f" focussize="0,0"/>
                  <v:stroke on="f" joinstyle="miter"/>
                  <v:imagedata r:id="rId40" o:title=""/>
                  <o:lock v:ext="edit" aspectratio="t"/>
                  <w10:wrap type="none"/>
                  <w10:anchorlock/>
                </v:shape>
                <o:OLEObject Type="Embed" ProgID="Equation.3" ShapeID="_x0000_i1033" DrawAspect="Content" ObjectID="_1468075733" r:id="rId39">
                  <o:LockedField>false</o:LockedField>
                </o:OLEObject>
              </w:object>
            </w:r>
          </w:p>
          <w:p>
            <w:pPr>
              <w:tabs>
                <w:tab w:val="left" w:pos="720"/>
              </w:tabs>
              <w:spacing w:line="360" w:lineRule="auto"/>
              <w:ind w:left="360"/>
              <w:rPr>
                <w:sz w:val="24"/>
              </w:rPr>
            </w:pPr>
            <w:r>
              <w:rPr>
                <w:sz w:val="24"/>
              </w:rPr>
              <w:object>
                <v:shape id="_x0000_i1034"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34" DrawAspect="Content" ObjectID="_1468075734" r:id="rId41">
                  <o:LockedField>false</o:LockedField>
                </o:OLEObject>
              </w:object>
            </w:r>
            <w:r>
              <w:rPr>
                <w:sz w:val="24"/>
              </w:rPr>
              <w:tab/>
            </w:r>
            <w:r>
              <w:rPr>
                <w:sz w:val="24"/>
              </w:rPr>
              <w:t>式中：</w:t>
            </w:r>
            <w:r>
              <w:rPr>
                <w:sz w:val="24"/>
              </w:rPr>
              <w:object>
                <v:shape id="_x0000_i1035" o:spt="75" type="#_x0000_t75" style="height:17.4pt;width:30.6pt;" o:ole="t" filled="f" o:preferrelative="t" stroked="f" coordsize="21600,21600">
                  <v:path/>
                  <v:fill on="f" focussize="0,0"/>
                  <v:stroke on="f" joinstyle="miter"/>
                  <v:imagedata r:id="rId43" o:title=""/>
                  <o:lock v:ext="edit" aspectratio="t"/>
                  <w10:wrap type="none"/>
                  <w10:anchorlock/>
                </v:shape>
                <o:OLEObject Type="Embed" ProgID="Equation.3" ShapeID="_x0000_i1035" DrawAspect="Content" ObjectID="_1468075735" r:id="rId42">
                  <o:LockedField>false</o:LockedField>
                </o:OLEObject>
              </w:object>
            </w:r>
            <w:r>
              <w:rPr>
                <w:sz w:val="24"/>
              </w:rPr>
              <w:t xml:space="preserve"> —距声源r处的A声级，dB；</w:t>
            </w:r>
          </w:p>
          <w:p>
            <w:pPr>
              <w:tabs>
                <w:tab w:val="left" w:pos="720"/>
              </w:tabs>
              <w:spacing w:line="360" w:lineRule="auto"/>
              <w:ind w:left="2279" w:leftChars="171" w:hanging="1920" w:hangingChars="800"/>
              <w:rPr>
                <w:sz w:val="24"/>
              </w:rPr>
            </w:pPr>
            <w:r>
              <w:rPr>
                <w:sz w:val="24"/>
              </w:rPr>
              <w:object>
                <v:shape id="_x0000_i1036"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36" DrawAspect="Content" ObjectID="_1468075736" r:id="rId44">
                  <o:LockedField>false</o:LockedField>
                </o:OLEObject>
              </w:object>
            </w:r>
            <w:r>
              <w:rPr>
                <w:sz w:val="24"/>
              </w:rPr>
              <w:t xml:space="preserve">       </w:t>
            </w:r>
            <w:r>
              <w:rPr>
                <w:sz w:val="24"/>
              </w:rPr>
              <w:object>
                <v:shape id="_x0000_i1037" o:spt="75" type="#_x0000_t75" style="height:18pt;width:35.4pt;" o:ole="t" filled="f" o:preferrelative="t" stroked="f" coordsize="21600,21600">
                  <v:path/>
                  <v:fill on="f" focussize="0,0"/>
                  <v:stroke on="f" joinstyle="miter"/>
                  <v:imagedata r:id="rId46" o:title=""/>
                  <o:lock v:ext="edit" aspectratio="t"/>
                  <w10:wrap type="none"/>
                  <w10:anchorlock/>
                </v:shape>
                <o:OLEObject Type="Embed" ProgID="Equation.3" ShapeID="_x0000_i1037" DrawAspect="Content" ObjectID="_1468075737" r:id="rId45">
                  <o:LockedField>false</o:LockedField>
                </o:OLEObject>
              </w:object>
            </w:r>
            <w:r>
              <w:rPr>
                <w:sz w:val="24"/>
              </w:rPr>
              <w:t>—参考位置r0处的A声级，dB；当r0=1m时，</w:t>
            </w:r>
            <w:r>
              <w:rPr>
                <w:sz w:val="24"/>
              </w:rPr>
              <w:object>
                <v:shape id="_x0000_i1038" o:spt="75" type="#_x0000_t75" style="height:18pt;width:35.4pt;" o:ole="t" filled="f" o:preferrelative="t" stroked="f" coordsize="21600,21600">
                  <v:path/>
                  <v:fill on="f" focussize="0,0"/>
                  <v:stroke on="f" joinstyle="miter"/>
                  <v:imagedata r:id="rId48" o:title=""/>
                  <o:lock v:ext="edit" aspectratio="t"/>
                  <w10:wrap type="none"/>
                  <w10:anchorlock/>
                </v:shape>
                <o:OLEObject Type="Embed" ProgID="Equation.3" ShapeID="_x0000_i1038" DrawAspect="Content" ObjectID="_1468075738" r:id="rId47">
                  <o:LockedField>false</o:LockedField>
                </o:OLEObject>
              </w:object>
            </w:r>
            <w:r>
              <w:rPr>
                <w:sz w:val="24"/>
              </w:rPr>
              <w:t xml:space="preserve"> 即为源强；本项目各车间的综合噪声源强。</w:t>
            </w:r>
          </w:p>
          <w:p>
            <w:pPr>
              <w:tabs>
                <w:tab w:val="left" w:pos="720"/>
              </w:tabs>
              <w:spacing w:line="360" w:lineRule="auto"/>
              <w:ind w:left="357"/>
              <w:rPr>
                <w:sz w:val="24"/>
              </w:rPr>
            </w:pPr>
            <w:r>
              <w:rPr>
                <w:sz w:val="24"/>
              </w:rPr>
              <w:object>
                <v:shape id="_x0000_i1039"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39" DrawAspect="Content" ObjectID="_1468075739" r:id="rId49">
                  <o:LockedField>false</o:LockedField>
                </o:OLEObject>
              </w:object>
            </w:r>
            <w:r>
              <w:rPr>
                <w:sz w:val="24"/>
              </w:rPr>
              <w:t xml:space="preserve">       </w:t>
            </w:r>
            <w:r>
              <w:rPr>
                <w:sz w:val="24"/>
              </w:rPr>
              <w:object>
                <v:shape id="_x0000_i1040" o:spt="75" type="#_x0000_t75" style="height:18pt;width:21pt;" o:ole="t" filled="f" o:preferrelative="t" stroked="f" coordsize="21600,21600">
                  <v:path/>
                  <v:fill on="f" focussize="0,0"/>
                  <v:stroke on="f" joinstyle="miter"/>
                  <v:imagedata r:id="rId51" o:title=""/>
                  <o:lock v:ext="edit" aspectratio="t"/>
                  <w10:wrap type="none"/>
                  <w10:anchorlock/>
                </v:shape>
                <o:OLEObject Type="Embed" ProgID="Equation.3" ShapeID="_x0000_i1040" DrawAspect="Content" ObjectID="_1468075740" r:id="rId50">
                  <o:LockedField>false</o:LockedField>
                </o:OLEObject>
              </w:object>
            </w:r>
            <w:r>
              <w:rPr>
                <w:sz w:val="24"/>
              </w:rPr>
              <w:t>—声波几何发散引起的A声级衰减量，dB；</w:t>
            </w:r>
          </w:p>
          <w:p>
            <w:pPr>
              <w:tabs>
                <w:tab w:val="left" w:pos="720"/>
              </w:tabs>
              <w:spacing w:line="360" w:lineRule="auto"/>
              <w:ind w:left="360"/>
              <w:rPr>
                <w:sz w:val="24"/>
              </w:rPr>
            </w:pPr>
            <w:r>
              <w:rPr>
                <w:sz w:val="24"/>
              </w:rPr>
              <w:object>
                <v:shape id="_x0000_i1041"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52">
                  <o:LockedField>false</o:LockedField>
                </o:OLEObject>
              </w:object>
            </w:r>
            <w:r>
              <w:rPr>
                <w:sz w:val="24"/>
              </w:rPr>
              <w:t xml:space="preserve">              </w:t>
            </w:r>
            <w:r>
              <w:rPr>
                <w:sz w:val="24"/>
              </w:rPr>
              <w:object>
                <v:shape id="_x0000_i1042" o:spt="75" type="#_x0000_t75" style="height:18pt;width:87.6pt;" o:ole="t" filled="f" o:preferrelative="t" stroked="f" coordsize="21600,21600">
                  <v:path/>
                  <v:fill on="f" focussize="0,0"/>
                  <v:stroke on="f" joinstyle="miter"/>
                  <v:imagedata r:id="rId54" o:title=""/>
                  <o:lock v:ext="edit" aspectratio="t"/>
                  <w10:wrap type="none"/>
                  <w10:anchorlock/>
                </v:shape>
                <o:OLEObject Type="Embed" ProgID="Equation.3" ShapeID="_x0000_i1042" DrawAspect="Content" ObjectID="_1468075742" r:id="rId53">
                  <o:LockedField>false</o:LockedField>
                </o:OLEObject>
              </w:object>
            </w:r>
          </w:p>
          <w:p>
            <w:pPr>
              <w:tabs>
                <w:tab w:val="left" w:pos="720"/>
              </w:tabs>
              <w:spacing w:line="360" w:lineRule="auto"/>
              <w:ind w:left="2159" w:leftChars="171" w:hanging="1800" w:hangingChars="750"/>
              <w:rPr>
                <w:sz w:val="24"/>
              </w:rPr>
            </w:pPr>
            <w:r>
              <w:rPr>
                <w:sz w:val="24"/>
              </w:rPr>
              <w:object>
                <v:shape id="_x0000_i1043"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43" DrawAspect="Content" ObjectID="_1468075743" r:id="rId55">
                  <o:LockedField>false</o:LockedField>
                </o:OLEObject>
              </w:object>
            </w:r>
            <w:r>
              <w:rPr>
                <w:sz w:val="24"/>
              </w:rPr>
              <w:t xml:space="preserve">       </w:t>
            </w:r>
            <w:r>
              <w:rPr>
                <w:sz w:val="24"/>
              </w:rPr>
              <w:object>
                <v:shape id="_x0000_i1044" o:spt="75" type="#_x0000_t75" style="height:18pt;width:21.6pt;" o:ole="t" filled="f" o:preferrelative="t" stroked="f" coordsize="21600,21600">
                  <v:path/>
                  <v:fill on="f" focussize="0,0"/>
                  <v:stroke on="f" joinstyle="miter"/>
                  <v:imagedata r:id="rId57" o:title=""/>
                  <o:lock v:ext="edit" aspectratio="t"/>
                  <w10:wrap type="none"/>
                  <w10:anchorlock/>
                </v:shape>
                <o:OLEObject Type="Embed" ProgID="Equation.3" ShapeID="_x0000_i1044" DrawAspect="Content" ObjectID="_1468075744" r:id="rId56">
                  <o:LockedField>false</o:LockedField>
                </o:OLEObject>
              </w:object>
            </w:r>
            <w:r>
              <w:rPr>
                <w:sz w:val="24"/>
              </w:rPr>
              <w:t>—遮挡物引起的A声级衰减量，dB，车间墙体遮挡衰减取13dB；</w:t>
            </w:r>
          </w:p>
          <w:p>
            <w:pPr>
              <w:tabs>
                <w:tab w:val="left" w:pos="720"/>
              </w:tabs>
              <w:spacing w:line="360" w:lineRule="auto"/>
              <w:ind w:left="360"/>
              <w:rPr>
                <w:sz w:val="24"/>
              </w:rPr>
            </w:pPr>
            <w:r>
              <w:rPr>
                <w:sz w:val="24"/>
              </w:rPr>
              <w:object>
                <v:shape id="_x0000_i1045"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45" DrawAspect="Content" ObjectID="_1468075745" r:id="rId58">
                  <o:LockedField>false</o:LockedField>
                </o:OLEObject>
              </w:object>
            </w:r>
            <w:r>
              <w:rPr>
                <w:sz w:val="24"/>
              </w:rPr>
              <w:t xml:space="preserve">       </w:t>
            </w:r>
            <w:r>
              <w:rPr>
                <w:sz w:val="24"/>
              </w:rPr>
              <w:object>
                <v:shape id="_x0000_i1046" o:spt="75" type="#_x0000_t75" style="height:18pt;width:21.6pt;" o:ole="t" filled="f" o:preferrelative="t" stroked="f" coordsize="21600,21600">
                  <v:path/>
                  <v:fill on="f" focussize="0,0"/>
                  <v:stroke on="f" joinstyle="miter"/>
                  <v:imagedata r:id="rId60" o:title=""/>
                  <o:lock v:ext="edit" aspectratio="t"/>
                  <w10:wrap type="none"/>
                  <w10:anchorlock/>
                </v:shape>
                <o:OLEObject Type="Embed" ProgID="Equation.3" ShapeID="_x0000_i1046" DrawAspect="Content" ObjectID="_1468075746" r:id="rId59">
                  <o:LockedField>false</o:LockedField>
                </o:OLEObject>
              </w:object>
            </w:r>
            <w:r>
              <w:rPr>
                <w:sz w:val="24"/>
              </w:rPr>
              <w:t>—空气吸收引起的A声级衰减量，dB；</w:t>
            </w:r>
          </w:p>
          <w:p>
            <w:pPr>
              <w:tabs>
                <w:tab w:val="left" w:pos="720"/>
              </w:tabs>
              <w:spacing w:line="360" w:lineRule="auto"/>
              <w:ind w:left="360"/>
              <w:rPr>
                <w:sz w:val="24"/>
              </w:rPr>
            </w:pPr>
            <w:r>
              <w:rPr>
                <w:sz w:val="24"/>
              </w:rPr>
              <w:object>
                <v:shape id="_x0000_i1047" o:spt="75" type="#_x0000_t75" style="height:17.4pt;width:9pt;" o:ole="t" filled="f" o:preferrelative="t" stroked="f" coordsize="21600,21600">
                  <v:path/>
                  <v:fill on="f" focussize="0,0"/>
                  <v:stroke on="f" joinstyle="miter"/>
                  <v:imagedata r:id="rId38" o:title=""/>
                  <o:lock v:ext="edit" aspectratio="t"/>
                  <w10:wrap type="none"/>
                  <w10:anchorlock/>
                </v:shape>
                <o:OLEObject Type="Embed" ProgID="Equation.3" ShapeID="_x0000_i1047" DrawAspect="Content" ObjectID="_1468075747" r:id="rId61">
                  <o:LockedField>false</o:LockedField>
                </o:OLEObject>
              </w:object>
            </w:r>
            <w:r>
              <w:rPr>
                <w:sz w:val="24"/>
              </w:rPr>
              <w:t xml:space="preserve">       </w:t>
            </w:r>
            <w:r>
              <w:rPr>
                <w:sz w:val="24"/>
              </w:rPr>
              <w:object>
                <v:shape id="_x0000_i1048" o:spt="75" type="#_x0000_t75" style="height:18pt;width:21pt;" o:ole="t" filled="f" o:preferrelative="t" stroked="f" coordsize="21600,21600">
                  <v:path/>
                  <v:fill on="f" focussize="0,0"/>
                  <v:stroke on="f" joinstyle="miter"/>
                  <v:imagedata r:id="rId63" o:title=""/>
                  <o:lock v:ext="edit" aspectratio="t"/>
                  <w10:wrap type="none"/>
                  <w10:anchorlock/>
                </v:shape>
                <o:OLEObject Type="Embed" ProgID="Equation.3" ShapeID="_x0000_i1048" DrawAspect="Content" ObjectID="_1468075748" r:id="rId62">
                  <o:LockedField>false</o:LockedField>
                </o:OLEObject>
              </w:object>
            </w:r>
            <w:r>
              <w:rPr>
                <w:sz w:val="24"/>
              </w:rPr>
              <w:t>—附加A声级衰减量，dB。</w:t>
            </w:r>
          </w:p>
          <w:p>
            <w:pPr>
              <w:tabs>
                <w:tab w:val="left" w:pos="720"/>
              </w:tabs>
              <w:spacing w:line="360" w:lineRule="auto"/>
              <w:ind w:firstLine="480" w:firstLineChars="200"/>
              <w:rPr>
                <w:sz w:val="24"/>
              </w:rPr>
            </w:pPr>
            <w:r>
              <w:rPr>
                <w:sz w:val="24"/>
              </w:rPr>
              <w:t>为避免计算中增大衰减量而造成预测值偏小，计算时忽略</w:t>
            </w:r>
            <w:r>
              <w:rPr>
                <w:sz w:val="24"/>
              </w:rPr>
              <w:object>
                <v:shape id="_x0000_i1049" o:spt="75" type="#_x0000_t75" style="height:18pt;width:21.6pt;" o:ole="t" filled="f" o:preferrelative="t" stroked="f" coordsize="21600,21600">
                  <v:path/>
                  <v:fill on="f" focussize="0,0"/>
                  <v:stroke on="f" joinstyle="miter"/>
                  <v:imagedata r:id="rId65" o:title=""/>
                  <o:lock v:ext="edit" aspectratio="t"/>
                  <w10:wrap type="none"/>
                  <w10:anchorlock/>
                </v:shape>
                <o:OLEObject Type="Embed" ProgID="Equation.3" ShapeID="_x0000_i1049" DrawAspect="Content" ObjectID="_1468075749" r:id="rId64">
                  <o:LockedField>false</o:LockedField>
                </o:OLEObject>
              </w:object>
            </w:r>
            <w:r>
              <w:rPr>
                <w:sz w:val="24"/>
              </w:rPr>
              <w:t>和</w:t>
            </w:r>
            <w:r>
              <w:rPr>
                <w:sz w:val="24"/>
              </w:rPr>
              <w:object>
                <v:shape id="_x0000_i1050" o:spt="75" type="#_x0000_t75" style="height:18pt;width:21pt;" o:ole="t" filled="f" o:preferrelative="t" stroked="f" coordsize="21600,21600">
                  <v:path/>
                  <v:fill on="f" focussize="0,0"/>
                  <v:stroke on="f" joinstyle="miter"/>
                  <v:imagedata r:id="rId67" o:title=""/>
                  <o:lock v:ext="edit" aspectratio="t"/>
                  <w10:wrap type="none"/>
                  <w10:anchorlock/>
                </v:shape>
                <o:OLEObject Type="Embed" ProgID="Equation.3" ShapeID="_x0000_i1050" DrawAspect="Content" ObjectID="_1468075750" r:id="rId66">
                  <o:LockedField>false</o:LockedField>
                </o:OLEObject>
              </w:object>
            </w:r>
            <w:r>
              <w:rPr>
                <w:sz w:val="24"/>
              </w:rPr>
              <w:t>。</w:t>
            </w:r>
          </w:p>
          <w:p>
            <w:pPr>
              <w:autoSpaceDE w:val="0"/>
              <w:autoSpaceDN w:val="0"/>
              <w:snapToGrid w:val="0"/>
              <w:spacing w:before="120" w:beforeLines="50"/>
              <w:jc w:val="center"/>
              <w:rPr>
                <w:rFonts w:hint="eastAsia" w:eastAsia="黑体"/>
                <w:bCs/>
                <w:kern w:val="0"/>
                <w:sz w:val="24"/>
                <w:szCs w:val="21"/>
              </w:rPr>
            </w:pPr>
          </w:p>
          <w:p>
            <w:pPr>
              <w:autoSpaceDE w:val="0"/>
              <w:autoSpaceDN w:val="0"/>
              <w:snapToGrid w:val="0"/>
              <w:spacing w:before="120" w:beforeLines="50"/>
              <w:jc w:val="center"/>
              <w:rPr>
                <w:rFonts w:hint="eastAsia" w:eastAsia="黑体"/>
                <w:bCs/>
                <w:kern w:val="0"/>
                <w:sz w:val="24"/>
                <w:szCs w:val="21"/>
              </w:rPr>
            </w:pPr>
          </w:p>
          <w:p>
            <w:pPr>
              <w:autoSpaceDE w:val="0"/>
              <w:autoSpaceDN w:val="0"/>
              <w:snapToGrid w:val="0"/>
              <w:spacing w:before="120" w:beforeLines="50"/>
              <w:jc w:val="center"/>
              <w:rPr>
                <w:rFonts w:hint="eastAsia" w:eastAsia="黑体"/>
                <w:bCs/>
                <w:kern w:val="0"/>
                <w:sz w:val="24"/>
                <w:szCs w:val="21"/>
              </w:rPr>
            </w:pPr>
          </w:p>
          <w:p>
            <w:pPr>
              <w:autoSpaceDE w:val="0"/>
              <w:autoSpaceDN w:val="0"/>
              <w:snapToGrid w:val="0"/>
              <w:spacing w:before="120" w:beforeLines="50"/>
              <w:jc w:val="both"/>
              <w:rPr>
                <w:rFonts w:hint="eastAsia" w:eastAsia="黑体"/>
                <w:bCs/>
                <w:kern w:val="0"/>
                <w:sz w:val="24"/>
                <w:szCs w:val="21"/>
              </w:rPr>
            </w:pPr>
          </w:p>
          <w:p>
            <w:pPr>
              <w:autoSpaceDE w:val="0"/>
              <w:autoSpaceDN w:val="0"/>
              <w:snapToGrid w:val="0"/>
              <w:spacing w:before="120" w:beforeLines="50"/>
              <w:jc w:val="center"/>
              <w:rPr>
                <w:rFonts w:eastAsia="黑体"/>
                <w:bCs/>
                <w:kern w:val="0"/>
                <w:sz w:val="24"/>
                <w:szCs w:val="21"/>
              </w:rPr>
            </w:pPr>
            <w:r>
              <w:rPr>
                <w:rFonts w:hint="eastAsia" w:eastAsia="黑体"/>
                <w:bCs/>
                <w:kern w:val="0"/>
                <w:sz w:val="24"/>
                <w:szCs w:val="21"/>
              </w:rPr>
              <w:t>表4-</w:t>
            </w:r>
            <w:r>
              <w:rPr>
                <w:rFonts w:hint="eastAsia" w:eastAsia="黑体"/>
                <w:bCs/>
                <w:kern w:val="0"/>
                <w:sz w:val="24"/>
                <w:szCs w:val="21"/>
                <w:lang w:val="en-US" w:eastAsia="zh-CN"/>
              </w:rPr>
              <w:t>27</w:t>
            </w:r>
            <w:r>
              <w:rPr>
                <w:rFonts w:hint="eastAsia" w:eastAsia="黑体"/>
                <w:bCs/>
                <w:kern w:val="0"/>
                <w:sz w:val="24"/>
                <w:szCs w:val="21"/>
              </w:rPr>
              <w:t xml:space="preserve">  隔墙等遮挡物引起的A声级衰减表</w:t>
            </w:r>
          </w:p>
          <w:tbl>
            <w:tblPr>
              <w:tblStyle w:val="33"/>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40"/>
              <w:gridCol w:w="35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88" w:type="dxa"/>
                  <w:vAlign w:val="center"/>
                </w:tcPr>
                <w:p>
                  <w:pPr>
                    <w:pStyle w:val="2"/>
                    <w:spacing w:after="0" w:line="340" w:lineRule="exact"/>
                    <w:ind w:left="0" w:leftChars="0"/>
                    <w:jc w:val="center"/>
                    <w:rPr>
                      <w:sz w:val="18"/>
                      <w:szCs w:val="18"/>
                    </w:rPr>
                  </w:pPr>
                  <w:r>
                    <w:rPr>
                      <w:sz w:val="18"/>
                      <w:szCs w:val="18"/>
                    </w:rPr>
                    <w:t>条      件</w:t>
                  </w:r>
                </w:p>
              </w:tc>
              <w:tc>
                <w:tcPr>
                  <w:tcW w:w="5791" w:type="dxa"/>
                  <w:vAlign w:val="center"/>
                </w:tcPr>
                <w:p>
                  <w:pPr>
                    <w:pStyle w:val="2"/>
                    <w:spacing w:after="0" w:line="340" w:lineRule="exact"/>
                    <w:ind w:left="0" w:leftChars="0"/>
                    <w:jc w:val="center"/>
                    <w:rPr>
                      <w:sz w:val="18"/>
                      <w:szCs w:val="18"/>
                    </w:rPr>
                  </w:pPr>
                  <w:r>
                    <w:rPr>
                      <w:sz w:val="18"/>
                      <w:szCs w:val="18"/>
                    </w:rPr>
                    <w:object>
                      <v:shape id="_x0000_i1051" o:spt="75" type="#_x0000_t75" style="height:18pt;width:21.6pt;" o:ole="t" filled="f" o:preferrelative="t" stroked="f" coordsize="21600,21600">
                        <v:path/>
                        <v:fill on="f" focussize="0,0"/>
                        <v:stroke on="f" joinstyle="miter"/>
                        <v:imagedata r:id="rId57" o:title=""/>
                        <o:lock v:ext="edit" aspectratio="t"/>
                        <w10:wrap type="none"/>
                        <w10:anchorlock/>
                      </v:shape>
                      <o:OLEObject Type="Embed" ProgID="Equation.3" ShapeID="_x0000_i1051" DrawAspect="Content" ObjectID="_1468075751" r:id="rId68">
                        <o:LockedField>false</o:LockedField>
                      </o:OLEObject>
                    </w:object>
                  </w:r>
                  <w:r>
                    <w:rPr>
                      <w:sz w:val="18"/>
                      <w:szCs w:val="18"/>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88" w:type="dxa"/>
                  <w:vAlign w:val="center"/>
                </w:tcPr>
                <w:p>
                  <w:pPr>
                    <w:pStyle w:val="2"/>
                    <w:spacing w:after="0" w:line="340" w:lineRule="exact"/>
                    <w:ind w:left="0" w:leftChars="0"/>
                    <w:jc w:val="center"/>
                    <w:rPr>
                      <w:sz w:val="18"/>
                      <w:szCs w:val="18"/>
                    </w:rPr>
                  </w:pPr>
                  <w:r>
                    <w:rPr>
                      <w:sz w:val="18"/>
                      <w:szCs w:val="18"/>
                    </w:rPr>
                    <w:t>开小窗、密闭，门经隔声处理</w:t>
                  </w:r>
                </w:p>
              </w:tc>
              <w:tc>
                <w:tcPr>
                  <w:tcW w:w="5791" w:type="dxa"/>
                  <w:vAlign w:val="center"/>
                </w:tcPr>
                <w:p>
                  <w:pPr>
                    <w:pStyle w:val="2"/>
                    <w:spacing w:after="0" w:line="340" w:lineRule="exact"/>
                    <w:ind w:left="0" w:leftChars="0"/>
                    <w:jc w:val="center"/>
                    <w:rPr>
                      <w:sz w:val="18"/>
                      <w:szCs w:val="18"/>
                    </w:rPr>
                  </w:pPr>
                  <w:r>
                    <w:rPr>
                      <w:sz w:val="18"/>
                      <w:szCs w:val="18"/>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88" w:type="dxa"/>
                  <w:vAlign w:val="center"/>
                </w:tcPr>
                <w:p>
                  <w:pPr>
                    <w:pStyle w:val="2"/>
                    <w:spacing w:after="0" w:line="340" w:lineRule="exact"/>
                    <w:ind w:left="0" w:leftChars="0"/>
                    <w:jc w:val="center"/>
                    <w:rPr>
                      <w:sz w:val="18"/>
                      <w:szCs w:val="18"/>
                    </w:rPr>
                  </w:pPr>
                  <w:r>
                    <w:rPr>
                      <w:sz w:val="18"/>
                      <w:szCs w:val="18"/>
                    </w:rPr>
                    <w:t>开大窗且不密闭，门较密闭</w:t>
                  </w:r>
                </w:p>
              </w:tc>
              <w:tc>
                <w:tcPr>
                  <w:tcW w:w="5791" w:type="dxa"/>
                  <w:vAlign w:val="center"/>
                </w:tcPr>
                <w:p>
                  <w:pPr>
                    <w:pStyle w:val="2"/>
                    <w:spacing w:after="0" w:line="340" w:lineRule="exact"/>
                    <w:ind w:left="0" w:leftChars="0"/>
                    <w:jc w:val="center"/>
                    <w:rPr>
                      <w:sz w:val="18"/>
                      <w:szCs w:val="18"/>
                    </w:rPr>
                  </w:pPr>
                  <w:r>
                    <w:rPr>
                      <w:sz w:val="18"/>
                      <w:szCs w:val="18"/>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88" w:type="dxa"/>
                  <w:vAlign w:val="center"/>
                </w:tcPr>
                <w:p>
                  <w:pPr>
                    <w:pStyle w:val="2"/>
                    <w:spacing w:after="0" w:line="340" w:lineRule="exact"/>
                    <w:ind w:left="0" w:leftChars="0"/>
                    <w:jc w:val="center"/>
                    <w:rPr>
                      <w:sz w:val="18"/>
                      <w:szCs w:val="18"/>
                    </w:rPr>
                  </w:pPr>
                  <w:r>
                    <w:rPr>
                      <w:sz w:val="18"/>
                      <w:szCs w:val="18"/>
                    </w:rPr>
                    <w:t>开大窗且不密闭，门不密闭</w:t>
                  </w:r>
                </w:p>
              </w:tc>
              <w:tc>
                <w:tcPr>
                  <w:tcW w:w="5791" w:type="dxa"/>
                  <w:vAlign w:val="center"/>
                </w:tcPr>
                <w:p>
                  <w:pPr>
                    <w:pStyle w:val="2"/>
                    <w:spacing w:after="0" w:line="340" w:lineRule="exact"/>
                    <w:ind w:left="0" w:leftChars="0"/>
                    <w:jc w:val="center"/>
                    <w:rPr>
                      <w:sz w:val="18"/>
                      <w:szCs w:val="18"/>
                    </w:rPr>
                  </w:pPr>
                  <w:r>
                    <w:rPr>
                      <w:sz w:val="18"/>
                      <w:szCs w:val="18"/>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88" w:type="dxa"/>
                  <w:vAlign w:val="center"/>
                </w:tcPr>
                <w:p>
                  <w:pPr>
                    <w:pStyle w:val="2"/>
                    <w:spacing w:after="0" w:line="340" w:lineRule="exact"/>
                    <w:ind w:left="0" w:leftChars="0"/>
                    <w:jc w:val="center"/>
                    <w:rPr>
                      <w:sz w:val="18"/>
                      <w:szCs w:val="18"/>
                    </w:rPr>
                  </w:pPr>
                  <w:r>
                    <w:rPr>
                      <w:sz w:val="18"/>
                      <w:szCs w:val="18"/>
                    </w:rPr>
                    <w:t>门与窗全部敞开</w:t>
                  </w:r>
                </w:p>
              </w:tc>
              <w:tc>
                <w:tcPr>
                  <w:tcW w:w="5791" w:type="dxa"/>
                  <w:vAlign w:val="center"/>
                </w:tcPr>
                <w:p>
                  <w:pPr>
                    <w:pStyle w:val="2"/>
                    <w:spacing w:after="0" w:line="340" w:lineRule="exact"/>
                    <w:ind w:left="0" w:leftChars="0"/>
                    <w:jc w:val="center"/>
                    <w:rPr>
                      <w:sz w:val="18"/>
                      <w:szCs w:val="18"/>
                    </w:rPr>
                  </w:pPr>
                  <w:r>
                    <w:rPr>
                      <w:sz w:val="18"/>
                      <w:szCs w:val="18"/>
                    </w:rPr>
                    <w:t>8</w:t>
                  </w:r>
                </w:p>
              </w:tc>
            </w:tr>
          </w:tbl>
          <w:p>
            <w:pPr>
              <w:spacing w:before="120" w:beforeLines="50" w:line="360" w:lineRule="auto"/>
              <w:ind w:firstLine="480" w:firstLineChars="200"/>
              <w:rPr>
                <w:sz w:val="24"/>
              </w:rPr>
            </w:pPr>
            <w:r>
              <w:rPr>
                <w:sz w:val="24"/>
              </w:rPr>
              <w:t>3)预测结果分析</w:t>
            </w:r>
          </w:p>
          <w:p>
            <w:pPr>
              <w:spacing w:line="360" w:lineRule="auto"/>
              <w:ind w:firstLine="480" w:firstLineChars="200"/>
              <w:rPr>
                <w:rFonts w:eastAsia="黑体"/>
                <w:bCs/>
                <w:spacing w:val="4"/>
                <w:sz w:val="24"/>
              </w:rPr>
            </w:pPr>
            <w:r>
              <w:rPr>
                <w:rFonts w:hint="eastAsia"/>
                <w:sz w:val="24"/>
              </w:rPr>
              <w:t>本项目属于</w:t>
            </w:r>
            <w:r>
              <w:rPr>
                <w:sz w:val="24"/>
              </w:rPr>
              <w:t>开大窗且不密闭，门较密闭</w:t>
            </w:r>
            <w:r>
              <w:rPr>
                <w:rFonts w:hint="eastAsia"/>
                <w:sz w:val="24"/>
              </w:rPr>
              <w:t>，降噪为20</w:t>
            </w:r>
            <w:r>
              <w:rPr>
                <w:sz w:val="24"/>
              </w:rPr>
              <w:t>dB(A)</w:t>
            </w:r>
            <w:r>
              <w:rPr>
                <w:rFonts w:hint="eastAsia"/>
                <w:sz w:val="24"/>
              </w:rPr>
              <w:t>，</w:t>
            </w:r>
            <w:r>
              <w:rPr>
                <w:sz w:val="24"/>
              </w:rPr>
              <w:t>厂界噪声排放预测结果详见表4-</w:t>
            </w:r>
            <w:r>
              <w:rPr>
                <w:rFonts w:hint="eastAsia"/>
                <w:sz w:val="24"/>
                <w:lang w:val="en-US" w:eastAsia="zh-CN"/>
              </w:rPr>
              <w:t>28</w:t>
            </w:r>
            <w:r>
              <w:rPr>
                <w:sz w:val="24"/>
              </w:rPr>
              <w:t>所示：</w:t>
            </w:r>
          </w:p>
          <w:p>
            <w:pPr>
              <w:autoSpaceDN w:val="0"/>
              <w:spacing w:before="120" w:beforeLines="50"/>
              <w:ind w:firstLine="482"/>
              <w:jc w:val="center"/>
              <w:rPr>
                <w:rFonts w:eastAsia="黑体"/>
                <w:bCs/>
                <w:color w:val="0000FF"/>
                <w:spacing w:val="4"/>
                <w:sz w:val="24"/>
              </w:rPr>
            </w:pPr>
            <w:r>
              <w:rPr>
                <w:rFonts w:eastAsia="黑体"/>
                <w:bCs/>
                <w:color w:val="0000FF"/>
                <w:spacing w:val="4"/>
                <w:sz w:val="24"/>
              </w:rPr>
              <w:t>表4-</w:t>
            </w:r>
            <w:r>
              <w:rPr>
                <w:rFonts w:hint="eastAsia" w:eastAsia="黑体"/>
                <w:bCs/>
                <w:color w:val="0000FF"/>
                <w:spacing w:val="4"/>
                <w:sz w:val="24"/>
                <w:lang w:val="en-US" w:eastAsia="zh-CN"/>
              </w:rPr>
              <w:t xml:space="preserve">28 </w:t>
            </w:r>
            <w:r>
              <w:rPr>
                <w:rFonts w:eastAsia="黑体"/>
                <w:bCs/>
                <w:color w:val="0000FF"/>
                <w:spacing w:val="4"/>
                <w:sz w:val="24"/>
              </w:rPr>
              <w:t xml:space="preserve"> 噪声源强及预测值一览表</w:t>
            </w:r>
          </w:p>
          <w:tbl>
            <w:tblPr>
              <w:tblStyle w:val="33"/>
              <w:tblW w:w="47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959"/>
              <w:gridCol w:w="917"/>
              <w:gridCol w:w="1044"/>
              <w:gridCol w:w="1061"/>
              <w:gridCol w:w="995"/>
              <w:gridCol w:w="93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blHeader/>
                <w:jc w:val="center"/>
              </w:trPr>
              <w:tc>
                <w:tcPr>
                  <w:tcW w:w="1332" w:type="dxa"/>
                  <w:vMerge w:val="restart"/>
                  <w:tcBorders>
                    <w:top w:val="single" w:color="auto" w:sz="12" w:space="0"/>
                    <w:left w:val="nil"/>
                  </w:tcBorders>
                  <w:vAlign w:val="center"/>
                </w:tcPr>
                <w:p>
                  <w:pPr>
                    <w:spacing w:line="340" w:lineRule="exact"/>
                    <w:jc w:val="center"/>
                    <w:rPr>
                      <w:color w:val="0000FF"/>
                      <w:sz w:val="21"/>
                      <w:szCs w:val="21"/>
                    </w:rPr>
                  </w:pPr>
                  <w:r>
                    <w:rPr>
                      <w:rFonts w:hint="eastAsia"/>
                      <w:color w:val="0000FF"/>
                      <w:sz w:val="21"/>
                      <w:szCs w:val="21"/>
                    </w:rPr>
                    <w:t>噪声源</w:t>
                  </w:r>
                </w:p>
              </w:tc>
              <w:tc>
                <w:tcPr>
                  <w:tcW w:w="960" w:type="dxa"/>
                  <w:vMerge w:val="restart"/>
                  <w:tcBorders>
                    <w:top w:val="single" w:color="auto" w:sz="12" w:space="0"/>
                  </w:tcBorders>
                  <w:vAlign w:val="center"/>
                </w:tcPr>
                <w:p>
                  <w:pPr>
                    <w:spacing w:line="340" w:lineRule="exact"/>
                    <w:jc w:val="center"/>
                    <w:rPr>
                      <w:color w:val="0000FF"/>
                      <w:sz w:val="21"/>
                      <w:szCs w:val="21"/>
                    </w:rPr>
                  </w:pPr>
                  <w:r>
                    <w:rPr>
                      <w:rFonts w:hint="eastAsia"/>
                      <w:color w:val="0000FF"/>
                      <w:sz w:val="21"/>
                      <w:szCs w:val="21"/>
                    </w:rPr>
                    <w:t>数量(台/套)</w:t>
                  </w:r>
                </w:p>
              </w:tc>
              <w:tc>
                <w:tcPr>
                  <w:tcW w:w="918" w:type="dxa"/>
                  <w:vMerge w:val="restart"/>
                  <w:tcBorders>
                    <w:top w:val="single" w:color="auto" w:sz="12" w:space="0"/>
                  </w:tcBorders>
                  <w:vAlign w:val="center"/>
                </w:tcPr>
                <w:p>
                  <w:pPr>
                    <w:spacing w:line="340" w:lineRule="exact"/>
                    <w:jc w:val="center"/>
                    <w:rPr>
                      <w:color w:val="0000FF"/>
                      <w:sz w:val="21"/>
                      <w:szCs w:val="21"/>
                    </w:rPr>
                  </w:pPr>
                  <w:r>
                    <w:rPr>
                      <w:rFonts w:hint="eastAsia"/>
                      <w:color w:val="0000FF"/>
                      <w:sz w:val="21"/>
                      <w:szCs w:val="21"/>
                    </w:rPr>
                    <w:t>单个设备</w:t>
                  </w:r>
                  <w:r>
                    <w:rPr>
                      <w:rFonts w:hint="eastAsia"/>
                      <w:color w:val="0000FF"/>
                      <w:sz w:val="21"/>
                      <w:szCs w:val="21"/>
                      <w:lang w:eastAsia="zh-CN"/>
                    </w:rPr>
                    <w:t>建筑物外</w:t>
                  </w:r>
                  <w:r>
                    <w:rPr>
                      <w:rFonts w:hint="eastAsia"/>
                      <w:color w:val="0000FF"/>
                      <w:sz w:val="21"/>
                      <w:szCs w:val="21"/>
                    </w:rPr>
                    <w:t>噪声级(dB)</w:t>
                  </w:r>
                </w:p>
              </w:tc>
              <w:tc>
                <w:tcPr>
                  <w:tcW w:w="1045" w:type="dxa"/>
                  <w:vMerge w:val="restart"/>
                  <w:tcBorders>
                    <w:top w:val="single" w:color="auto" w:sz="12" w:space="0"/>
                  </w:tcBorders>
                  <w:vAlign w:val="center"/>
                </w:tcPr>
                <w:p>
                  <w:pPr>
                    <w:spacing w:line="340" w:lineRule="exact"/>
                    <w:jc w:val="center"/>
                    <w:rPr>
                      <w:color w:val="0000FF"/>
                      <w:sz w:val="21"/>
                      <w:szCs w:val="21"/>
                    </w:rPr>
                  </w:pPr>
                  <w:r>
                    <w:rPr>
                      <w:rFonts w:hint="eastAsia"/>
                      <w:color w:val="0000FF"/>
                      <w:sz w:val="21"/>
                      <w:szCs w:val="21"/>
                      <w:lang w:eastAsia="zh-CN"/>
                    </w:rPr>
                    <w:t>建筑物外</w:t>
                  </w:r>
                  <w:r>
                    <w:rPr>
                      <w:rFonts w:hint="eastAsia"/>
                      <w:color w:val="0000FF"/>
                      <w:sz w:val="21"/>
                      <w:szCs w:val="21"/>
                    </w:rPr>
                    <w:t>合成噪声源强(dB)</w:t>
                  </w:r>
                </w:p>
              </w:tc>
              <w:tc>
                <w:tcPr>
                  <w:tcW w:w="1062" w:type="dxa"/>
                  <w:tcBorders>
                    <w:top w:val="single" w:color="auto" w:sz="12" w:space="0"/>
                    <w:bottom w:val="single" w:color="auto" w:sz="4" w:space="0"/>
                  </w:tcBorders>
                  <w:vAlign w:val="center"/>
                </w:tcPr>
                <w:p>
                  <w:pPr>
                    <w:spacing w:line="340" w:lineRule="exact"/>
                    <w:jc w:val="center"/>
                    <w:rPr>
                      <w:color w:val="0000FF"/>
                      <w:sz w:val="21"/>
                      <w:szCs w:val="21"/>
                    </w:rPr>
                  </w:pPr>
                  <w:r>
                    <w:rPr>
                      <w:rFonts w:hint="eastAsia"/>
                      <w:color w:val="0000FF"/>
                      <w:sz w:val="21"/>
                      <w:szCs w:val="21"/>
                    </w:rPr>
                    <w:t>厂界东</w:t>
                  </w:r>
                </w:p>
              </w:tc>
              <w:tc>
                <w:tcPr>
                  <w:tcW w:w="996" w:type="dxa"/>
                  <w:tcBorders>
                    <w:top w:val="single" w:color="auto" w:sz="12" w:space="0"/>
                    <w:bottom w:val="single" w:color="auto" w:sz="4" w:space="0"/>
                  </w:tcBorders>
                  <w:vAlign w:val="center"/>
                </w:tcPr>
                <w:p>
                  <w:pPr>
                    <w:spacing w:line="340" w:lineRule="exact"/>
                    <w:jc w:val="center"/>
                    <w:rPr>
                      <w:color w:val="0000FF"/>
                      <w:sz w:val="21"/>
                      <w:szCs w:val="21"/>
                    </w:rPr>
                  </w:pPr>
                  <w:r>
                    <w:rPr>
                      <w:rFonts w:hint="eastAsia"/>
                      <w:color w:val="0000FF"/>
                      <w:sz w:val="21"/>
                      <w:szCs w:val="21"/>
                    </w:rPr>
                    <w:t>厂界南</w:t>
                  </w:r>
                </w:p>
              </w:tc>
              <w:tc>
                <w:tcPr>
                  <w:tcW w:w="935" w:type="dxa"/>
                  <w:tcBorders>
                    <w:top w:val="single" w:color="auto" w:sz="12" w:space="0"/>
                    <w:bottom w:val="single" w:color="auto" w:sz="4" w:space="0"/>
                  </w:tcBorders>
                  <w:vAlign w:val="center"/>
                </w:tcPr>
                <w:p>
                  <w:pPr>
                    <w:spacing w:line="340" w:lineRule="exact"/>
                    <w:jc w:val="center"/>
                    <w:rPr>
                      <w:color w:val="0000FF"/>
                      <w:sz w:val="21"/>
                      <w:szCs w:val="21"/>
                    </w:rPr>
                  </w:pPr>
                  <w:r>
                    <w:rPr>
                      <w:rFonts w:hint="eastAsia"/>
                      <w:color w:val="0000FF"/>
                      <w:sz w:val="21"/>
                      <w:szCs w:val="21"/>
                    </w:rPr>
                    <w:t>厂界西</w:t>
                  </w:r>
                </w:p>
              </w:tc>
              <w:tc>
                <w:tcPr>
                  <w:tcW w:w="908" w:type="dxa"/>
                  <w:tcBorders>
                    <w:top w:val="single" w:color="auto" w:sz="12" w:space="0"/>
                    <w:bottom w:val="single" w:color="auto" w:sz="4" w:space="0"/>
                    <w:right w:val="nil"/>
                  </w:tcBorders>
                  <w:vAlign w:val="center"/>
                </w:tcPr>
                <w:p>
                  <w:pPr>
                    <w:spacing w:line="340" w:lineRule="exact"/>
                    <w:jc w:val="center"/>
                    <w:rPr>
                      <w:color w:val="0000FF"/>
                      <w:sz w:val="21"/>
                      <w:szCs w:val="21"/>
                    </w:rPr>
                  </w:pPr>
                  <w:r>
                    <w:rPr>
                      <w:rFonts w:hint="eastAsia"/>
                      <w:color w:val="0000FF"/>
                      <w:sz w:val="21"/>
                      <w:szCs w:val="21"/>
                    </w:rPr>
                    <w:t>厂界北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blHeader/>
                <w:jc w:val="center"/>
              </w:trPr>
              <w:tc>
                <w:tcPr>
                  <w:tcW w:w="1332" w:type="dxa"/>
                  <w:vMerge w:val="continue"/>
                  <w:tcBorders>
                    <w:left w:val="nil"/>
                    <w:bottom w:val="single" w:color="auto" w:sz="4" w:space="0"/>
                  </w:tcBorders>
                  <w:vAlign w:val="center"/>
                </w:tcPr>
                <w:p>
                  <w:pPr>
                    <w:spacing w:line="340" w:lineRule="exact"/>
                    <w:jc w:val="center"/>
                    <w:rPr>
                      <w:color w:val="0000FF"/>
                      <w:sz w:val="21"/>
                      <w:szCs w:val="21"/>
                    </w:rPr>
                  </w:pPr>
                </w:p>
              </w:tc>
              <w:tc>
                <w:tcPr>
                  <w:tcW w:w="960" w:type="dxa"/>
                  <w:vMerge w:val="continue"/>
                  <w:tcBorders>
                    <w:bottom w:val="single" w:color="auto" w:sz="4" w:space="0"/>
                  </w:tcBorders>
                  <w:vAlign w:val="center"/>
                </w:tcPr>
                <w:p>
                  <w:pPr>
                    <w:spacing w:line="340" w:lineRule="exact"/>
                    <w:jc w:val="center"/>
                    <w:rPr>
                      <w:color w:val="0000FF"/>
                      <w:sz w:val="21"/>
                      <w:szCs w:val="21"/>
                    </w:rPr>
                  </w:pPr>
                </w:p>
              </w:tc>
              <w:tc>
                <w:tcPr>
                  <w:tcW w:w="918" w:type="dxa"/>
                  <w:vMerge w:val="continue"/>
                  <w:tcBorders>
                    <w:bottom w:val="single" w:color="auto" w:sz="4" w:space="0"/>
                  </w:tcBorders>
                  <w:vAlign w:val="center"/>
                </w:tcPr>
                <w:p>
                  <w:pPr>
                    <w:spacing w:line="340" w:lineRule="exact"/>
                    <w:jc w:val="center"/>
                    <w:rPr>
                      <w:color w:val="0000FF"/>
                      <w:sz w:val="21"/>
                      <w:szCs w:val="21"/>
                    </w:rPr>
                  </w:pPr>
                </w:p>
              </w:tc>
              <w:tc>
                <w:tcPr>
                  <w:tcW w:w="1045" w:type="dxa"/>
                  <w:vMerge w:val="continue"/>
                  <w:tcBorders>
                    <w:bottom w:val="single" w:color="auto" w:sz="4" w:space="0"/>
                  </w:tcBorders>
                  <w:vAlign w:val="center"/>
                </w:tcPr>
                <w:p>
                  <w:pPr>
                    <w:spacing w:line="340" w:lineRule="exact"/>
                    <w:jc w:val="center"/>
                    <w:rPr>
                      <w:color w:val="0000FF"/>
                      <w:sz w:val="21"/>
                      <w:szCs w:val="21"/>
                    </w:rPr>
                  </w:pPr>
                </w:p>
              </w:tc>
              <w:tc>
                <w:tcPr>
                  <w:tcW w:w="1062" w:type="dxa"/>
                  <w:tcBorders>
                    <w:top w:val="single" w:color="auto" w:sz="4" w:space="0"/>
                    <w:bottom w:val="single" w:color="auto" w:sz="4" w:space="0"/>
                  </w:tcBorders>
                  <w:vAlign w:val="center"/>
                </w:tcPr>
                <w:p>
                  <w:pPr>
                    <w:spacing w:line="340" w:lineRule="exact"/>
                    <w:jc w:val="center"/>
                    <w:rPr>
                      <w:color w:val="0000FF"/>
                      <w:sz w:val="21"/>
                      <w:szCs w:val="21"/>
                    </w:rPr>
                  </w:pPr>
                  <w:r>
                    <w:rPr>
                      <w:rFonts w:hint="eastAsia"/>
                      <w:color w:val="0000FF"/>
                      <w:sz w:val="21"/>
                      <w:szCs w:val="21"/>
                    </w:rPr>
                    <w:t>噪声预</w:t>
                  </w:r>
                </w:p>
                <w:p>
                  <w:pPr>
                    <w:spacing w:line="340" w:lineRule="exact"/>
                    <w:jc w:val="center"/>
                    <w:rPr>
                      <w:color w:val="0000FF"/>
                      <w:sz w:val="21"/>
                      <w:szCs w:val="21"/>
                    </w:rPr>
                  </w:pPr>
                  <w:r>
                    <w:rPr>
                      <w:rFonts w:hint="eastAsia"/>
                      <w:color w:val="0000FF"/>
                      <w:sz w:val="21"/>
                      <w:szCs w:val="21"/>
                    </w:rPr>
                    <w:t>测值(dB)</w:t>
                  </w:r>
                </w:p>
              </w:tc>
              <w:tc>
                <w:tcPr>
                  <w:tcW w:w="996" w:type="dxa"/>
                  <w:tcBorders>
                    <w:top w:val="nil"/>
                    <w:bottom w:val="single" w:color="auto" w:sz="4" w:space="0"/>
                  </w:tcBorders>
                  <w:vAlign w:val="center"/>
                </w:tcPr>
                <w:p>
                  <w:pPr>
                    <w:spacing w:line="340" w:lineRule="exact"/>
                    <w:jc w:val="center"/>
                    <w:rPr>
                      <w:color w:val="0000FF"/>
                      <w:sz w:val="21"/>
                      <w:szCs w:val="21"/>
                    </w:rPr>
                  </w:pPr>
                  <w:r>
                    <w:rPr>
                      <w:rFonts w:hint="eastAsia"/>
                      <w:color w:val="0000FF"/>
                      <w:sz w:val="21"/>
                      <w:szCs w:val="21"/>
                    </w:rPr>
                    <w:t>噪声预</w:t>
                  </w:r>
                </w:p>
                <w:p>
                  <w:pPr>
                    <w:spacing w:line="340" w:lineRule="exact"/>
                    <w:jc w:val="center"/>
                    <w:rPr>
                      <w:color w:val="0000FF"/>
                      <w:sz w:val="21"/>
                      <w:szCs w:val="21"/>
                    </w:rPr>
                  </w:pPr>
                  <w:r>
                    <w:rPr>
                      <w:rFonts w:hint="eastAsia"/>
                      <w:color w:val="0000FF"/>
                      <w:sz w:val="21"/>
                      <w:szCs w:val="21"/>
                    </w:rPr>
                    <w:t>测值(dB)</w:t>
                  </w:r>
                </w:p>
              </w:tc>
              <w:tc>
                <w:tcPr>
                  <w:tcW w:w="935" w:type="dxa"/>
                  <w:tcBorders>
                    <w:top w:val="nil"/>
                    <w:bottom w:val="single" w:color="auto" w:sz="4" w:space="0"/>
                  </w:tcBorders>
                  <w:vAlign w:val="center"/>
                </w:tcPr>
                <w:p>
                  <w:pPr>
                    <w:spacing w:line="340" w:lineRule="exact"/>
                    <w:jc w:val="center"/>
                    <w:rPr>
                      <w:color w:val="0000FF"/>
                      <w:sz w:val="21"/>
                      <w:szCs w:val="21"/>
                    </w:rPr>
                  </w:pPr>
                  <w:r>
                    <w:rPr>
                      <w:rFonts w:hint="eastAsia"/>
                      <w:color w:val="0000FF"/>
                      <w:sz w:val="21"/>
                      <w:szCs w:val="21"/>
                    </w:rPr>
                    <w:t>噪声预</w:t>
                  </w:r>
                </w:p>
                <w:p>
                  <w:pPr>
                    <w:spacing w:line="340" w:lineRule="exact"/>
                    <w:jc w:val="center"/>
                    <w:rPr>
                      <w:color w:val="0000FF"/>
                      <w:sz w:val="21"/>
                      <w:szCs w:val="21"/>
                    </w:rPr>
                  </w:pPr>
                  <w:r>
                    <w:rPr>
                      <w:rFonts w:hint="eastAsia"/>
                      <w:color w:val="0000FF"/>
                      <w:sz w:val="21"/>
                      <w:szCs w:val="21"/>
                    </w:rPr>
                    <w:t>测值(dB)</w:t>
                  </w:r>
                </w:p>
              </w:tc>
              <w:tc>
                <w:tcPr>
                  <w:tcW w:w="908" w:type="dxa"/>
                  <w:tcBorders>
                    <w:top w:val="nil"/>
                    <w:bottom w:val="single" w:color="auto" w:sz="4" w:space="0"/>
                    <w:right w:val="nil"/>
                  </w:tcBorders>
                  <w:vAlign w:val="center"/>
                </w:tcPr>
                <w:p>
                  <w:pPr>
                    <w:spacing w:line="340" w:lineRule="exact"/>
                    <w:jc w:val="center"/>
                    <w:rPr>
                      <w:color w:val="0000FF"/>
                      <w:sz w:val="21"/>
                      <w:szCs w:val="21"/>
                    </w:rPr>
                  </w:pPr>
                  <w:r>
                    <w:rPr>
                      <w:rFonts w:hint="eastAsia"/>
                      <w:color w:val="0000FF"/>
                      <w:sz w:val="21"/>
                      <w:szCs w:val="21"/>
                    </w:rPr>
                    <w:t>噪声预</w:t>
                  </w:r>
                </w:p>
                <w:p>
                  <w:pPr>
                    <w:spacing w:line="340" w:lineRule="exact"/>
                    <w:jc w:val="center"/>
                    <w:rPr>
                      <w:color w:val="0000FF"/>
                      <w:sz w:val="21"/>
                      <w:szCs w:val="21"/>
                    </w:rPr>
                  </w:pPr>
                  <w:r>
                    <w:rPr>
                      <w:rFonts w:hint="eastAsia"/>
                      <w:color w:val="0000FF"/>
                      <w:sz w:val="21"/>
                      <w:szCs w:val="21"/>
                    </w:rPr>
                    <w:t>测值(dB)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锯台</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5</w:t>
                  </w:r>
                </w:p>
              </w:tc>
              <w:tc>
                <w:tcPr>
                  <w:tcW w:w="918" w:type="dxa"/>
                  <w:tcBorders>
                    <w:top w:val="single" w:color="auto" w:sz="4" w:space="0"/>
                  </w:tcBorders>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5</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12</w:t>
                  </w:r>
                </w:p>
              </w:tc>
              <w:tc>
                <w:tcPr>
                  <w:tcW w:w="1062"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r>
                    <w:rPr>
                      <w:rFonts w:hint="eastAsia"/>
                      <w:color w:val="0000FF"/>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拉机</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10</w:t>
                  </w:r>
                </w:p>
              </w:tc>
              <w:tc>
                <w:tcPr>
                  <w:tcW w:w="918" w:type="dxa"/>
                  <w:tcBorders>
                    <w:top w:val="single" w:color="auto" w:sz="4" w:space="0"/>
                  </w:tcBorders>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7.1</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17.1</w:t>
                  </w:r>
                </w:p>
              </w:tc>
              <w:tc>
                <w:tcPr>
                  <w:tcW w:w="1062"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color w:val="0000FF"/>
                      <w:sz w:val="21"/>
                      <w:szCs w:val="21"/>
                    </w:rPr>
                    <w:t>UV</w:t>
                  </w:r>
                  <w:r>
                    <w:rPr>
                      <w:rFonts w:hint="eastAsia"/>
                      <w:color w:val="0000FF"/>
                      <w:sz w:val="21"/>
                      <w:szCs w:val="21"/>
                    </w:rPr>
                    <w:t>滚涂机</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2</w:t>
                  </w:r>
                </w:p>
              </w:tc>
              <w:tc>
                <w:tcPr>
                  <w:tcW w:w="918" w:type="dxa"/>
                  <w:tcBorders>
                    <w:top w:val="single" w:color="auto" w:sz="4" w:space="0"/>
                  </w:tcBorders>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104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1062"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r>
                    <w:rPr>
                      <w:rFonts w:hint="eastAsia"/>
                      <w:color w:val="0000FF"/>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钻机</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5</w:t>
                  </w:r>
                </w:p>
              </w:tc>
              <w:tc>
                <w:tcPr>
                  <w:tcW w:w="918" w:type="dxa"/>
                  <w:tcBorders>
                    <w:top w:val="single" w:color="auto" w:sz="4" w:space="0"/>
                  </w:tcBorders>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5.7</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12.7</w:t>
                  </w:r>
                </w:p>
              </w:tc>
              <w:tc>
                <w:tcPr>
                  <w:tcW w:w="1062"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雕刻机</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1</w:t>
                  </w:r>
                </w:p>
              </w:tc>
              <w:tc>
                <w:tcPr>
                  <w:tcW w:w="918" w:type="dxa"/>
                  <w:tcBorders>
                    <w:top w:val="single" w:color="auto" w:sz="4" w:space="0"/>
                  </w:tcBorders>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4.9</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4.9</w:t>
                  </w:r>
                </w:p>
              </w:tc>
              <w:tc>
                <w:tcPr>
                  <w:tcW w:w="1062"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砂光机</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1</w:t>
                  </w:r>
                </w:p>
              </w:tc>
              <w:tc>
                <w:tcPr>
                  <w:tcW w:w="918" w:type="dxa"/>
                  <w:tcBorders>
                    <w:top w:val="single" w:color="auto" w:sz="4" w:space="0"/>
                  </w:tcBorders>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104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1062"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r>
                    <w:rPr>
                      <w:rFonts w:hint="eastAsia"/>
                      <w:color w:val="0000FF"/>
                      <w:sz w:val="21"/>
                      <w:szCs w:val="21"/>
                    </w:rPr>
                    <w:t xml:space="preserve"> </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压机</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3</w:t>
                  </w:r>
                </w:p>
              </w:tc>
              <w:tc>
                <w:tcPr>
                  <w:tcW w:w="918" w:type="dxa"/>
                  <w:tcBorders>
                    <w:top w:val="single" w:color="auto" w:sz="4" w:space="0"/>
                  </w:tcBorders>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5.7</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10.5</w:t>
                  </w:r>
                </w:p>
              </w:tc>
              <w:tc>
                <w:tcPr>
                  <w:tcW w:w="1062"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r>
                    <w:rPr>
                      <w:rFonts w:hint="eastAsia"/>
                      <w:color w:val="0000FF"/>
                      <w:sz w:val="21"/>
                      <w:szCs w:val="21"/>
                    </w:rPr>
                    <w:t xml:space="preserve"> </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rFonts w:hint="eastAsia" w:eastAsia="宋体"/>
                      <w:color w:val="0000FF"/>
                      <w:sz w:val="21"/>
                      <w:szCs w:val="21"/>
                      <w:lang w:eastAsia="zh-CN"/>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color w:val="0000FF"/>
                      <w:sz w:val="21"/>
                      <w:szCs w:val="21"/>
                    </w:rPr>
                  </w:pPr>
                  <w:r>
                    <w:rPr>
                      <w:rFonts w:hint="eastAsia"/>
                      <w:color w:val="0000FF"/>
                      <w:sz w:val="21"/>
                      <w:szCs w:val="21"/>
                    </w:rPr>
                    <w:t>喷枪</w:t>
                  </w:r>
                </w:p>
              </w:tc>
              <w:tc>
                <w:tcPr>
                  <w:tcW w:w="960" w:type="dxa"/>
                  <w:tcBorders>
                    <w:top w:val="single" w:color="auto" w:sz="4" w:space="0"/>
                  </w:tcBorders>
                </w:tcPr>
                <w:p>
                  <w:pPr>
                    <w:spacing w:line="340" w:lineRule="exact"/>
                    <w:jc w:val="center"/>
                    <w:rPr>
                      <w:color w:val="0000FF"/>
                      <w:sz w:val="21"/>
                      <w:szCs w:val="21"/>
                    </w:rPr>
                  </w:pPr>
                  <w:r>
                    <w:rPr>
                      <w:color w:val="0000FF"/>
                      <w:sz w:val="21"/>
                      <w:szCs w:val="21"/>
                    </w:rPr>
                    <w:t>3</w:t>
                  </w:r>
                </w:p>
              </w:tc>
              <w:tc>
                <w:tcPr>
                  <w:tcW w:w="918" w:type="dxa"/>
                  <w:tcBorders>
                    <w:top w:val="single" w:color="auto" w:sz="4" w:space="0"/>
                  </w:tcBorders>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1.7</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6.5</w:t>
                  </w:r>
                </w:p>
              </w:tc>
              <w:tc>
                <w:tcPr>
                  <w:tcW w:w="1062"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r>
                    <w:rPr>
                      <w:rFonts w:hint="eastAsia"/>
                      <w:color w:val="0000FF"/>
                      <w:sz w:val="21"/>
                      <w:szCs w:val="21"/>
                    </w:rPr>
                    <w:t xml:space="preserve"> </w:t>
                  </w:r>
                </w:p>
              </w:tc>
              <w:tc>
                <w:tcPr>
                  <w:tcW w:w="996"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35" w:type="dxa"/>
                  <w:tcBorders>
                    <w:top w:val="single" w:color="auto" w:sz="4" w:space="0"/>
                  </w:tcBorders>
                  <w:vAlign w:val="center"/>
                </w:tcPr>
                <w:p>
                  <w:pPr>
                    <w:spacing w:line="340" w:lineRule="exact"/>
                    <w:jc w:val="center"/>
                    <w:rPr>
                      <w:color w:val="0000FF"/>
                      <w:sz w:val="21"/>
                      <w:szCs w:val="21"/>
                    </w:rPr>
                  </w:pPr>
                  <w:r>
                    <w:rPr>
                      <w:rFonts w:hint="eastAsia"/>
                      <w:color w:val="0000FF"/>
                      <w:sz w:val="21"/>
                      <w:szCs w:val="21"/>
                      <w:lang w:val="en-US" w:eastAsia="zh-CN"/>
                    </w:rPr>
                    <w:t>0</w:t>
                  </w:r>
                </w:p>
              </w:tc>
              <w:tc>
                <w:tcPr>
                  <w:tcW w:w="908" w:type="dxa"/>
                  <w:tcBorders>
                    <w:top w:val="single" w:color="auto" w:sz="4" w:space="0"/>
                    <w:right w:val="nil"/>
                  </w:tcBorders>
                  <w:vAlign w:val="center"/>
                </w:tcPr>
                <w:p>
                  <w:pPr>
                    <w:spacing w:line="340" w:lineRule="exact"/>
                    <w:jc w:val="center"/>
                    <w:rPr>
                      <w:color w:val="0000FF"/>
                      <w:sz w:val="21"/>
                      <w:szCs w:val="21"/>
                    </w:rPr>
                  </w:pPr>
                  <w:r>
                    <w:rPr>
                      <w:rFonts w:hint="eastAsia"/>
                      <w:color w:val="0000FF"/>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332" w:type="dxa"/>
                  <w:tcBorders>
                    <w:top w:val="single" w:color="auto" w:sz="4" w:space="0"/>
                    <w:left w:val="nil"/>
                  </w:tcBorders>
                </w:tcPr>
                <w:p>
                  <w:pPr>
                    <w:spacing w:line="340" w:lineRule="exact"/>
                    <w:jc w:val="center"/>
                    <w:rPr>
                      <w:rFonts w:hint="eastAsia" w:eastAsia="宋体"/>
                      <w:color w:val="0000FF"/>
                      <w:sz w:val="21"/>
                      <w:szCs w:val="21"/>
                      <w:lang w:eastAsia="zh-CN"/>
                    </w:rPr>
                  </w:pPr>
                  <w:r>
                    <w:rPr>
                      <w:rFonts w:hint="eastAsia"/>
                      <w:color w:val="0000FF"/>
                      <w:sz w:val="21"/>
                      <w:szCs w:val="21"/>
                      <w:lang w:eastAsia="zh-CN"/>
                    </w:rPr>
                    <w:t>风机</w:t>
                  </w:r>
                </w:p>
              </w:tc>
              <w:tc>
                <w:tcPr>
                  <w:tcW w:w="960" w:type="dxa"/>
                  <w:tcBorders>
                    <w:top w:val="single" w:color="auto" w:sz="4" w:space="0"/>
                  </w:tcBorders>
                </w:tcPr>
                <w:p>
                  <w:pPr>
                    <w:spacing w:line="340" w:lineRule="exact"/>
                    <w:jc w:val="center"/>
                    <w:rPr>
                      <w:rFonts w:hint="eastAsia" w:eastAsia="宋体"/>
                      <w:color w:val="0000FF"/>
                      <w:sz w:val="21"/>
                      <w:szCs w:val="21"/>
                      <w:lang w:val="en-US" w:eastAsia="zh-CN"/>
                    </w:rPr>
                  </w:pPr>
                  <w:r>
                    <w:rPr>
                      <w:rFonts w:hint="eastAsia"/>
                      <w:color w:val="0000FF"/>
                      <w:sz w:val="21"/>
                      <w:szCs w:val="21"/>
                      <w:lang w:val="en-US" w:eastAsia="zh-CN"/>
                    </w:rPr>
                    <w:t>5</w:t>
                  </w:r>
                </w:p>
              </w:tc>
              <w:tc>
                <w:tcPr>
                  <w:tcW w:w="918" w:type="dxa"/>
                  <w:tcBorders>
                    <w:top w:val="single" w:color="auto" w:sz="4" w:space="0"/>
                  </w:tcBorders>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65</w:t>
                  </w:r>
                </w:p>
              </w:tc>
              <w:tc>
                <w:tcPr>
                  <w:tcW w:w="104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72</w:t>
                  </w:r>
                </w:p>
              </w:tc>
              <w:tc>
                <w:tcPr>
                  <w:tcW w:w="1062"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41.9</w:t>
                  </w:r>
                </w:p>
              </w:tc>
              <w:tc>
                <w:tcPr>
                  <w:tcW w:w="996"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40.9</w:t>
                  </w:r>
                </w:p>
              </w:tc>
              <w:tc>
                <w:tcPr>
                  <w:tcW w:w="935" w:type="dxa"/>
                  <w:tcBorders>
                    <w:top w:val="single" w:color="auto" w:sz="4" w:space="0"/>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44.8</w:t>
                  </w:r>
                </w:p>
              </w:tc>
              <w:tc>
                <w:tcPr>
                  <w:tcW w:w="908" w:type="dxa"/>
                  <w:tcBorders>
                    <w:top w:val="single" w:color="auto" w:sz="4" w:space="0"/>
                    <w:right w:val="nil"/>
                  </w:tcBorders>
                  <w:vAlign w:val="center"/>
                </w:tcPr>
                <w:p>
                  <w:pPr>
                    <w:spacing w:line="340" w:lineRule="exact"/>
                    <w:jc w:val="center"/>
                    <w:rPr>
                      <w:rFonts w:hint="default" w:eastAsia="宋体"/>
                      <w:color w:val="0000FF"/>
                      <w:sz w:val="21"/>
                      <w:szCs w:val="21"/>
                      <w:lang w:val="en-US" w:eastAsia="zh-CN"/>
                    </w:rPr>
                  </w:pPr>
                  <w:r>
                    <w:rPr>
                      <w:rFonts w:hint="eastAsia"/>
                      <w:color w:val="0000FF"/>
                      <w:sz w:val="21"/>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4255" w:type="dxa"/>
                  <w:gridSpan w:val="4"/>
                  <w:tcBorders>
                    <w:top w:val="single" w:color="auto" w:sz="4" w:space="0"/>
                    <w:left w:val="nil"/>
                  </w:tcBorders>
                  <w:vAlign w:val="center"/>
                </w:tcPr>
                <w:p>
                  <w:pPr>
                    <w:spacing w:line="340" w:lineRule="exact"/>
                    <w:jc w:val="center"/>
                    <w:rPr>
                      <w:color w:val="0000FF"/>
                      <w:sz w:val="21"/>
                      <w:szCs w:val="21"/>
                    </w:rPr>
                  </w:pPr>
                  <w:r>
                    <w:rPr>
                      <w:color w:val="0000FF"/>
                      <w:sz w:val="21"/>
                      <w:szCs w:val="21"/>
                    </w:rPr>
                    <w:t>贡献累积值dB(A)</w:t>
                  </w:r>
                </w:p>
              </w:tc>
              <w:tc>
                <w:tcPr>
                  <w:tcW w:w="1062" w:type="dxa"/>
                  <w:tcBorders>
                    <w:top w:val="single" w:color="auto" w:sz="4" w:space="0"/>
                  </w:tcBorders>
                  <w:vAlign w:val="center"/>
                </w:tcPr>
                <w:p>
                  <w:pPr>
                    <w:spacing w:line="340" w:lineRule="exact"/>
                    <w:jc w:val="center"/>
                    <w:rPr>
                      <w:rFonts w:hint="default" w:eastAsia="宋体"/>
                      <w:color w:val="0000FF"/>
                      <w:kern w:val="0"/>
                      <w:sz w:val="21"/>
                      <w:szCs w:val="21"/>
                      <w:lang w:val="en-US" w:eastAsia="zh-CN" w:bidi="ar"/>
                    </w:rPr>
                  </w:pPr>
                  <w:r>
                    <w:rPr>
                      <w:rFonts w:hint="eastAsia"/>
                      <w:color w:val="0000FF"/>
                      <w:sz w:val="21"/>
                      <w:szCs w:val="21"/>
                      <w:lang w:val="en-US" w:eastAsia="zh-CN"/>
                    </w:rPr>
                    <w:t>41.9</w:t>
                  </w:r>
                </w:p>
              </w:tc>
              <w:tc>
                <w:tcPr>
                  <w:tcW w:w="996" w:type="dxa"/>
                  <w:tcBorders>
                    <w:top w:val="single" w:color="auto" w:sz="4" w:space="0"/>
                  </w:tcBorders>
                  <w:vAlign w:val="center"/>
                </w:tcPr>
                <w:p>
                  <w:pPr>
                    <w:spacing w:line="340" w:lineRule="exact"/>
                    <w:jc w:val="center"/>
                    <w:rPr>
                      <w:rFonts w:hint="default" w:eastAsia="宋体"/>
                      <w:color w:val="0000FF"/>
                      <w:kern w:val="0"/>
                      <w:sz w:val="21"/>
                      <w:szCs w:val="21"/>
                      <w:lang w:val="en-US" w:eastAsia="zh-CN" w:bidi="ar"/>
                    </w:rPr>
                  </w:pPr>
                  <w:r>
                    <w:rPr>
                      <w:rFonts w:hint="eastAsia"/>
                      <w:color w:val="0000FF"/>
                      <w:sz w:val="21"/>
                      <w:szCs w:val="21"/>
                      <w:lang w:val="en-US" w:eastAsia="zh-CN"/>
                    </w:rPr>
                    <w:t>40.9</w:t>
                  </w:r>
                </w:p>
              </w:tc>
              <w:tc>
                <w:tcPr>
                  <w:tcW w:w="935" w:type="dxa"/>
                  <w:tcBorders>
                    <w:top w:val="single" w:color="auto" w:sz="4" w:space="0"/>
                  </w:tcBorders>
                  <w:vAlign w:val="center"/>
                </w:tcPr>
                <w:p>
                  <w:pPr>
                    <w:spacing w:line="340" w:lineRule="exact"/>
                    <w:jc w:val="center"/>
                    <w:rPr>
                      <w:rFonts w:hint="default" w:eastAsia="宋体"/>
                      <w:color w:val="0000FF"/>
                      <w:kern w:val="0"/>
                      <w:sz w:val="21"/>
                      <w:szCs w:val="21"/>
                      <w:lang w:val="en-US" w:eastAsia="zh-CN" w:bidi="ar"/>
                    </w:rPr>
                  </w:pPr>
                  <w:r>
                    <w:rPr>
                      <w:rFonts w:hint="eastAsia"/>
                      <w:color w:val="0000FF"/>
                      <w:sz w:val="21"/>
                      <w:szCs w:val="21"/>
                      <w:lang w:val="en-US" w:eastAsia="zh-CN"/>
                    </w:rPr>
                    <w:t>44.8</w:t>
                  </w:r>
                </w:p>
              </w:tc>
              <w:tc>
                <w:tcPr>
                  <w:tcW w:w="908" w:type="dxa"/>
                  <w:tcBorders>
                    <w:top w:val="single" w:color="auto" w:sz="4" w:space="0"/>
                    <w:right w:val="nil"/>
                  </w:tcBorders>
                  <w:vAlign w:val="center"/>
                </w:tcPr>
                <w:p>
                  <w:pPr>
                    <w:spacing w:line="340" w:lineRule="exact"/>
                    <w:jc w:val="center"/>
                    <w:rPr>
                      <w:color w:val="0000FF"/>
                      <w:kern w:val="0"/>
                      <w:sz w:val="21"/>
                      <w:szCs w:val="21"/>
                      <w:lang w:bidi="ar"/>
                    </w:rPr>
                  </w:pPr>
                  <w:r>
                    <w:rPr>
                      <w:rFonts w:hint="eastAsia"/>
                      <w:color w:val="0000FF"/>
                      <w:sz w:val="21"/>
                      <w:szCs w:val="21"/>
                      <w:lang w:val="en-US" w:eastAsia="zh-CN"/>
                    </w:rPr>
                    <w:t>52</w:t>
                  </w:r>
                </w:p>
              </w:tc>
            </w:tr>
          </w:tbl>
          <w:p>
            <w:pPr>
              <w:adjustRightInd w:val="0"/>
              <w:snapToGrid w:val="0"/>
              <w:spacing w:line="360" w:lineRule="auto"/>
              <w:ind w:firstLine="480" w:firstLineChars="200"/>
              <w:jc w:val="left"/>
              <w:rPr>
                <w:rFonts w:hint="eastAsia"/>
                <w:color w:val="000000"/>
                <w:kern w:val="0"/>
                <w:sz w:val="24"/>
                <w:lang w:val="zh-CN"/>
              </w:rPr>
            </w:pPr>
            <w:r>
              <w:rPr>
                <w:bCs/>
                <w:color w:val="000000"/>
                <w:sz w:val="24"/>
              </w:rPr>
              <w:t>由</w:t>
            </w:r>
            <w:r>
              <w:rPr>
                <w:rFonts w:hint="eastAsia"/>
                <w:bCs/>
                <w:color w:val="000000"/>
                <w:sz w:val="24"/>
              </w:rPr>
              <w:t>上表</w:t>
            </w:r>
            <w:r>
              <w:rPr>
                <w:bCs/>
                <w:color w:val="000000"/>
                <w:sz w:val="24"/>
              </w:rPr>
              <w:t>可知，本项目营运期设备正常运转状态下，各噪声源经建筑物隔声和距离衰减后，</w:t>
            </w:r>
            <w:r>
              <w:rPr>
                <w:rFonts w:hint="eastAsia"/>
                <w:bCs/>
                <w:color w:val="000000"/>
                <w:sz w:val="24"/>
              </w:rPr>
              <w:t>厂界噪声</w:t>
            </w:r>
            <w:r>
              <w:rPr>
                <w:bCs/>
                <w:color w:val="000000"/>
                <w:sz w:val="24"/>
              </w:rPr>
              <w:t>满足</w:t>
            </w:r>
            <w:r>
              <w:rPr>
                <w:color w:val="000000"/>
                <w:sz w:val="24"/>
              </w:rPr>
              <w:t>《工业企业厂界环境噪声排放标准》（GB12348-2008）中</w:t>
            </w:r>
            <w:r>
              <w:rPr>
                <w:rFonts w:hint="eastAsia"/>
                <w:color w:val="000000"/>
                <w:sz w:val="24"/>
              </w:rPr>
              <w:t>3</w:t>
            </w:r>
            <w:r>
              <w:rPr>
                <w:color w:val="000000"/>
                <w:sz w:val="24"/>
              </w:rPr>
              <w:t>类标准</w:t>
            </w:r>
            <w:r>
              <w:rPr>
                <w:rFonts w:hint="eastAsia"/>
                <w:color w:val="000000"/>
                <w:kern w:val="0"/>
                <w:sz w:val="24"/>
                <w:lang w:val="zh-CN"/>
              </w:rPr>
              <w:t>。</w:t>
            </w:r>
          </w:p>
          <w:p>
            <w:pPr>
              <w:adjustRightInd w:val="0"/>
              <w:snapToGrid w:val="0"/>
              <w:spacing w:line="360" w:lineRule="auto"/>
              <w:ind w:firstLine="480" w:firstLineChars="200"/>
              <w:jc w:val="left"/>
              <w:rPr>
                <w:sz w:val="24"/>
              </w:rPr>
            </w:pPr>
            <w:r>
              <w:rPr>
                <w:sz w:val="24"/>
              </w:rPr>
              <w:t>⑶监测计划</w:t>
            </w:r>
          </w:p>
          <w:p>
            <w:pPr>
              <w:adjustRightInd w:val="0"/>
              <w:snapToGrid w:val="0"/>
              <w:spacing w:line="360" w:lineRule="auto"/>
              <w:ind w:firstLine="480" w:firstLineChars="200"/>
              <w:rPr>
                <w:sz w:val="24"/>
              </w:rPr>
            </w:pPr>
            <w:r>
              <w:rPr>
                <w:sz w:val="24"/>
              </w:rPr>
              <w:t>根据《排污单位自行监测技术指南 总则》（HJ819-2017），制定本项目厂界噪声监测计划如下：</w:t>
            </w:r>
          </w:p>
          <w:p>
            <w:pPr>
              <w:autoSpaceDN w:val="0"/>
              <w:spacing w:before="120" w:beforeLines="50"/>
              <w:ind w:firstLine="482"/>
              <w:jc w:val="center"/>
              <w:rPr>
                <w:rFonts w:eastAsia="黑体"/>
                <w:bCs/>
                <w:spacing w:val="4"/>
                <w:sz w:val="24"/>
              </w:rPr>
            </w:pPr>
            <w:r>
              <w:rPr>
                <w:rFonts w:eastAsia="黑体"/>
                <w:bCs/>
                <w:spacing w:val="4"/>
                <w:sz w:val="24"/>
              </w:rPr>
              <w:t>表4-</w:t>
            </w:r>
            <w:r>
              <w:rPr>
                <w:rFonts w:hint="eastAsia" w:eastAsia="黑体"/>
                <w:bCs/>
                <w:spacing w:val="4"/>
                <w:sz w:val="24"/>
                <w:lang w:val="en-US" w:eastAsia="zh-CN"/>
              </w:rPr>
              <w:t>29</w:t>
            </w:r>
            <w:r>
              <w:rPr>
                <w:rFonts w:eastAsia="黑体"/>
                <w:bCs/>
                <w:spacing w:val="4"/>
                <w:sz w:val="24"/>
              </w:rPr>
              <w:t xml:space="preserve">  厂界噪声监测计划</w:t>
            </w:r>
          </w:p>
          <w:tbl>
            <w:tblPr>
              <w:tblStyle w:val="33"/>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653"/>
              <w:gridCol w:w="1736"/>
              <w:gridCol w:w="2205"/>
              <w:gridCol w:w="290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2" w:type="pct"/>
                  <w:tcMar>
                    <w:top w:w="0" w:type="dxa"/>
                    <w:left w:w="108" w:type="dxa"/>
                    <w:bottom w:w="0" w:type="dxa"/>
                    <w:right w:w="108" w:type="dxa"/>
                  </w:tcMar>
                  <w:vAlign w:val="center"/>
                </w:tcPr>
                <w:p>
                  <w:pPr>
                    <w:autoSpaceDN w:val="0"/>
                    <w:spacing w:line="340" w:lineRule="exact"/>
                    <w:jc w:val="center"/>
                    <w:rPr>
                      <w:bCs/>
                      <w:sz w:val="24"/>
                    </w:rPr>
                  </w:pPr>
                  <w:r>
                    <w:rPr>
                      <w:bCs/>
                    </w:rPr>
                    <w:t>类别</w:t>
                  </w:r>
                </w:p>
              </w:tc>
              <w:tc>
                <w:tcPr>
                  <w:tcW w:w="1021" w:type="pct"/>
                  <w:tcMar>
                    <w:top w:w="0" w:type="dxa"/>
                    <w:left w:w="108" w:type="dxa"/>
                    <w:bottom w:w="0" w:type="dxa"/>
                    <w:right w:w="108" w:type="dxa"/>
                  </w:tcMar>
                  <w:vAlign w:val="center"/>
                </w:tcPr>
                <w:p>
                  <w:pPr>
                    <w:autoSpaceDN w:val="0"/>
                    <w:spacing w:line="340" w:lineRule="exact"/>
                    <w:jc w:val="center"/>
                    <w:rPr>
                      <w:bCs/>
                      <w:sz w:val="24"/>
                    </w:rPr>
                  </w:pPr>
                  <w:r>
                    <w:rPr>
                      <w:bCs/>
                    </w:rPr>
                    <w:t>监测点位</w:t>
                  </w:r>
                </w:p>
              </w:tc>
              <w:tc>
                <w:tcPr>
                  <w:tcW w:w="1297" w:type="pct"/>
                  <w:tcMar>
                    <w:top w:w="0" w:type="dxa"/>
                    <w:left w:w="108" w:type="dxa"/>
                    <w:bottom w:w="0" w:type="dxa"/>
                    <w:right w:w="108" w:type="dxa"/>
                  </w:tcMar>
                  <w:vAlign w:val="center"/>
                </w:tcPr>
                <w:p>
                  <w:pPr>
                    <w:autoSpaceDN w:val="0"/>
                    <w:spacing w:line="340" w:lineRule="exact"/>
                    <w:jc w:val="center"/>
                    <w:rPr>
                      <w:bCs/>
                      <w:sz w:val="24"/>
                    </w:rPr>
                  </w:pPr>
                  <w:r>
                    <w:rPr>
                      <w:bCs/>
                    </w:rPr>
                    <w:t>监测项目</w:t>
                  </w:r>
                </w:p>
              </w:tc>
              <w:tc>
                <w:tcPr>
                  <w:tcW w:w="1708" w:type="pct"/>
                  <w:tcMar>
                    <w:top w:w="0" w:type="dxa"/>
                    <w:left w:w="108" w:type="dxa"/>
                    <w:bottom w:w="0" w:type="dxa"/>
                    <w:right w:w="108" w:type="dxa"/>
                  </w:tcMar>
                  <w:vAlign w:val="center"/>
                </w:tcPr>
                <w:p>
                  <w:pPr>
                    <w:autoSpaceDN w:val="0"/>
                    <w:spacing w:line="340" w:lineRule="exact"/>
                    <w:jc w:val="center"/>
                    <w:rPr>
                      <w:bCs/>
                      <w:sz w:val="24"/>
                    </w:rPr>
                  </w:pPr>
                  <w:r>
                    <w:rPr>
                      <w:bCs/>
                    </w:rPr>
                    <w:t>监测频率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2" w:type="pct"/>
                  <w:tcMar>
                    <w:top w:w="0" w:type="dxa"/>
                    <w:left w:w="108" w:type="dxa"/>
                    <w:bottom w:w="0" w:type="dxa"/>
                    <w:right w:w="108" w:type="dxa"/>
                  </w:tcMar>
                  <w:vAlign w:val="center"/>
                </w:tcPr>
                <w:p>
                  <w:pPr>
                    <w:autoSpaceDN w:val="0"/>
                    <w:spacing w:line="340" w:lineRule="exact"/>
                    <w:jc w:val="center"/>
                    <w:rPr>
                      <w:bCs/>
                    </w:rPr>
                  </w:pPr>
                  <w:r>
                    <w:rPr>
                      <w:bCs/>
                    </w:rPr>
                    <w:t>厂界噪声</w:t>
                  </w:r>
                </w:p>
              </w:tc>
              <w:tc>
                <w:tcPr>
                  <w:tcW w:w="1021" w:type="pct"/>
                  <w:tcMar>
                    <w:top w:w="0" w:type="dxa"/>
                    <w:left w:w="108" w:type="dxa"/>
                    <w:bottom w:w="0" w:type="dxa"/>
                    <w:right w:w="108" w:type="dxa"/>
                  </w:tcMar>
                  <w:vAlign w:val="center"/>
                </w:tcPr>
                <w:p>
                  <w:pPr>
                    <w:autoSpaceDN w:val="0"/>
                    <w:spacing w:line="340" w:lineRule="exact"/>
                    <w:jc w:val="center"/>
                    <w:rPr>
                      <w:bCs/>
                    </w:rPr>
                  </w:pPr>
                  <w:r>
                    <w:rPr>
                      <w:bCs/>
                    </w:rPr>
                    <w:t>厂界四周</w:t>
                  </w:r>
                </w:p>
              </w:tc>
              <w:tc>
                <w:tcPr>
                  <w:tcW w:w="1297" w:type="pct"/>
                  <w:tcMar>
                    <w:top w:w="0" w:type="dxa"/>
                    <w:left w:w="108" w:type="dxa"/>
                    <w:bottom w:w="0" w:type="dxa"/>
                    <w:right w:w="108" w:type="dxa"/>
                  </w:tcMar>
                  <w:vAlign w:val="center"/>
                </w:tcPr>
                <w:p>
                  <w:pPr>
                    <w:autoSpaceDN w:val="0"/>
                    <w:spacing w:line="340" w:lineRule="exact"/>
                    <w:jc w:val="center"/>
                    <w:rPr>
                      <w:bCs/>
                    </w:rPr>
                  </w:pPr>
                  <w:r>
                    <w:rPr>
                      <w:bCs/>
                    </w:rPr>
                    <w:t>等效连续A声级</w:t>
                  </w:r>
                </w:p>
              </w:tc>
              <w:tc>
                <w:tcPr>
                  <w:tcW w:w="1708" w:type="pct"/>
                  <w:tcMar>
                    <w:top w:w="0" w:type="dxa"/>
                    <w:left w:w="108" w:type="dxa"/>
                    <w:bottom w:w="0" w:type="dxa"/>
                    <w:right w:w="108" w:type="dxa"/>
                  </w:tcMar>
                  <w:vAlign w:val="center"/>
                </w:tcPr>
                <w:p>
                  <w:pPr>
                    <w:autoSpaceDN w:val="0"/>
                    <w:spacing w:line="340" w:lineRule="exact"/>
                    <w:jc w:val="center"/>
                    <w:rPr>
                      <w:bCs/>
                    </w:rPr>
                  </w:pPr>
                  <w:r>
                    <w:rPr>
                      <w:bCs/>
                    </w:rPr>
                    <w:t>1次/季，分昼间、夜间进行</w:t>
                  </w:r>
                </w:p>
              </w:tc>
            </w:tr>
          </w:tbl>
          <w:p>
            <w:pPr>
              <w:spacing w:line="360" w:lineRule="auto"/>
              <w:ind w:firstLine="482" w:firstLineChars="200"/>
              <w:rPr>
                <w:sz w:val="24"/>
              </w:rPr>
            </w:pPr>
            <w:r>
              <w:rPr>
                <w:b/>
                <w:sz w:val="24"/>
              </w:rPr>
              <w:t>4、运营期固体废物环境影响和保护措施</w:t>
            </w:r>
          </w:p>
          <w:p>
            <w:pPr>
              <w:spacing w:line="360" w:lineRule="auto"/>
              <w:ind w:firstLine="482" w:firstLineChars="200"/>
              <w:rPr>
                <w:b/>
                <w:sz w:val="24"/>
              </w:rPr>
            </w:pPr>
            <w:r>
              <w:rPr>
                <w:b/>
                <w:sz w:val="24"/>
              </w:rPr>
              <w:t>⑴固体废物产生及处置情况</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一般固废</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1）边角料</w:t>
            </w:r>
          </w:p>
          <w:p>
            <w:pPr>
              <w:pStyle w:val="48"/>
              <w:ind w:firstLine="480"/>
              <w:rPr>
                <w:color w:val="000000" w:themeColor="text1"/>
                <w14:textFill>
                  <w14:solidFill>
                    <w14:schemeClr w14:val="tx1"/>
                  </w14:solidFill>
                </w14:textFill>
              </w:rPr>
            </w:pPr>
            <w:r>
              <w:rPr>
                <w:color w:val="000000" w:themeColor="text1"/>
                <w14:textFill>
                  <w14:solidFill>
                    <w14:schemeClr w14:val="tx1"/>
                  </w14:solidFill>
                </w14:textFill>
              </w:rPr>
              <w:t>项目在木工、打磨过程中会产生一定量的边角废料，项目年加工板材</w:t>
            </w:r>
            <w:r>
              <w:rPr>
                <w:rFonts w:hint="eastAsia"/>
                <w:color w:val="000000" w:themeColor="text1"/>
                <w14:textFill>
                  <w14:solidFill>
                    <w14:schemeClr w14:val="tx1"/>
                  </w14:solidFill>
                </w14:textFill>
              </w:rPr>
              <w:t>600m</w:t>
            </w:r>
            <w:r>
              <w:rPr>
                <w:rFonts w:hint="eastAsia"/>
                <w:color w:val="000000" w:themeColor="text1"/>
                <w:vertAlign w:val="superscript"/>
                <w14:textFill>
                  <w14:solidFill>
                    <w14:schemeClr w14:val="tx1"/>
                  </w14:solidFill>
                </w14:textFill>
              </w:rPr>
              <w:t>3</w:t>
            </w:r>
            <w:r>
              <w:rPr>
                <w:color w:val="000000" w:themeColor="text1"/>
                <w14:textFill>
                  <w14:solidFill>
                    <w14:schemeClr w14:val="tx1"/>
                  </w14:solidFill>
                </w14:textFill>
              </w:rPr>
              <w:t>/a，其密度为0.727g/cm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进行折算</w:t>
            </w:r>
            <w:r>
              <w:rPr>
                <w:rFonts w:hint="eastAsia"/>
                <w:color w:val="000000" w:themeColor="text1"/>
                <w14:textFill>
                  <w14:solidFill>
                    <w14:schemeClr w14:val="tx1"/>
                  </w14:solidFill>
                </w14:textFill>
              </w:rPr>
              <w:t>，则年加工板材436.2t/a，</w:t>
            </w:r>
            <w:r>
              <w:rPr>
                <w:color w:val="000000" w:themeColor="text1"/>
                <w14:textFill>
                  <w14:solidFill>
                    <w14:schemeClr w14:val="tx1"/>
                  </w14:solidFill>
                </w14:textFill>
              </w:rPr>
              <w:t>根据建设单位提供资料，年产生边角废料及木屑约为原料的1%，则该项目年产生边角料和木屑为</w:t>
            </w:r>
            <w:r>
              <w:rPr>
                <w:rFonts w:hint="eastAsia"/>
                <w:color w:val="000000" w:themeColor="text1"/>
                <w14:textFill>
                  <w14:solidFill>
                    <w14:schemeClr w14:val="tx1"/>
                  </w14:solidFill>
                </w14:textFill>
              </w:rPr>
              <w:t>4.36</w:t>
            </w:r>
            <w:r>
              <w:rPr>
                <w:color w:val="000000" w:themeColor="text1"/>
                <w14:textFill>
                  <w14:solidFill>
                    <w14:schemeClr w14:val="tx1"/>
                  </w14:solidFill>
                </w14:textFill>
              </w:rPr>
              <w:t>t/a，定期外售至生物质厂家。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收集的粉尘</w:t>
            </w:r>
          </w:p>
          <w:p>
            <w:pPr>
              <w:pStyle w:val="48"/>
              <w:ind w:firstLine="480"/>
              <w:rPr>
                <w:color w:val="000000" w:themeColor="text1"/>
                <w14:textFill>
                  <w14:solidFill>
                    <w14:schemeClr w14:val="tx1"/>
                  </w14:solidFill>
                </w14:textFill>
              </w:rPr>
            </w:pPr>
            <w:r>
              <w:rPr>
                <w:color w:val="000000" w:themeColor="text1"/>
                <w14:textFill>
                  <w14:solidFill>
                    <w14:schemeClr w14:val="tx1"/>
                  </w14:solidFill>
                </w14:textFill>
              </w:rPr>
              <w:t>根据工程分析，本项目除尘器收集的粉尘量约0.</w:t>
            </w:r>
            <w:r>
              <w:rPr>
                <w:rFonts w:hint="eastAsia"/>
                <w:color w:val="000000" w:themeColor="text1"/>
                <w14:textFill>
                  <w14:solidFill>
                    <w14:schemeClr w14:val="tx1"/>
                  </w14:solidFill>
                </w14:textFill>
              </w:rPr>
              <w:t>82656</w:t>
            </w:r>
            <w:r>
              <w:rPr>
                <w:color w:val="000000" w:themeColor="text1"/>
                <w14:textFill>
                  <w14:solidFill>
                    <w14:schemeClr w14:val="tx1"/>
                  </w14:solidFill>
                </w14:textFill>
              </w:rPr>
              <w:t>t/a，定期外售至生物质厂家。</w:t>
            </w:r>
          </w:p>
          <w:p>
            <w:pPr>
              <w:spacing w:line="360" w:lineRule="auto"/>
              <w:ind w:firstLine="480" w:firstLineChars="200"/>
              <w:rPr>
                <w:color w:val="000000" w:themeColor="text1"/>
                <w14:textFill>
                  <w14:solidFill>
                    <w14:schemeClr w14:val="tx1"/>
                  </w14:solidFill>
                </w14:textFill>
              </w:rPr>
            </w:pPr>
            <w:r>
              <w:rPr>
                <w:rFonts w:hint="eastAsia"/>
                <w:sz w:val="24"/>
                <w:lang w:val="en-US" w:eastAsia="zh-CN"/>
              </w:rPr>
              <w:t>3）</w:t>
            </w:r>
            <w:r>
              <w:rPr>
                <w:rFonts w:hint="eastAsia"/>
                <w:sz w:val="24"/>
              </w:rPr>
              <w:t>生活垃圾 ：职工人数100，不在厂内食宿，生活垃圾不住宿职员按0.5kg/人·d计，则垃圾产生量为50kg/d（15t/a），集中收集后，委托当地环卫部门进行清运并妥善处置。</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②危险废物</w:t>
            </w:r>
          </w:p>
          <w:p>
            <w:pPr>
              <w:spacing w:line="360" w:lineRule="auto"/>
              <w:ind w:firstLine="480" w:firstLineChars="200"/>
              <w:rPr>
                <w:sz w:val="24"/>
              </w:rPr>
            </w:pPr>
            <w:r>
              <w:rPr>
                <w:sz w:val="24"/>
              </w:rPr>
              <w:t>1）水帘柜喷淋用水更换液</w:t>
            </w:r>
          </w:p>
          <w:p>
            <w:pPr>
              <w:spacing w:line="360" w:lineRule="auto"/>
              <w:ind w:firstLine="480" w:firstLineChars="200"/>
              <w:rPr>
                <w:sz w:val="24"/>
              </w:rPr>
            </w:pPr>
            <w:r>
              <w:rPr>
                <w:sz w:val="24"/>
              </w:rPr>
              <w:t>由于水帘除雾废水中含有沉淀物，沉淀物中含有少量的冷凝后的甲苯及二甲苯、漆雾、粉尘等物质，在循环一定的时间后有机物的浓度会升高，需要定期更换，本环评建议</w:t>
            </w:r>
            <w:r>
              <w:rPr>
                <w:rFonts w:hint="eastAsia"/>
                <w:sz w:val="24"/>
                <w:lang w:val="en-US" w:eastAsia="zh-CN"/>
              </w:rPr>
              <w:t>3</w:t>
            </w:r>
            <w:r>
              <w:rPr>
                <w:sz w:val="24"/>
              </w:rPr>
              <w:t>个月更换一次新鲜水。本项目拟设置</w:t>
            </w:r>
            <w:r>
              <w:rPr>
                <w:rFonts w:hint="eastAsia"/>
                <w:sz w:val="24"/>
              </w:rPr>
              <w:t>3</w:t>
            </w:r>
            <w:r>
              <w:rPr>
                <w:sz w:val="24"/>
              </w:rPr>
              <w:t>个水帘除雾水箱，水箱容积为</w:t>
            </w:r>
            <w:r>
              <w:rPr>
                <w:rFonts w:hint="eastAsia"/>
                <w:sz w:val="24"/>
              </w:rPr>
              <w:t>6</w:t>
            </w:r>
            <w:r>
              <w:rPr>
                <w:sz w:val="24"/>
              </w:rPr>
              <w:t>m</w:t>
            </w:r>
            <w:r>
              <w:rPr>
                <w:sz w:val="24"/>
                <w:vertAlign w:val="superscript"/>
              </w:rPr>
              <w:t>3</w:t>
            </w:r>
            <w:r>
              <w:rPr>
                <w:sz w:val="24"/>
              </w:rPr>
              <w:t>，水箱中循环水量为</w:t>
            </w:r>
            <w:r>
              <w:rPr>
                <w:rFonts w:hint="eastAsia"/>
                <w:sz w:val="24"/>
              </w:rPr>
              <w:t>1</w:t>
            </w:r>
            <w:r>
              <w:rPr>
                <w:sz w:val="24"/>
              </w:rPr>
              <w:t>m</w:t>
            </w:r>
            <w:r>
              <w:rPr>
                <w:sz w:val="24"/>
                <w:vertAlign w:val="superscript"/>
              </w:rPr>
              <w:t>3</w:t>
            </w:r>
            <w:r>
              <w:rPr>
                <w:sz w:val="24"/>
              </w:rPr>
              <w:t>，则更换的水量为</w:t>
            </w:r>
            <w:r>
              <w:rPr>
                <w:rFonts w:hint="eastAsia"/>
                <w:sz w:val="24"/>
                <w:lang w:val="en-US" w:eastAsia="zh-CN"/>
              </w:rPr>
              <w:t>12</w:t>
            </w:r>
            <w:r>
              <w:rPr>
                <w:sz w:val="24"/>
              </w:rPr>
              <w:t>m</w:t>
            </w:r>
            <w:r>
              <w:rPr>
                <w:sz w:val="24"/>
                <w:vertAlign w:val="superscript"/>
              </w:rPr>
              <w:t>3</w:t>
            </w:r>
            <w:r>
              <w:rPr>
                <w:sz w:val="24"/>
              </w:rPr>
              <w:t>/</w:t>
            </w:r>
            <w:r>
              <w:rPr>
                <w:rFonts w:hint="eastAsia"/>
                <w:sz w:val="24"/>
                <w:lang w:val="en-US" w:eastAsia="zh-CN"/>
              </w:rPr>
              <w:t>a</w:t>
            </w:r>
            <w:r>
              <w:rPr>
                <w:sz w:val="24"/>
              </w:rPr>
              <w:t>属于危险废物（HW12染料、涂料废物，代码900-252-12），更换后暂存于危险废物暂存间，定期委托给有处理危险废物资质的单位处置。</w:t>
            </w:r>
          </w:p>
          <w:p>
            <w:pPr>
              <w:spacing w:line="360" w:lineRule="auto"/>
              <w:ind w:firstLine="480" w:firstLineChars="200"/>
              <w:rPr>
                <w:sz w:val="24"/>
              </w:rPr>
            </w:pPr>
            <w:r>
              <w:rPr>
                <w:rFonts w:hint="eastAsia"/>
                <w:sz w:val="24"/>
              </w:rPr>
              <w:t>2</w:t>
            </w:r>
            <w:r>
              <w:rPr>
                <w:sz w:val="24"/>
              </w:rPr>
              <w:t>）漆渣</w:t>
            </w:r>
          </w:p>
          <w:p>
            <w:pPr>
              <w:spacing w:line="360" w:lineRule="auto"/>
              <w:ind w:firstLine="480" w:firstLineChars="200"/>
              <w:rPr>
                <w:sz w:val="24"/>
              </w:rPr>
            </w:pPr>
            <w:r>
              <w:rPr>
                <w:sz w:val="24"/>
              </w:rPr>
              <w:t>根据工程分析，本项目漆渣产生量约为</w:t>
            </w:r>
            <w:r>
              <w:rPr>
                <w:rFonts w:hint="eastAsia"/>
                <w:sz w:val="24"/>
              </w:rPr>
              <w:t>0.4323</w:t>
            </w:r>
            <w:r>
              <w:rPr>
                <w:sz w:val="24"/>
              </w:rPr>
              <w:t>t/a，根据《国家危险废物名录》（2021</w:t>
            </w:r>
            <w:r>
              <w:rPr>
                <w:rFonts w:hint="eastAsia"/>
                <w:sz w:val="24"/>
              </w:rPr>
              <w:t>年</w:t>
            </w:r>
            <w:r>
              <w:rPr>
                <w:sz w:val="24"/>
              </w:rPr>
              <w:t>版），漆渣、除尘沉渣属于危险废物，废物类别为HW12染料、涂料废物，危废代码为900-250-12，收集后暂存于危废间，定期交由有资质的单位进行处理。</w:t>
            </w:r>
          </w:p>
          <w:p>
            <w:pPr>
              <w:spacing w:line="360" w:lineRule="auto"/>
              <w:ind w:firstLine="480" w:firstLineChars="200"/>
              <w:rPr>
                <w:sz w:val="24"/>
              </w:rPr>
            </w:pPr>
            <w:r>
              <w:rPr>
                <w:rFonts w:hint="eastAsia"/>
                <w:sz w:val="24"/>
              </w:rPr>
              <w:t>3</w:t>
            </w:r>
            <w:r>
              <w:rPr>
                <w:sz w:val="24"/>
              </w:rPr>
              <w:t>）废活性炭</w:t>
            </w:r>
          </w:p>
          <w:p>
            <w:pPr>
              <w:spacing w:line="360" w:lineRule="auto"/>
              <w:ind w:firstLine="480" w:firstLineChars="200"/>
              <w:rPr>
                <w:sz w:val="24"/>
              </w:rPr>
            </w:pPr>
            <w:r>
              <w:rPr>
                <w:sz w:val="24"/>
              </w:rPr>
              <w:t>项目废气吸附处理产生的废活性炭。这部分属于危险固废的范围，根据《国家危险废物名录》（2021</w:t>
            </w:r>
            <w:r>
              <w:rPr>
                <w:rFonts w:hint="eastAsia"/>
                <w:sz w:val="24"/>
              </w:rPr>
              <w:t>年</w:t>
            </w:r>
            <w:r>
              <w:rPr>
                <w:sz w:val="24"/>
              </w:rPr>
              <w:t>版），废物类别为HW49其他废物，危废代码为900-039-49。项目有机废气TVOC（包括甲苯及二甲苯）进入</w:t>
            </w:r>
            <w:r>
              <w:rPr>
                <w:rFonts w:hint="eastAsia"/>
                <w:sz w:val="24"/>
              </w:rPr>
              <w:t>二级</w:t>
            </w:r>
            <w:r>
              <w:rPr>
                <w:sz w:val="24"/>
              </w:rPr>
              <w:t>活性炭装置处理的量为</w:t>
            </w:r>
            <w:r>
              <w:rPr>
                <w:rFonts w:hint="eastAsia"/>
                <w:sz w:val="24"/>
                <w:lang w:val="en-US" w:eastAsia="zh-CN"/>
              </w:rPr>
              <w:t>1.56</w:t>
            </w:r>
            <w:r>
              <w:rPr>
                <w:sz w:val="24"/>
              </w:rPr>
              <w:t>t/a。活性炭吸附能力为20kg(废气）/100kg(活性炭)，每年更换</w:t>
            </w:r>
            <w:r>
              <w:rPr>
                <w:rFonts w:hint="eastAsia"/>
                <w:sz w:val="24"/>
              </w:rPr>
              <w:t>7</w:t>
            </w:r>
            <w:r>
              <w:rPr>
                <w:sz w:val="24"/>
              </w:rPr>
              <w:t>次，则废活性炭产生量为</w:t>
            </w:r>
            <w:r>
              <w:rPr>
                <w:rFonts w:hint="eastAsia"/>
                <w:sz w:val="24"/>
                <w:lang w:val="en-US" w:eastAsia="zh-CN"/>
              </w:rPr>
              <w:t>7.8</w:t>
            </w:r>
            <w:r>
              <w:rPr>
                <w:sz w:val="24"/>
              </w:rPr>
              <w:t>t/a，经收集后，暂存在危废暂存间，废活性炭最大暂存量为</w:t>
            </w:r>
            <w:r>
              <w:rPr>
                <w:rFonts w:hint="eastAsia"/>
                <w:sz w:val="24"/>
              </w:rPr>
              <w:t>2</w:t>
            </w:r>
            <w:r>
              <w:rPr>
                <w:sz w:val="24"/>
              </w:rPr>
              <w:t>t，危废产生后应尽快交由有资质单位进行处置。</w:t>
            </w:r>
          </w:p>
          <w:p>
            <w:pPr>
              <w:spacing w:line="360" w:lineRule="auto"/>
              <w:ind w:firstLine="480" w:firstLineChars="200"/>
              <w:rPr>
                <w:sz w:val="24"/>
              </w:rPr>
            </w:pPr>
            <w:r>
              <w:rPr>
                <w:rFonts w:hint="eastAsia"/>
                <w:sz w:val="24"/>
              </w:rPr>
              <w:t>4</w:t>
            </w:r>
            <w:r>
              <w:rPr>
                <w:sz w:val="24"/>
              </w:rPr>
              <w:t>）废油漆桶</w:t>
            </w:r>
          </w:p>
          <w:p>
            <w:pPr>
              <w:spacing w:line="360" w:lineRule="auto"/>
              <w:ind w:firstLine="480" w:firstLineChars="200"/>
              <w:rPr>
                <w:sz w:val="24"/>
              </w:rPr>
            </w:pPr>
            <w:r>
              <w:rPr>
                <w:sz w:val="24"/>
              </w:rPr>
              <w:t>根据建设单位提供的资料，本项目废油漆桶产生量约为0.6t/a。根据《国家危险废物名录》（2021</w:t>
            </w:r>
            <w:r>
              <w:rPr>
                <w:rFonts w:hint="eastAsia"/>
                <w:sz w:val="24"/>
              </w:rPr>
              <w:t>年</w:t>
            </w:r>
            <w:r>
              <w:rPr>
                <w:sz w:val="24"/>
              </w:rPr>
              <w:t>版），废油漆桶属于危险废物，废物类别为HW49其他废物，危废代码为900-041-49；经统一收集后，暂存于危废间，定期由供应商回收。</w:t>
            </w:r>
          </w:p>
          <w:p>
            <w:pPr>
              <w:spacing w:line="360" w:lineRule="auto"/>
              <w:ind w:firstLine="480" w:firstLineChars="200"/>
              <w:rPr>
                <w:sz w:val="24"/>
              </w:rPr>
            </w:pPr>
            <w:r>
              <w:rPr>
                <w:rFonts w:hint="eastAsia"/>
                <w:sz w:val="24"/>
              </w:rPr>
              <w:t>5</w:t>
            </w:r>
            <w:r>
              <w:rPr>
                <w:sz w:val="24"/>
              </w:rPr>
              <w:t>）废抹布</w:t>
            </w:r>
          </w:p>
          <w:p>
            <w:pPr>
              <w:spacing w:line="360" w:lineRule="auto"/>
              <w:ind w:firstLine="480" w:firstLineChars="200"/>
              <w:rPr>
                <w:sz w:val="24"/>
              </w:rPr>
            </w:pPr>
            <w:r>
              <w:rPr>
                <w:rFonts w:hint="eastAsia"/>
                <w:sz w:val="24"/>
              </w:rPr>
              <w:t>项目喷漆房使用过的废弃手套、抹布等，因沾有油污或有机溶剂等有害物质，年产生量约0.1t/a。</w:t>
            </w:r>
            <w:r>
              <w:rPr>
                <w:sz w:val="24"/>
              </w:rPr>
              <w:t>根据《国家危险废物名录》（2021</w:t>
            </w:r>
            <w:r>
              <w:rPr>
                <w:rFonts w:hint="eastAsia"/>
                <w:sz w:val="24"/>
              </w:rPr>
              <w:t>年</w:t>
            </w:r>
            <w:r>
              <w:rPr>
                <w:sz w:val="24"/>
              </w:rPr>
              <w:t>版）</w:t>
            </w:r>
            <w:r>
              <w:rPr>
                <w:rFonts w:hint="eastAsia"/>
                <w:sz w:val="24"/>
              </w:rPr>
              <w:t>，废物类别为HW12染料、涂料废物，危废代码为900-250-12，因此废抹布、废手套需作为危险废物进行管理及处置，收集后暂存于危废间，定期交由有资质的单位进行处理。</w:t>
            </w:r>
          </w:p>
          <w:p>
            <w:pPr>
              <w:spacing w:line="360" w:lineRule="auto"/>
              <w:ind w:firstLine="480" w:firstLineChars="200"/>
              <w:rPr>
                <w:sz w:val="24"/>
              </w:rPr>
            </w:pPr>
            <w:r>
              <w:rPr>
                <w:rFonts w:hint="eastAsia"/>
                <w:sz w:val="24"/>
              </w:rPr>
              <w:t>6）喷枪清洗涂料渣</w:t>
            </w:r>
          </w:p>
          <w:p>
            <w:pPr>
              <w:spacing w:line="360" w:lineRule="auto"/>
              <w:ind w:firstLine="480" w:firstLineChars="200"/>
              <w:rPr>
                <w:sz w:val="24"/>
              </w:rPr>
            </w:pPr>
            <w:r>
              <w:rPr>
                <w:rFonts w:hint="eastAsia"/>
                <w:sz w:val="24"/>
              </w:rPr>
              <w:t>本项目喷枪需定期清洗以防止喷枪内涂料干化后堵塞喷枪，影响喷涂质量。根据建设单位提供资料，PU漆每5天清洗一次，使用容器盛装油漆稀释剂浸泡喷枪约1h，先将喷枪沥干后放置一旁待用，待容器内剩余稀释剂挥发后将硬化的涂料收集，该类固废产生量约0.1t/a。废物类别为HW12其他废物，危废代码为900-250-12。收集后暂存于危废间，定期交由有资质的单位进行处理。</w:t>
            </w:r>
          </w:p>
          <w:p>
            <w:pPr>
              <w:autoSpaceDN w:val="0"/>
              <w:spacing w:before="120" w:beforeLines="50"/>
              <w:ind w:firstLine="482"/>
              <w:jc w:val="center"/>
              <w:rPr>
                <w:rFonts w:eastAsia="黑体"/>
                <w:bCs/>
                <w:spacing w:val="4"/>
                <w:sz w:val="24"/>
              </w:rPr>
            </w:pPr>
          </w:p>
          <w:p>
            <w:pPr>
              <w:autoSpaceDN w:val="0"/>
              <w:spacing w:before="120" w:beforeLines="50"/>
              <w:ind w:firstLine="482"/>
              <w:jc w:val="center"/>
              <w:rPr>
                <w:rFonts w:eastAsia="黑体"/>
                <w:bCs/>
                <w:spacing w:val="4"/>
                <w:sz w:val="24"/>
              </w:rPr>
            </w:pPr>
          </w:p>
          <w:p>
            <w:pPr>
              <w:autoSpaceDN w:val="0"/>
              <w:spacing w:before="120" w:beforeLines="50"/>
              <w:jc w:val="both"/>
              <w:rPr>
                <w:rFonts w:eastAsia="黑体"/>
                <w:bCs/>
                <w:spacing w:val="4"/>
                <w:sz w:val="24"/>
              </w:rPr>
            </w:pPr>
          </w:p>
          <w:p>
            <w:pPr>
              <w:autoSpaceDN w:val="0"/>
              <w:spacing w:before="120" w:beforeLines="50"/>
              <w:ind w:firstLine="482"/>
              <w:jc w:val="center"/>
            </w:pPr>
            <w:r>
              <w:rPr>
                <w:rFonts w:eastAsia="黑体"/>
                <w:bCs/>
                <w:spacing w:val="4"/>
                <w:sz w:val="24"/>
              </w:rPr>
              <w:t>表4-</w:t>
            </w:r>
            <w:r>
              <w:rPr>
                <w:rFonts w:hint="eastAsia" w:eastAsia="黑体"/>
                <w:bCs/>
                <w:spacing w:val="4"/>
                <w:sz w:val="24"/>
              </w:rPr>
              <w:t>3</w:t>
            </w:r>
            <w:r>
              <w:rPr>
                <w:rFonts w:hint="eastAsia" w:eastAsia="黑体"/>
                <w:bCs/>
                <w:spacing w:val="4"/>
                <w:sz w:val="24"/>
                <w:lang w:val="en-US" w:eastAsia="zh-CN"/>
              </w:rPr>
              <w:t>0</w:t>
            </w:r>
            <w:r>
              <w:rPr>
                <w:rFonts w:eastAsia="黑体"/>
                <w:bCs/>
                <w:spacing w:val="4"/>
                <w:sz w:val="24"/>
              </w:rPr>
              <w:t xml:space="preserve">  项目固体废物产生情况统计一览表</w:t>
            </w:r>
          </w:p>
          <w:tbl>
            <w:tblPr>
              <w:tblStyle w:val="33"/>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3"/>
              <w:gridCol w:w="719"/>
              <w:gridCol w:w="507"/>
              <w:gridCol w:w="1323"/>
              <w:gridCol w:w="520"/>
              <w:gridCol w:w="635"/>
              <w:gridCol w:w="995"/>
              <w:gridCol w:w="683"/>
              <w:gridCol w:w="1029"/>
              <w:gridCol w:w="893"/>
              <w:gridCol w:w="5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Align w:val="center"/>
                </w:tcPr>
                <w:p>
                  <w:pPr>
                    <w:adjustRightInd w:val="0"/>
                    <w:snapToGrid w:val="0"/>
                    <w:spacing w:line="240" w:lineRule="exact"/>
                    <w:jc w:val="center"/>
                    <w:rPr>
                      <w:szCs w:val="21"/>
                    </w:rPr>
                  </w:pPr>
                  <w:r>
                    <w:rPr>
                      <w:rFonts w:hint="eastAsia"/>
                      <w:szCs w:val="21"/>
                    </w:rPr>
                    <w:t>固废产生环节</w:t>
                  </w:r>
                </w:p>
              </w:tc>
              <w:tc>
                <w:tcPr>
                  <w:tcW w:w="723" w:type="dxa"/>
                  <w:vAlign w:val="center"/>
                </w:tcPr>
                <w:p>
                  <w:pPr>
                    <w:adjustRightInd w:val="0"/>
                    <w:snapToGrid w:val="0"/>
                    <w:spacing w:line="240" w:lineRule="exact"/>
                    <w:jc w:val="center"/>
                    <w:rPr>
                      <w:szCs w:val="21"/>
                    </w:rPr>
                  </w:pPr>
                  <w:r>
                    <w:rPr>
                      <w:rFonts w:hint="eastAsia"/>
                      <w:szCs w:val="21"/>
                    </w:rPr>
                    <w:t>固废名称</w:t>
                  </w:r>
                </w:p>
              </w:tc>
              <w:tc>
                <w:tcPr>
                  <w:tcW w:w="510" w:type="dxa"/>
                  <w:vAlign w:val="center"/>
                </w:tcPr>
                <w:p>
                  <w:pPr>
                    <w:adjustRightInd w:val="0"/>
                    <w:snapToGrid w:val="0"/>
                    <w:spacing w:line="240" w:lineRule="exact"/>
                    <w:jc w:val="center"/>
                    <w:rPr>
                      <w:szCs w:val="21"/>
                    </w:rPr>
                  </w:pPr>
                  <w:r>
                    <w:rPr>
                      <w:rFonts w:hint="eastAsia"/>
                      <w:szCs w:val="21"/>
                    </w:rPr>
                    <w:t>固废属性</w:t>
                  </w:r>
                </w:p>
              </w:tc>
              <w:tc>
                <w:tcPr>
                  <w:tcW w:w="1333" w:type="dxa"/>
                  <w:vAlign w:val="center"/>
                </w:tcPr>
                <w:p>
                  <w:pPr>
                    <w:adjustRightInd w:val="0"/>
                    <w:snapToGrid w:val="0"/>
                    <w:spacing w:line="240" w:lineRule="exact"/>
                    <w:jc w:val="center"/>
                    <w:rPr>
                      <w:szCs w:val="21"/>
                    </w:rPr>
                  </w:pPr>
                  <w:r>
                    <w:rPr>
                      <w:rFonts w:hint="eastAsia"/>
                      <w:szCs w:val="21"/>
                    </w:rPr>
                    <w:t>主要有毒有害物质名称及代码</w:t>
                  </w:r>
                </w:p>
              </w:tc>
              <w:tc>
                <w:tcPr>
                  <w:tcW w:w="523" w:type="dxa"/>
                  <w:vAlign w:val="center"/>
                </w:tcPr>
                <w:p>
                  <w:pPr>
                    <w:adjustRightInd w:val="0"/>
                    <w:snapToGrid w:val="0"/>
                    <w:spacing w:line="240" w:lineRule="exact"/>
                    <w:jc w:val="center"/>
                    <w:rPr>
                      <w:szCs w:val="21"/>
                    </w:rPr>
                  </w:pPr>
                  <w:r>
                    <w:rPr>
                      <w:rFonts w:hint="eastAsia"/>
                      <w:szCs w:val="21"/>
                    </w:rPr>
                    <w:t>物理</w:t>
                  </w:r>
                </w:p>
                <w:p>
                  <w:pPr>
                    <w:adjustRightInd w:val="0"/>
                    <w:snapToGrid w:val="0"/>
                    <w:spacing w:line="240" w:lineRule="exact"/>
                    <w:jc w:val="center"/>
                    <w:rPr>
                      <w:szCs w:val="21"/>
                    </w:rPr>
                  </w:pPr>
                  <w:r>
                    <w:rPr>
                      <w:rFonts w:hint="eastAsia"/>
                      <w:szCs w:val="21"/>
                    </w:rPr>
                    <w:t>性状</w:t>
                  </w:r>
                </w:p>
              </w:tc>
              <w:tc>
                <w:tcPr>
                  <w:tcW w:w="639" w:type="dxa"/>
                  <w:vAlign w:val="center"/>
                </w:tcPr>
                <w:p>
                  <w:pPr>
                    <w:adjustRightInd w:val="0"/>
                    <w:snapToGrid w:val="0"/>
                    <w:spacing w:line="240" w:lineRule="exact"/>
                    <w:jc w:val="center"/>
                    <w:rPr>
                      <w:szCs w:val="21"/>
                    </w:rPr>
                  </w:pPr>
                  <w:r>
                    <w:rPr>
                      <w:rFonts w:hint="eastAsia"/>
                      <w:szCs w:val="21"/>
                    </w:rPr>
                    <w:t>环境危险特性</w:t>
                  </w:r>
                </w:p>
              </w:tc>
              <w:tc>
                <w:tcPr>
                  <w:tcW w:w="1002" w:type="dxa"/>
                  <w:vAlign w:val="center"/>
                </w:tcPr>
                <w:p>
                  <w:pPr>
                    <w:adjustRightInd w:val="0"/>
                    <w:snapToGrid w:val="0"/>
                    <w:spacing w:line="240" w:lineRule="exact"/>
                    <w:jc w:val="center"/>
                    <w:rPr>
                      <w:szCs w:val="21"/>
                    </w:rPr>
                  </w:pPr>
                  <w:r>
                    <w:rPr>
                      <w:rFonts w:hint="eastAsia"/>
                      <w:szCs w:val="21"/>
                    </w:rPr>
                    <w:t>产生量</w:t>
                  </w:r>
                </w:p>
                <w:p>
                  <w:pPr>
                    <w:adjustRightInd w:val="0"/>
                    <w:snapToGrid w:val="0"/>
                    <w:spacing w:line="240" w:lineRule="exact"/>
                    <w:jc w:val="center"/>
                    <w:rPr>
                      <w:szCs w:val="21"/>
                    </w:rPr>
                  </w:pPr>
                  <w:r>
                    <w:rPr>
                      <w:rFonts w:hint="eastAsia"/>
                      <w:szCs w:val="21"/>
                    </w:rPr>
                    <w:t>t/a</w:t>
                  </w:r>
                </w:p>
              </w:tc>
              <w:tc>
                <w:tcPr>
                  <w:tcW w:w="687" w:type="dxa"/>
                  <w:vAlign w:val="center"/>
                </w:tcPr>
                <w:p>
                  <w:pPr>
                    <w:adjustRightInd w:val="0"/>
                    <w:snapToGrid w:val="0"/>
                    <w:spacing w:line="240" w:lineRule="exact"/>
                    <w:jc w:val="center"/>
                    <w:rPr>
                      <w:szCs w:val="21"/>
                    </w:rPr>
                  </w:pPr>
                  <w:r>
                    <w:rPr>
                      <w:rFonts w:hint="eastAsia"/>
                      <w:szCs w:val="21"/>
                    </w:rPr>
                    <w:t>贮存方式</w:t>
                  </w:r>
                </w:p>
              </w:tc>
              <w:tc>
                <w:tcPr>
                  <w:tcW w:w="1036" w:type="dxa"/>
                  <w:vAlign w:val="center"/>
                </w:tcPr>
                <w:p>
                  <w:pPr>
                    <w:adjustRightInd w:val="0"/>
                    <w:snapToGrid w:val="0"/>
                    <w:spacing w:line="240" w:lineRule="exact"/>
                    <w:jc w:val="center"/>
                    <w:rPr>
                      <w:szCs w:val="21"/>
                    </w:rPr>
                  </w:pPr>
                  <w:r>
                    <w:rPr>
                      <w:rFonts w:hint="eastAsia"/>
                      <w:szCs w:val="21"/>
                    </w:rPr>
                    <w:t>利用处置方式和去向</w:t>
                  </w:r>
                </w:p>
              </w:tc>
              <w:tc>
                <w:tcPr>
                  <w:tcW w:w="899" w:type="dxa"/>
                  <w:vAlign w:val="center"/>
                </w:tcPr>
                <w:p>
                  <w:pPr>
                    <w:adjustRightInd w:val="0"/>
                    <w:snapToGrid w:val="0"/>
                    <w:spacing w:line="240" w:lineRule="exact"/>
                    <w:jc w:val="center"/>
                    <w:rPr>
                      <w:szCs w:val="21"/>
                    </w:rPr>
                  </w:pPr>
                  <w:r>
                    <w:rPr>
                      <w:rFonts w:hint="eastAsia"/>
                      <w:szCs w:val="21"/>
                    </w:rPr>
                    <w:t>利用或处置量t/a</w:t>
                  </w:r>
                </w:p>
              </w:tc>
              <w:tc>
                <w:tcPr>
                  <w:tcW w:w="599" w:type="dxa"/>
                  <w:vAlign w:val="center"/>
                </w:tcPr>
                <w:p>
                  <w:pPr>
                    <w:adjustRightInd w:val="0"/>
                    <w:snapToGrid w:val="0"/>
                    <w:spacing w:line="240" w:lineRule="exact"/>
                    <w:jc w:val="center"/>
                    <w:rPr>
                      <w:szCs w:val="21"/>
                    </w:rPr>
                  </w:pPr>
                  <w:r>
                    <w:rPr>
                      <w:szCs w:val="21"/>
                    </w:rPr>
                    <w:t>环境管理要求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restart"/>
                  <w:vAlign w:val="center"/>
                </w:tcPr>
                <w:p>
                  <w:pPr>
                    <w:adjustRightInd w:val="0"/>
                    <w:snapToGrid w:val="0"/>
                    <w:spacing w:line="240" w:lineRule="exact"/>
                    <w:jc w:val="center"/>
                    <w:rPr>
                      <w:szCs w:val="21"/>
                    </w:rPr>
                  </w:pPr>
                  <w:r>
                    <w:rPr>
                      <w:rFonts w:hint="eastAsia"/>
                      <w:szCs w:val="21"/>
                    </w:rPr>
                    <w:t>生产</w:t>
                  </w:r>
                </w:p>
              </w:tc>
              <w:tc>
                <w:tcPr>
                  <w:tcW w:w="723"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生活垃圾</w:t>
                  </w:r>
                </w:p>
              </w:tc>
              <w:tc>
                <w:tcPr>
                  <w:tcW w:w="510"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生活垃圾</w:t>
                  </w:r>
                </w:p>
              </w:tc>
              <w:tc>
                <w:tcPr>
                  <w:tcW w:w="1333"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w:t>
                  </w:r>
                </w:p>
              </w:tc>
              <w:tc>
                <w:tcPr>
                  <w:tcW w:w="523"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固态</w:t>
                  </w:r>
                </w:p>
              </w:tc>
              <w:tc>
                <w:tcPr>
                  <w:tcW w:w="639"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w:t>
                  </w:r>
                </w:p>
              </w:tc>
              <w:tc>
                <w:tcPr>
                  <w:tcW w:w="1002"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15</w:t>
                  </w:r>
                </w:p>
              </w:tc>
              <w:tc>
                <w:tcPr>
                  <w:tcW w:w="687"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垃圾桶</w:t>
                  </w:r>
                </w:p>
              </w:tc>
              <w:tc>
                <w:tcPr>
                  <w:tcW w:w="1036"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交由环卫部门处理</w:t>
                  </w:r>
                </w:p>
              </w:tc>
              <w:tc>
                <w:tcPr>
                  <w:tcW w:w="89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15</w:t>
                  </w:r>
                </w:p>
              </w:tc>
              <w:tc>
                <w:tcPr>
                  <w:tcW w:w="599" w:type="dxa"/>
                  <w:vMerge w:val="restart"/>
                  <w:vAlign w:val="center"/>
                </w:tcPr>
                <w:p>
                  <w:pPr>
                    <w:adjustRightInd w:val="0"/>
                    <w:snapToGrid w:val="0"/>
                    <w:spacing w:line="240" w:lineRule="exact"/>
                    <w:jc w:val="center"/>
                    <w:rPr>
                      <w:szCs w:val="21"/>
                    </w:rPr>
                  </w:pPr>
                  <w:r>
                    <w:rPr>
                      <w:szCs w:val="21"/>
                    </w:rPr>
                    <w:t>建立环境管理台账制度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边角料</w:t>
                  </w:r>
                </w:p>
              </w:tc>
              <w:tc>
                <w:tcPr>
                  <w:tcW w:w="510" w:type="dxa"/>
                  <w:vMerge w:val="restart"/>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一般</w:t>
                  </w:r>
                  <w:r>
                    <w:rPr>
                      <w:rFonts w:hint="eastAsia" w:eastAsiaTheme="minorEastAsia"/>
                      <w:szCs w:val="21"/>
                      <w:lang w:eastAsia="zh-CN"/>
                    </w:rPr>
                    <w:t>工业</w:t>
                  </w:r>
                  <w:r>
                    <w:rPr>
                      <w:rFonts w:hint="eastAsia" w:eastAsiaTheme="minorEastAsia"/>
                      <w:szCs w:val="21"/>
                    </w:rPr>
                    <w:t>固废</w:t>
                  </w:r>
                </w:p>
              </w:tc>
              <w:tc>
                <w:tcPr>
                  <w:tcW w:w="133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900-999-99</w:t>
                  </w:r>
                </w:p>
              </w:tc>
              <w:tc>
                <w:tcPr>
                  <w:tcW w:w="5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固态</w:t>
                  </w:r>
                </w:p>
              </w:tc>
              <w:tc>
                <w:tcPr>
                  <w:tcW w:w="63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w:t>
                  </w:r>
                </w:p>
              </w:tc>
              <w:tc>
                <w:tcPr>
                  <w:tcW w:w="1002"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4.36</w:t>
                  </w:r>
                </w:p>
              </w:tc>
              <w:tc>
                <w:tcPr>
                  <w:tcW w:w="687" w:type="dxa"/>
                  <w:vMerge w:val="restart"/>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一般固废间</w:t>
                  </w:r>
                </w:p>
              </w:tc>
              <w:tc>
                <w:tcPr>
                  <w:tcW w:w="1036" w:type="dxa"/>
                  <w:vMerge w:val="restart"/>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定期外售至生物质厂家</w:t>
                  </w:r>
                </w:p>
              </w:tc>
              <w:tc>
                <w:tcPr>
                  <w:tcW w:w="89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4.36</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收集的粉尘</w:t>
                  </w:r>
                </w:p>
              </w:tc>
              <w:tc>
                <w:tcPr>
                  <w:tcW w:w="510" w:type="dxa"/>
                  <w:vMerge w:val="continue"/>
                  <w:vAlign w:val="center"/>
                </w:tcPr>
                <w:p>
                  <w:pPr>
                    <w:adjustRightInd w:val="0"/>
                    <w:snapToGrid w:val="0"/>
                    <w:spacing w:before="60" w:beforeLines="25" w:after="60" w:afterLines="25"/>
                    <w:jc w:val="center"/>
                    <w:rPr>
                      <w:rFonts w:eastAsiaTheme="minorEastAsia"/>
                      <w:szCs w:val="21"/>
                    </w:rPr>
                  </w:pPr>
                </w:p>
              </w:tc>
              <w:tc>
                <w:tcPr>
                  <w:tcW w:w="133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900-999-66</w:t>
                  </w:r>
                </w:p>
              </w:tc>
              <w:tc>
                <w:tcPr>
                  <w:tcW w:w="5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固态</w:t>
                  </w:r>
                </w:p>
              </w:tc>
              <w:tc>
                <w:tcPr>
                  <w:tcW w:w="63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w:t>
                  </w:r>
                </w:p>
              </w:tc>
              <w:tc>
                <w:tcPr>
                  <w:tcW w:w="1002"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0.</w:t>
                  </w:r>
                  <w:r>
                    <w:rPr>
                      <w:rFonts w:hint="eastAsia" w:eastAsiaTheme="minorEastAsia"/>
                      <w:szCs w:val="21"/>
                    </w:rPr>
                    <w:t>82656</w:t>
                  </w:r>
                </w:p>
              </w:tc>
              <w:tc>
                <w:tcPr>
                  <w:tcW w:w="687" w:type="dxa"/>
                  <w:vMerge w:val="continue"/>
                  <w:vAlign w:val="center"/>
                </w:tcPr>
                <w:p>
                  <w:pPr>
                    <w:adjustRightInd w:val="0"/>
                    <w:snapToGrid w:val="0"/>
                    <w:spacing w:before="60" w:beforeLines="25" w:after="60" w:afterLines="25"/>
                    <w:jc w:val="center"/>
                    <w:rPr>
                      <w:rFonts w:eastAsiaTheme="minorEastAsia"/>
                      <w:szCs w:val="21"/>
                    </w:rPr>
                  </w:pPr>
                </w:p>
              </w:tc>
              <w:tc>
                <w:tcPr>
                  <w:tcW w:w="1036" w:type="dxa"/>
                  <w:vMerge w:val="continue"/>
                  <w:vAlign w:val="center"/>
                </w:tcPr>
                <w:p>
                  <w:pPr>
                    <w:adjustRightInd w:val="0"/>
                    <w:snapToGrid w:val="0"/>
                    <w:spacing w:before="60" w:beforeLines="25" w:after="60" w:afterLines="25"/>
                    <w:jc w:val="center"/>
                    <w:rPr>
                      <w:rFonts w:eastAsiaTheme="minorEastAsia"/>
                      <w:szCs w:val="21"/>
                    </w:rPr>
                  </w:pPr>
                </w:p>
              </w:tc>
              <w:tc>
                <w:tcPr>
                  <w:tcW w:w="899"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0.</w:t>
                  </w:r>
                  <w:r>
                    <w:rPr>
                      <w:rFonts w:hint="eastAsia" w:eastAsiaTheme="minorEastAsia"/>
                      <w:szCs w:val="21"/>
                    </w:rPr>
                    <w:t>82656</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水帘柜喷淋用水更换液</w:t>
                  </w:r>
                </w:p>
              </w:tc>
              <w:tc>
                <w:tcPr>
                  <w:tcW w:w="510" w:type="dxa"/>
                  <w:vMerge w:val="restart"/>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危险废物</w:t>
                  </w:r>
                </w:p>
              </w:tc>
              <w:tc>
                <w:tcPr>
                  <w:tcW w:w="133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900-252-12</w:t>
                  </w:r>
                </w:p>
              </w:tc>
              <w:tc>
                <w:tcPr>
                  <w:tcW w:w="5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液态</w:t>
                  </w:r>
                </w:p>
              </w:tc>
              <w:tc>
                <w:tcPr>
                  <w:tcW w:w="63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T,I</w:t>
                  </w:r>
                </w:p>
              </w:tc>
              <w:tc>
                <w:tcPr>
                  <w:tcW w:w="1002" w:type="dxa"/>
                  <w:vAlign w:val="center"/>
                </w:tcPr>
                <w:p>
                  <w:pPr>
                    <w:adjustRightInd w:val="0"/>
                    <w:snapToGrid w:val="0"/>
                    <w:spacing w:before="60" w:beforeLines="25" w:after="60" w:afterLines="25"/>
                    <w:jc w:val="center"/>
                    <w:rPr>
                      <w:rFonts w:hint="default" w:eastAsiaTheme="minorEastAsia"/>
                      <w:szCs w:val="21"/>
                      <w:lang w:val="en-US" w:eastAsia="zh-CN"/>
                    </w:rPr>
                  </w:pPr>
                  <w:r>
                    <w:rPr>
                      <w:rFonts w:hint="eastAsia" w:eastAsiaTheme="minorEastAsia"/>
                      <w:szCs w:val="21"/>
                      <w:lang w:val="en-US" w:eastAsia="zh-CN"/>
                    </w:rPr>
                    <w:t>12</w:t>
                  </w:r>
                </w:p>
              </w:tc>
              <w:tc>
                <w:tcPr>
                  <w:tcW w:w="687"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桶装</w:t>
                  </w:r>
                </w:p>
              </w:tc>
              <w:tc>
                <w:tcPr>
                  <w:tcW w:w="1036"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交由有资质单位处置</w:t>
                  </w:r>
                </w:p>
              </w:tc>
              <w:tc>
                <w:tcPr>
                  <w:tcW w:w="899" w:type="dxa"/>
                  <w:vAlign w:val="center"/>
                </w:tcPr>
                <w:p>
                  <w:pPr>
                    <w:adjustRightInd w:val="0"/>
                    <w:snapToGrid w:val="0"/>
                    <w:spacing w:before="60" w:beforeLines="25" w:after="60" w:afterLines="25"/>
                    <w:jc w:val="center"/>
                    <w:rPr>
                      <w:rFonts w:hint="default" w:eastAsiaTheme="minorEastAsia"/>
                      <w:szCs w:val="21"/>
                      <w:lang w:val="en-US" w:eastAsia="zh-CN"/>
                    </w:rPr>
                  </w:pPr>
                  <w:r>
                    <w:rPr>
                      <w:rFonts w:hint="eastAsia" w:eastAsiaTheme="minorEastAsia"/>
                      <w:szCs w:val="21"/>
                      <w:lang w:val="en-US" w:eastAsia="zh-CN"/>
                    </w:rPr>
                    <w:t>12</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漆渣</w:t>
                  </w:r>
                </w:p>
              </w:tc>
              <w:tc>
                <w:tcPr>
                  <w:tcW w:w="510" w:type="dxa"/>
                  <w:vMerge w:val="continue"/>
                  <w:vAlign w:val="center"/>
                </w:tcPr>
                <w:p>
                  <w:pPr>
                    <w:adjustRightInd w:val="0"/>
                    <w:snapToGrid w:val="0"/>
                    <w:spacing w:before="60" w:beforeLines="25" w:after="60" w:afterLines="25"/>
                    <w:jc w:val="center"/>
                    <w:rPr>
                      <w:rFonts w:eastAsiaTheme="minorEastAsia"/>
                      <w:szCs w:val="21"/>
                    </w:rPr>
                  </w:pPr>
                </w:p>
              </w:tc>
              <w:tc>
                <w:tcPr>
                  <w:tcW w:w="133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900-252-12</w:t>
                  </w:r>
                </w:p>
              </w:tc>
              <w:tc>
                <w:tcPr>
                  <w:tcW w:w="5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固态</w:t>
                  </w:r>
                </w:p>
              </w:tc>
              <w:tc>
                <w:tcPr>
                  <w:tcW w:w="63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T,I</w:t>
                  </w:r>
                </w:p>
              </w:tc>
              <w:tc>
                <w:tcPr>
                  <w:tcW w:w="1002"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0.4323</w:t>
                  </w:r>
                </w:p>
              </w:tc>
              <w:tc>
                <w:tcPr>
                  <w:tcW w:w="687"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桶</w:t>
                  </w:r>
                  <w:r>
                    <w:rPr>
                      <w:rFonts w:hint="eastAsia" w:eastAsiaTheme="minorEastAsia"/>
                      <w:szCs w:val="21"/>
                    </w:rPr>
                    <w:t>装于危废暂存间</w:t>
                  </w:r>
                </w:p>
              </w:tc>
              <w:tc>
                <w:tcPr>
                  <w:tcW w:w="1036"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交由有资质单位处置</w:t>
                  </w:r>
                </w:p>
              </w:tc>
              <w:tc>
                <w:tcPr>
                  <w:tcW w:w="89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0.4323</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废活性炭</w:t>
                  </w:r>
                </w:p>
              </w:tc>
              <w:tc>
                <w:tcPr>
                  <w:tcW w:w="510" w:type="dxa"/>
                  <w:vMerge w:val="continue"/>
                  <w:vAlign w:val="center"/>
                </w:tcPr>
                <w:p>
                  <w:pPr>
                    <w:adjustRightInd w:val="0"/>
                    <w:snapToGrid w:val="0"/>
                    <w:spacing w:before="60" w:beforeLines="25" w:after="60" w:afterLines="25"/>
                    <w:jc w:val="center"/>
                    <w:rPr>
                      <w:rFonts w:eastAsiaTheme="minorEastAsia"/>
                      <w:szCs w:val="21"/>
                    </w:rPr>
                  </w:pPr>
                </w:p>
              </w:tc>
              <w:tc>
                <w:tcPr>
                  <w:tcW w:w="133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900-039-49</w:t>
                  </w:r>
                </w:p>
              </w:tc>
              <w:tc>
                <w:tcPr>
                  <w:tcW w:w="523"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固态</w:t>
                  </w:r>
                </w:p>
              </w:tc>
              <w:tc>
                <w:tcPr>
                  <w:tcW w:w="639"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T/In</w:t>
                  </w:r>
                </w:p>
              </w:tc>
              <w:tc>
                <w:tcPr>
                  <w:tcW w:w="1002" w:type="dxa"/>
                  <w:vAlign w:val="center"/>
                </w:tcPr>
                <w:p>
                  <w:pPr>
                    <w:adjustRightInd w:val="0"/>
                    <w:snapToGrid w:val="0"/>
                    <w:spacing w:before="60" w:beforeLines="25" w:after="60" w:afterLines="25"/>
                    <w:jc w:val="center"/>
                    <w:rPr>
                      <w:rFonts w:hint="default" w:eastAsiaTheme="minorEastAsia"/>
                      <w:szCs w:val="21"/>
                      <w:lang w:val="en-US" w:eastAsia="zh-CN"/>
                    </w:rPr>
                  </w:pPr>
                  <w:r>
                    <w:rPr>
                      <w:rFonts w:hint="eastAsia" w:eastAsiaTheme="minorEastAsia"/>
                      <w:szCs w:val="21"/>
                      <w:lang w:val="en-US" w:eastAsia="zh-CN"/>
                    </w:rPr>
                    <w:t>7.8</w:t>
                  </w:r>
                </w:p>
              </w:tc>
              <w:tc>
                <w:tcPr>
                  <w:tcW w:w="687" w:type="dxa"/>
                  <w:vAlign w:val="center"/>
                </w:tcPr>
                <w:p>
                  <w:pPr>
                    <w:adjustRightInd w:val="0"/>
                    <w:snapToGrid w:val="0"/>
                    <w:spacing w:before="60" w:beforeLines="25" w:after="60" w:afterLines="25"/>
                    <w:jc w:val="center"/>
                    <w:rPr>
                      <w:rFonts w:eastAsiaTheme="minorEastAsia"/>
                      <w:szCs w:val="21"/>
                    </w:rPr>
                  </w:pPr>
                  <w:r>
                    <w:rPr>
                      <w:rFonts w:eastAsiaTheme="minorEastAsia"/>
                      <w:szCs w:val="21"/>
                    </w:rPr>
                    <w:t>桶</w:t>
                  </w:r>
                  <w:r>
                    <w:rPr>
                      <w:rFonts w:hint="eastAsia" w:eastAsiaTheme="minorEastAsia"/>
                      <w:szCs w:val="21"/>
                    </w:rPr>
                    <w:t>装于危废暂存间</w:t>
                  </w:r>
                </w:p>
              </w:tc>
              <w:tc>
                <w:tcPr>
                  <w:tcW w:w="1036" w:type="dxa"/>
                  <w:vAlign w:val="center"/>
                </w:tcPr>
                <w:p>
                  <w:pPr>
                    <w:adjustRightInd w:val="0"/>
                    <w:snapToGrid w:val="0"/>
                    <w:spacing w:before="60" w:beforeLines="25" w:after="60" w:afterLines="25"/>
                    <w:jc w:val="center"/>
                    <w:rPr>
                      <w:rFonts w:eastAsiaTheme="minorEastAsia"/>
                      <w:szCs w:val="21"/>
                    </w:rPr>
                  </w:pPr>
                  <w:r>
                    <w:rPr>
                      <w:rFonts w:hint="eastAsia" w:eastAsiaTheme="minorEastAsia"/>
                      <w:szCs w:val="21"/>
                    </w:rPr>
                    <w:t>交由有资质单位处置</w:t>
                  </w:r>
                </w:p>
              </w:tc>
              <w:tc>
                <w:tcPr>
                  <w:tcW w:w="899" w:type="dxa"/>
                  <w:vAlign w:val="center"/>
                </w:tcPr>
                <w:p>
                  <w:pPr>
                    <w:adjustRightInd w:val="0"/>
                    <w:snapToGrid w:val="0"/>
                    <w:spacing w:before="60" w:beforeLines="25" w:after="60" w:afterLines="25"/>
                    <w:jc w:val="center"/>
                    <w:rPr>
                      <w:rFonts w:hint="default" w:eastAsiaTheme="minorEastAsia"/>
                      <w:szCs w:val="21"/>
                      <w:lang w:val="en-US" w:eastAsia="zh-CN"/>
                    </w:rPr>
                  </w:pPr>
                  <w:r>
                    <w:rPr>
                      <w:rFonts w:hint="eastAsia" w:eastAsiaTheme="minorEastAsia"/>
                      <w:szCs w:val="21"/>
                      <w:lang w:val="en-US" w:eastAsia="zh-CN"/>
                    </w:rPr>
                    <w:t>7.8</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pPr>
                  <w:r>
                    <w:rPr>
                      <w:rFonts w:hint="eastAsia"/>
                    </w:rPr>
                    <w:t>废油漆桶</w:t>
                  </w:r>
                </w:p>
              </w:tc>
              <w:tc>
                <w:tcPr>
                  <w:tcW w:w="510" w:type="dxa"/>
                  <w:vMerge w:val="continue"/>
                  <w:vAlign w:val="center"/>
                </w:tcPr>
                <w:p>
                  <w:pPr>
                    <w:adjustRightInd w:val="0"/>
                    <w:snapToGrid w:val="0"/>
                    <w:spacing w:line="240" w:lineRule="exact"/>
                    <w:jc w:val="center"/>
                    <w:rPr>
                      <w:szCs w:val="21"/>
                    </w:rPr>
                  </w:pPr>
                </w:p>
              </w:tc>
              <w:tc>
                <w:tcPr>
                  <w:tcW w:w="1333" w:type="dxa"/>
                  <w:vAlign w:val="center"/>
                </w:tcPr>
                <w:p>
                  <w:pPr>
                    <w:adjustRightInd w:val="0"/>
                    <w:snapToGrid w:val="0"/>
                    <w:spacing w:before="60" w:beforeLines="25" w:after="60" w:afterLines="25"/>
                    <w:jc w:val="center"/>
                  </w:pPr>
                  <w:r>
                    <w:rPr>
                      <w:rFonts w:hint="eastAsia"/>
                    </w:rPr>
                    <w:t>900-041-49</w:t>
                  </w:r>
                </w:p>
              </w:tc>
              <w:tc>
                <w:tcPr>
                  <w:tcW w:w="523" w:type="dxa"/>
                  <w:vAlign w:val="center"/>
                </w:tcPr>
                <w:p>
                  <w:pPr>
                    <w:adjustRightInd w:val="0"/>
                    <w:snapToGrid w:val="0"/>
                    <w:spacing w:before="60" w:beforeLines="25" w:after="60" w:afterLines="25"/>
                    <w:jc w:val="center"/>
                  </w:pPr>
                  <w:r>
                    <w:rPr>
                      <w:rFonts w:hint="eastAsia"/>
                    </w:rPr>
                    <w:t>固态</w:t>
                  </w:r>
                </w:p>
              </w:tc>
              <w:tc>
                <w:tcPr>
                  <w:tcW w:w="639" w:type="dxa"/>
                  <w:vAlign w:val="center"/>
                </w:tcPr>
                <w:p>
                  <w:pPr>
                    <w:adjustRightInd w:val="0"/>
                    <w:snapToGrid w:val="0"/>
                    <w:spacing w:before="60" w:beforeLines="25" w:after="60" w:afterLines="25"/>
                    <w:jc w:val="center"/>
                  </w:pPr>
                  <w:r>
                    <w:rPr>
                      <w:rFonts w:hint="eastAsia"/>
                    </w:rPr>
                    <w:t>T/In</w:t>
                  </w:r>
                </w:p>
              </w:tc>
              <w:tc>
                <w:tcPr>
                  <w:tcW w:w="1002" w:type="dxa"/>
                  <w:vAlign w:val="center"/>
                </w:tcPr>
                <w:p>
                  <w:pPr>
                    <w:adjustRightInd w:val="0"/>
                    <w:snapToGrid w:val="0"/>
                    <w:spacing w:before="60" w:beforeLines="25" w:after="60" w:afterLines="25"/>
                    <w:jc w:val="center"/>
                  </w:pPr>
                  <w:r>
                    <w:rPr>
                      <w:rFonts w:hint="eastAsia"/>
                    </w:rPr>
                    <w:t>0.6</w:t>
                  </w:r>
                </w:p>
              </w:tc>
              <w:tc>
                <w:tcPr>
                  <w:tcW w:w="687" w:type="dxa"/>
                  <w:vAlign w:val="center"/>
                </w:tcPr>
                <w:p>
                  <w:pPr>
                    <w:adjustRightInd w:val="0"/>
                    <w:snapToGrid w:val="0"/>
                    <w:spacing w:before="60" w:beforeLines="25" w:after="60" w:afterLines="25"/>
                    <w:jc w:val="center"/>
                  </w:pPr>
                  <w:r>
                    <w:t>桶</w:t>
                  </w:r>
                  <w:r>
                    <w:rPr>
                      <w:rFonts w:hint="eastAsia"/>
                    </w:rPr>
                    <w:t>装于危废暂存间</w:t>
                  </w:r>
                </w:p>
              </w:tc>
              <w:tc>
                <w:tcPr>
                  <w:tcW w:w="1036" w:type="dxa"/>
                  <w:vAlign w:val="center"/>
                </w:tcPr>
                <w:p>
                  <w:pPr>
                    <w:adjustRightInd w:val="0"/>
                    <w:snapToGrid w:val="0"/>
                    <w:spacing w:before="60" w:beforeLines="25" w:after="60" w:afterLines="25"/>
                    <w:jc w:val="center"/>
                  </w:pPr>
                  <w:r>
                    <w:rPr>
                      <w:rFonts w:hint="eastAsia"/>
                    </w:rPr>
                    <w:t>交由有资质单位处置</w:t>
                  </w:r>
                </w:p>
              </w:tc>
              <w:tc>
                <w:tcPr>
                  <w:tcW w:w="899" w:type="dxa"/>
                  <w:vAlign w:val="center"/>
                </w:tcPr>
                <w:p>
                  <w:pPr>
                    <w:adjustRightInd w:val="0"/>
                    <w:snapToGrid w:val="0"/>
                    <w:spacing w:before="60" w:beforeLines="25" w:after="60" w:afterLines="25"/>
                    <w:jc w:val="center"/>
                  </w:pPr>
                  <w:r>
                    <w:rPr>
                      <w:rFonts w:hint="eastAsia"/>
                    </w:rPr>
                    <w:t>0.6</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pPr>
                  <w:r>
                    <w:rPr>
                      <w:rFonts w:hint="eastAsia"/>
                    </w:rPr>
                    <w:t>废抹布</w:t>
                  </w:r>
                </w:p>
              </w:tc>
              <w:tc>
                <w:tcPr>
                  <w:tcW w:w="510" w:type="dxa"/>
                  <w:vMerge w:val="continue"/>
                  <w:vAlign w:val="center"/>
                </w:tcPr>
                <w:p>
                  <w:pPr>
                    <w:adjustRightInd w:val="0"/>
                    <w:snapToGrid w:val="0"/>
                    <w:spacing w:line="240" w:lineRule="exact"/>
                    <w:jc w:val="center"/>
                    <w:rPr>
                      <w:szCs w:val="21"/>
                    </w:rPr>
                  </w:pPr>
                </w:p>
              </w:tc>
              <w:tc>
                <w:tcPr>
                  <w:tcW w:w="1333" w:type="dxa"/>
                  <w:vAlign w:val="center"/>
                </w:tcPr>
                <w:p>
                  <w:pPr>
                    <w:adjustRightInd w:val="0"/>
                    <w:snapToGrid w:val="0"/>
                    <w:spacing w:before="60" w:beforeLines="25" w:after="60" w:afterLines="25"/>
                    <w:jc w:val="center"/>
                  </w:pPr>
                  <w:r>
                    <w:rPr>
                      <w:rFonts w:hint="eastAsia"/>
                    </w:rPr>
                    <w:t>900-250-12</w:t>
                  </w:r>
                </w:p>
              </w:tc>
              <w:tc>
                <w:tcPr>
                  <w:tcW w:w="523" w:type="dxa"/>
                  <w:vAlign w:val="center"/>
                </w:tcPr>
                <w:p>
                  <w:pPr>
                    <w:adjustRightInd w:val="0"/>
                    <w:snapToGrid w:val="0"/>
                    <w:spacing w:before="60" w:beforeLines="25" w:after="60" w:afterLines="25"/>
                    <w:jc w:val="center"/>
                  </w:pPr>
                  <w:r>
                    <w:rPr>
                      <w:rFonts w:hint="eastAsia"/>
                    </w:rPr>
                    <w:t>固态</w:t>
                  </w:r>
                </w:p>
              </w:tc>
              <w:tc>
                <w:tcPr>
                  <w:tcW w:w="639" w:type="dxa"/>
                  <w:vAlign w:val="center"/>
                </w:tcPr>
                <w:p>
                  <w:pPr>
                    <w:adjustRightInd w:val="0"/>
                    <w:snapToGrid w:val="0"/>
                    <w:spacing w:before="60" w:beforeLines="25" w:after="60" w:afterLines="25"/>
                    <w:jc w:val="center"/>
                  </w:pPr>
                  <w:r>
                    <w:t>T/In</w:t>
                  </w:r>
                </w:p>
              </w:tc>
              <w:tc>
                <w:tcPr>
                  <w:tcW w:w="1002" w:type="dxa"/>
                  <w:vAlign w:val="center"/>
                </w:tcPr>
                <w:p>
                  <w:pPr>
                    <w:adjustRightInd w:val="0"/>
                    <w:snapToGrid w:val="0"/>
                    <w:spacing w:before="60" w:beforeLines="25" w:after="60" w:afterLines="25"/>
                    <w:jc w:val="center"/>
                  </w:pPr>
                  <w:r>
                    <w:rPr>
                      <w:rFonts w:hint="eastAsia"/>
                    </w:rPr>
                    <w:t>0.1</w:t>
                  </w:r>
                </w:p>
              </w:tc>
              <w:tc>
                <w:tcPr>
                  <w:tcW w:w="687" w:type="dxa"/>
                  <w:vAlign w:val="center"/>
                </w:tcPr>
                <w:p>
                  <w:pPr>
                    <w:adjustRightInd w:val="0"/>
                    <w:snapToGrid w:val="0"/>
                    <w:spacing w:before="60" w:beforeLines="25" w:after="60" w:afterLines="25"/>
                    <w:jc w:val="center"/>
                  </w:pPr>
                  <w:r>
                    <w:t>桶</w:t>
                  </w:r>
                  <w:r>
                    <w:rPr>
                      <w:rFonts w:hint="eastAsia"/>
                    </w:rPr>
                    <w:t>装于危废暂存间</w:t>
                  </w:r>
                </w:p>
              </w:tc>
              <w:tc>
                <w:tcPr>
                  <w:tcW w:w="1036" w:type="dxa"/>
                  <w:vAlign w:val="center"/>
                </w:tcPr>
                <w:p>
                  <w:pPr>
                    <w:adjustRightInd w:val="0"/>
                    <w:snapToGrid w:val="0"/>
                    <w:spacing w:before="60" w:beforeLines="25" w:after="60" w:afterLines="25"/>
                    <w:jc w:val="center"/>
                  </w:pPr>
                  <w:r>
                    <w:rPr>
                      <w:rFonts w:hint="eastAsia"/>
                    </w:rPr>
                    <w:t>交由有资质单位处置</w:t>
                  </w:r>
                </w:p>
              </w:tc>
              <w:tc>
                <w:tcPr>
                  <w:tcW w:w="899" w:type="dxa"/>
                  <w:vAlign w:val="center"/>
                </w:tcPr>
                <w:p>
                  <w:pPr>
                    <w:adjustRightInd w:val="0"/>
                    <w:snapToGrid w:val="0"/>
                    <w:spacing w:before="60" w:beforeLines="25" w:after="60" w:afterLines="25"/>
                    <w:jc w:val="center"/>
                  </w:pPr>
                  <w:r>
                    <w:rPr>
                      <w:rFonts w:hint="eastAsia"/>
                    </w:rPr>
                    <w:t>0.1</w:t>
                  </w:r>
                </w:p>
              </w:tc>
              <w:tc>
                <w:tcPr>
                  <w:tcW w:w="599" w:type="dxa"/>
                  <w:vMerge w:val="continue"/>
                  <w:vAlign w:val="center"/>
                </w:tcPr>
                <w:p>
                  <w:pPr>
                    <w:adjustRightInd w:val="0"/>
                    <w:snapToGrid w:val="0"/>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6" w:type="dxa"/>
                  <w:vMerge w:val="continue"/>
                  <w:vAlign w:val="center"/>
                </w:tcPr>
                <w:p>
                  <w:pPr>
                    <w:adjustRightInd w:val="0"/>
                    <w:snapToGrid w:val="0"/>
                    <w:spacing w:line="240" w:lineRule="exact"/>
                    <w:jc w:val="center"/>
                    <w:rPr>
                      <w:szCs w:val="21"/>
                    </w:rPr>
                  </w:pPr>
                </w:p>
              </w:tc>
              <w:tc>
                <w:tcPr>
                  <w:tcW w:w="723" w:type="dxa"/>
                  <w:vAlign w:val="center"/>
                </w:tcPr>
                <w:p>
                  <w:pPr>
                    <w:adjustRightInd w:val="0"/>
                    <w:snapToGrid w:val="0"/>
                    <w:spacing w:before="60" w:beforeLines="25" w:after="60" w:afterLines="25"/>
                    <w:jc w:val="center"/>
                  </w:pPr>
                  <w:r>
                    <w:rPr>
                      <w:rFonts w:hint="eastAsia"/>
                    </w:rPr>
                    <w:t>喷枪清洗涂料渣</w:t>
                  </w:r>
                </w:p>
              </w:tc>
              <w:tc>
                <w:tcPr>
                  <w:tcW w:w="510" w:type="dxa"/>
                  <w:vMerge w:val="continue"/>
                  <w:vAlign w:val="center"/>
                </w:tcPr>
                <w:p>
                  <w:pPr>
                    <w:adjustRightInd w:val="0"/>
                    <w:snapToGrid w:val="0"/>
                    <w:spacing w:line="240" w:lineRule="exact"/>
                    <w:jc w:val="center"/>
                    <w:rPr>
                      <w:szCs w:val="21"/>
                    </w:rPr>
                  </w:pPr>
                </w:p>
              </w:tc>
              <w:tc>
                <w:tcPr>
                  <w:tcW w:w="1333" w:type="dxa"/>
                  <w:vAlign w:val="center"/>
                </w:tcPr>
                <w:p>
                  <w:pPr>
                    <w:adjustRightInd w:val="0"/>
                    <w:snapToGrid w:val="0"/>
                    <w:spacing w:before="60" w:beforeLines="25" w:after="60" w:afterLines="25"/>
                    <w:jc w:val="center"/>
                  </w:pPr>
                  <w:r>
                    <w:rPr>
                      <w:rFonts w:hint="eastAsia"/>
                    </w:rPr>
                    <w:t>900-250-12</w:t>
                  </w:r>
                </w:p>
              </w:tc>
              <w:tc>
                <w:tcPr>
                  <w:tcW w:w="523" w:type="dxa"/>
                  <w:vAlign w:val="center"/>
                </w:tcPr>
                <w:p>
                  <w:pPr>
                    <w:adjustRightInd w:val="0"/>
                    <w:snapToGrid w:val="0"/>
                    <w:spacing w:before="60" w:beforeLines="25" w:after="60" w:afterLines="25"/>
                    <w:jc w:val="center"/>
                  </w:pPr>
                  <w:r>
                    <w:rPr>
                      <w:rFonts w:hint="eastAsia"/>
                    </w:rPr>
                    <w:t>固态</w:t>
                  </w:r>
                </w:p>
              </w:tc>
              <w:tc>
                <w:tcPr>
                  <w:tcW w:w="639" w:type="dxa"/>
                  <w:vAlign w:val="center"/>
                </w:tcPr>
                <w:p>
                  <w:pPr>
                    <w:adjustRightInd w:val="0"/>
                    <w:snapToGrid w:val="0"/>
                    <w:spacing w:before="60" w:beforeLines="25" w:after="60" w:afterLines="25"/>
                    <w:jc w:val="center"/>
                  </w:pPr>
                  <w:r>
                    <w:rPr>
                      <w:rFonts w:hint="eastAsia"/>
                    </w:rPr>
                    <w:t>T,I</w:t>
                  </w:r>
                </w:p>
              </w:tc>
              <w:tc>
                <w:tcPr>
                  <w:tcW w:w="1002" w:type="dxa"/>
                  <w:vAlign w:val="center"/>
                </w:tcPr>
                <w:p>
                  <w:pPr>
                    <w:adjustRightInd w:val="0"/>
                    <w:snapToGrid w:val="0"/>
                    <w:spacing w:before="60" w:beforeLines="25" w:after="60" w:afterLines="25"/>
                    <w:jc w:val="center"/>
                  </w:pPr>
                  <w:r>
                    <w:rPr>
                      <w:rFonts w:hint="eastAsia"/>
                    </w:rPr>
                    <w:t>0.1</w:t>
                  </w:r>
                </w:p>
              </w:tc>
              <w:tc>
                <w:tcPr>
                  <w:tcW w:w="687" w:type="dxa"/>
                  <w:vAlign w:val="center"/>
                </w:tcPr>
                <w:p>
                  <w:pPr>
                    <w:adjustRightInd w:val="0"/>
                    <w:snapToGrid w:val="0"/>
                    <w:spacing w:before="60" w:beforeLines="25" w:after="60" w:afterLines="25"/>
                    <w:jc w:val="center"/>
                  </w:pPr>
                  <w:r>
                    <w:t>桶</w:t>
                  </w:r>
                  <w:r>
                    <w:rPr>
                      <w:rFonts w:hint="eastAsia"/>
                    </w:rPr>
                    <w:t>装于危废暂存间</w:t>
                  </w:r>
                </w:p>
              </w:tc>
              <w:tc>
                <w:tcPr>
                  <w:tcW w:w="1036" w:type="dxa"/>
                  <w:vAlign w:val="center"/>
                </w:tcPr>
                <w:p>
                  <w:pPr>
                    <w:adjustRightInd w:val="0"/>
                    <w:snapToGrid w:val="0"/>
                    <w:spacing w:before="60" w:beforeLines="25" w:after="60" w:afterLines="25"/>
                    <w:jc w:val="center"/>
                  </w:pPr>
                  <w:r>
                    <w:rPr>
                      <w:rFonts w:hint="eastAsia"/>
                    </w:rPr>
                    <w:t>交由有资质单位处置</w:t>
                  </w:r>
                </w:p>
              </w:tc>
              <w:tc>
                <w:tcPr>
                  <w:tcW w:w="899" w:type="dxa"/>
                  <w:vAlign w:val="center"/>
                </w:tcPr>
                <w:p>
                  <w:pPr>
                    <w:adjustRightInd w:val="0"/>
                    <w:snapToGrid w:val="0"/>
                    <w:spacing w:before="60" w:beforeLines="25" w:after="60" w:afterLines="25"/>
                    <w:jc w:val="center"/>
                  </w:pPr>
                  <w:r>
                    <w:rPr>
                      <w:rFonts w:hint="eastAsia"/>
                    </w:rPr>
                    <w:t>0.1</w:t>
                  </w:r>
                </w:p>
              </w:tc>
              <w:tc>
                <w:tcPr>
                  <w:tcW w:w="599" w:type="dxa"/>
                  <w:vMerge w:val="continue"/>
                  <w:vAlign w:val="center"/>
                </w:tcPr>
                <w:p>
                  <w:pPr>
                    <w:adjustRightInd w:val="0"/>
                    <w:snapToGrid w:val="0"/>
                    <w:spacing w:line="240" w:lineRule="exact"/>
                    <w:jc w:val="center"/>
                    <w:rPr>
                      <w:szCs w:val="21"/>
                    </w:rPr>
                  </w:pPr>
                </w:p>
              </w:tc>
            </w:tr>
          </w:tbl>
          <w:p>
            <w:pPr>
              <w:adjustRightInd w:val="0"/>
              <w:snapToGrid w:val="0"/>
              <w:spacing w:line="360" w:lineRule="auto"/>
              <w:ind w:firstLine="482" w:firstLineChars="200"/>
              <w:rPr>
                <w:sz w:val="24"/>
              </w:rPr>
            </w:pPr>
            <w:r>
              <w:rPr>
                <w:b/>
                <w:sz w:val="24"/>
              </w:rPr>
              <w:t>⑵</w:t>
            </w:r>
            <w:r>
              <w:rPr>
                <w:rFonts w:hint="eastAsia"/>
                <w:b/>
                <w:sz w:val="24"/>
              </w:rPr>
              <w:t>一般</w:t>
            </w:r>
            <w:r>
              <w:rPr>
                <w:rFonts w:hint="eastAsia"/>
                <w:b/>
                <w:sz w:val="24"/>
                <w:lang w:eastAsia="zh-CN"/>
              </w:rPr>
              <w:t>工业</w:t>
            </w:r>
            <w:r>
              <w:rPr>
                <w:b/>
                <w:sz w:val="24"/>
              </w:rPr>
              <w:t>固体废物保护措施</w:t>
            </w:r>
          </w:p>
          <w:p>
            <w:pPr>
              <w:spacing w:line="360" w:lineRule="auto"/>
              <w:ind w:firstLine="480" w:firstLineChars="200"/>
              <w:rPr>
                <w:sz w:val="24"/>
              </w:rPr>
            </w:pPr>
            <w:r>
              <w:rPr>
                <w:rFonts w:hint="eastAsia"/>
                <w:sz w:val="24"/>
              </w:rPr>
              <w:t>一般工业固体废物贮存过程应满足相应防渗漏、防雨淋、防扬尘等环境保护要求</w:t>
            </w:r>
            <w:r>
              <w:rPr>
                <w:sz w:val="24"/>
              </w:rPr>
              <w:t>，在</w:t>
            </w:r>
            <w:r>
              <w:rPr>
                <w:rFonts w:hint="eastAsia"/>
                <w:sz w:val="24"/>
              </w:rPr>
              <w:t>原辅料仓库</w:t>
            </w:r>
            <w:r>
              <w:rPr>
                <w:sz w:val="24"/>
              </w:rPr>
              <w:t>设置</w:t>
            </w:r>
            <w:r>
              <w:rPr>
                <w:rFonts w:hint="eastAsia"/>
                <w:sz w:val="24"/>
              </w:rPr>
              <w:t>2</w:t>
            </w:r>
            <w:r>
              <w:rPr>
                <w:sz w:val="24"/>
              </w:rPr>
              <w:t>0m</w:t>
            </w:r>
            <w:r>
              <w:rPr>
                <w:sz w:val="24"/>
                <w:vertAlign w:val="superscript"/>
              </w:rPr>
              <w:t>2</w:t>
            </w:r>
            <w:r>
              <w:rPr>
                <w:sz w:val="24"/>
              </w:rPr>
              <w:t>的一般工业固体废物暂存区。</w:t>
            </w:r>
          </w:p>
          <w:p>
            <w:pPr>
              <w:spacing w:line="360" w:lineRule="auto"/>
              <w:ind w:firstLine="480" w:firstLineChars="200"/>
              <w:rPr>
                <w:sz w:val="24"/>
              </w:rPr>
            </w:pPr>
            <w:r>
              <w:rPr>
                <w:sz w:val="24"/>
              </w:rPr>
              <w:t>项目产生的所有工业固废按照分类临时贮存于固废暂存库。一般</w:t>
            </w:r>
            <w:r>
              <w:rPr>
                <w:rFonts w:hint="eastAsia"/>
                <w:sz w:val="24"/>
              </w:rPr>
              <w:t>工业</w:t>
            </w:r>
            <w:r>
              <w:rPr>
                <w:rFonts w:hint="eastAsia"/>
                <w:sz w:val="24"/>
                <w:lang w:eastAsia="zh-CN"/>
              </w:rPr>
              <w:t>固废</w:t>
            </w:r>
            <w:r>
              <w:rPr>
                <w:sz w:val="24"/>
              </w:rPr>
              <w:t>暂存库严格按照《一般工业固体废物贮存和填埋污染控制标准》（GB18599-2020）的要求建设。具体固体废物贮存要求如下：</w:t>
            </w:r>
          </w:p>
          <w:p>
            <w:pPr>
              <w:spacing w:line="360" w:lineRule="auto"/>
              <w:ind w:firstLine="480" w:firstLineChars="200"/>
              <w:rPr>
                <w:sz w:val="24"/>
              </w:rPr>
            </w:pPr>
            <w:r>
              <w:rPr>
                <w:sz w:val="24"/>
              </w:rPr>
              <w:t>1）一般固废暂存库均设置在厂房内，不受雨水影响。</w:t>
            </w:r>
          </w:p>
          <w:p>
            <w:pPr>
              <w:adjustRightInd w:val="0"/>
              <w:snapToGrid w:val="0"/>
              <w:spacing w:line="360" w:lineRule="auto"/>
              <w:ind w:firstLine="480" w:firstLineChars="200"/>
              <w:rPr>
                <w:sz w:val="24"/>
              </w:rPr>
            </w:pPr>
            <w:r>
              <w:rPr>
                <w:sz w:val="24"/>
              </w:rPr>
              <w:t>2）地面与裙脚要用坚固、防渗的材料建造，建筑材料必须与固体废物相容。一般固废暂存区地面防渗措施采取人工材料构筑，其防渗层的厚度相当于渗透系数1.0×10</w:t>
            </w:r>
            <w:r>
              <w:rPr>
                <w:sz w:val="24"/>
                <w:vertAlign w:val="superscript"/>
              </w:rPr>
              <w:t>-7</w:t>
            </w:r>
            <w:r>
              <w:rPr>
                <w:sz w:val="24"/>
              </w:rPr>
              <w:t>cm/s的防渗性能。</w:t>
            </w:r>
          </w:p>
          <w:p>
            <w:pPr>
              <w:autoSpaceDN w:val="0"/>
              <w:spacing w:before="120" w:beforeLines="50"/>
              <w:ind w:firstLine="482"/>
              <w:jc w:val="center"/>
              <w:rPr>
                <w:rFonts w:eastAsia="黑体"/>
                <w:bCs/>
                <w:spacing w:val="4"/>
                <w:sz w:val="24"/>
              </w:rPr>
            </w:pPr>
            <w:r>
              <w:rPr>
                <w:rFonts w:eastAsia="黑体"/>
                <w:bCs/>
                <w:spacing w:val="4"/>
                <w:sz w:val="24"/>
              </w:rPr>
              <w:t>表4-</w:t>
            </w:r>
            <w:r>
              <w:rPr>
                <w:rFonts w:hint="eastAsia" w:eastAsia="黑体"/>
                <w:bCs/>
                <w:spacing w:val="4"/>
                <w:sz w:val="24"/>
              </w:rPr>
              <w:t>3</w:t>
            </w:r>
            <w:r>
              <w:rPr>
                <w:rFonts w:hint="eastAsia" w:eastAsia="黑体"/>
                <w:bCs/>
                <w:spacing w:val="4"/>
                <w:sz w:val="24"/>
                <w:lang w:val="en-US" w:eastAsia="zh-CN"/>
              </w:rPr>
              <w:t>1</w:t>
            </w:r>
            <w:r>
              <w:rPr>
                <w:rFonts w:hint="eastAsia" w:eastAsia="黑体"/>
                <w:bCs/>
                <w:spacing w:val="4"/>
                <w:sz w:val="24"/>
              </w:rPr>
              <w:t xml:space="preserve"> </w:t>
            </w:r>
            <w:r>
              <w:rPr>
                <w:rFonts w:eastAsia="黑体"/>
                <w:bCs/>
                <w:spacing w:val="4"/>
                <w:sz w:val="24"/>
              </w:rPr>
              <w:t xml:space="preserve"> 项目固废贮存场所（设施）基本情况</w:t>
            </w:r>
          </w:p>
          <w:tbl>
            <w:tblPr>
              <w:tblStyle w:val="33"/>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48"/>
              <w:gridCol w:w="1548"/>
              <w:gridCol w:w="1246"/>
              <w:gridCol w:w="1004"/>
              <w:gridCol w:w="812"/>
              <w:gridCol w:w="814"/>
              <w:gridCol w:w="8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Align w:val="center"/>
                </w:tcPr>
                <w:p>
                  <w:pPr>
                    <w:spacing w:line="340" w:lineRule="atLeast"/>
                    <w:jc w:val="center"/>
                    <w:rPr>
                      <w:szCs w:val="21"/>
                    </w:rPr>
                  </w:pPr>
                  <w:r>
                    <w:rPr>
                      <w:szCs w:val="21"/>
                    </w:rPr>
                    <w:t>序号</w:t>
                  </w:r>
                </w:p>
              </w:tc>
              <w:tc>
                <w:tcPr>
                  <w:tcW w:w="911" w:type="pct"/>
                  <w:vAlign w:val="center"/>
                </w:tcPr>
                <w:p>
                  <w:pPr>
                    <w:spacing w:line="340" w:lineRule="atLeast"/>
                    <w:jc w:val="center"/>
                    <w:rPr>
                      <w:szCs w:val="21"/>
                    </w:rPr>
                  </w:pPr>
                  <w:r>
                    <w:rPr>
                      <w:szCs w:val="21"/>
                    </w:rPr>
                    <w:t>污染物</w:t>
                  </w:r>
                </w:p>
              </w:tc>
              <w:tc>
                <w:tcPr>
                  <w:tcW w:w="911" w:type="pct"/>
                  <w:vAlign w:val="center"/>
                </w:tcPr>
                <w:p>
                  <w:pPr>
                    <w:spacing w:line="340" w:lineRule="atLeast"/>
                    <w:jc w:val="center"/>
                    <w:rPr>
                      <w:szCs w:val="21"/>
                    </w:rPr>
                  </w:pPr>
                  <w:r>
                    <w:rPr>
                      <w:szCs w:val="21"/>
                    </w:rPr>
                    <w:t>贮存场所（设施）名称</w:t>
                  </w:r>
                </w:p>
              </w:tc>
              <w:tc>
                <w:tcPr>
                  <w:tcW w:w="733" w:type="pct"/>
                  <w:vAlign w:val="center"/>
                </w:tcPr>
                <w:p>
                  <w:pPr>
                    <w:spacing w:line="340" w:lineRule="atLeast"/>
                    <w:jc w:val="center"/>
                    <w:rPr>
                      <w:szCs w:val="21"/>
                    </w:rPr>
                  </w:pPr>
                  <w:r>
                    <w:rPr>
                      <w:bCs/>
                      <w:kern w:val="0"/>
                      <w:szCs w:val="21"/>
                    </w:rPr>
                    <w:t>分类</w:t>
                  </w:r>
                </w:p>
              </w:tc>
              <w:tc>
                <w:tcPr>
                  <w:tcW w:w="591" w:type="pct"/>
                  <w:vAlign w:val="center"/>
                </w:tcPr>
                <w:p>
                  <w:pPr>
                    <w:spacing w:line="340" w:lineRule="atLeast"/>
                    <w:jc w:val="center"/>
                    <w:rPr>
                      <w:szCs w:val="21"/>
                    </w:rPr>
                  </w:pPr>
                  <w:r>
                    <w:rPr>
                      <w:szCs w:val="21"/>
                    </w:rPr>
                    <w:t>占地面积</w:t>
                  </w:r>
                </w:p>
              </w:tc>
              <w:tc>
                <w:tcPr>
                  <w:tcW w:w="478" w:type="pct"/>
                  <w:vAlign w:val="center"/>
                </w:tcPr>
                <w:p>
                  <w:pPr>
                    <w:spacing w:line="340" w:lineRule="atLeast"/>
                    <w:jc w:val="center"/>
                    <w:rPr>
                      <w:szCs w:val="21"/>
                    </w:rPr>
                  </w:pPr>
                  <w:r>
                    <w:rPr>
                      <w:szCs w:val="21"/>
                    </w:rPr>
                    <w:t>贮存方式</w:t>
                  </w:r>
                </w:p>
              </w:tc>
              <w:tc>
                <w:tcPr>
                  <w:tcW w:w="479" w:type="pct"/>
                  <w:vAlign w:val="center"/>
                </w:tcPr>
                <w:p>
                  <w:pPr>
                    <w:spacing w:line="340" w:lineRule="atLeast"/>
                    <w:jc w:val="center"/>
                    <w:rPr>
                      <w:szCs w:val="21"/>
                    </w:rPr>
                  </w:pPr>
                  <w:r>
                    <w:rPr>
                      <w:szCs w:val="21"/>
                    </w:rPr>
                    <w:t>贮存能力</w:t>
                  </w:r>
                </w:p>
              </w:tc>
              <w:tc>
                <w:tcPr>
                  <w:tcW w:w="528" w:type="pct"/>
                  <w:vAlign w:val="center"/>
                </w:tcPr>
                <w:p>
                  <w:pPr>
                    <w:spacing w:line="340" w:lineRule="atLeast"/>
                    <w:jc w:val="center"/>
                    <w:rPr>
                      <w:szCs w:val="21"/>
                    </w:rPr>
                  </w:pPr>
                  <w:r>
                    <w:rPr>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Align w:val="center"/>
                </w:tcPr>
                <w:p>
                  <w:pPr>
                    <w:spacing w:line="340" w:lineRule="atLeast"/>
                    <w:jc w:val="center"/>
                    <w:rPr>
                      <w:szCs w:val="21"/>
                    </w:rPr>
                  </w:pPr>
                  <w:r>
                    <w:rPr>
                      <w:szCs w:val="21"/>
                    </w:rPr>
                    <w:t>1</w:t>
                  </w:r>
                </w:p>
              </w:tc>
              <w:tc>
                <w:tcPr>
                  <w:tcW w:w="911" w:type="pct"/>
                  <w:vAlign w:val="center"/>
                </w:tcPr>
                <w:p>
                  <w:pPr>
                    <w:adjustRightInd w:val="0"/>
                    <w:snapToGrid w:val="0"/>
                    <w:spacing w:before="60" w:beforeLines="25" w:after="60" w:afterLines="25"/>
                    <w:jc w:val="center"/>
                  </w:pPr>
                  <w:r>
                    <w:rPr>
                      <w:rFonts w:hint="eastAsia"/>
                    </w:rPr>
                    <w:t>边角料</w:t>
                  </w:r>
                </w:p>
              </w:tc>
              <w:tc>
                <w:tcPr>
                  <w:tcW w:w="911" w:type="pct"/>
                  <w:vMerge w:val="restart"/>
                  <w:vAlign w:val="center"/>
                </w:tcPr>
                <w:p>
                  <w:pPr>
                    <w:jc w:val="center"/>
                    <w:rPr>
                      <w:szCs w:val="21"/>
                    </w:rPr>
                  </w:pPr>
                  <w:r>
                    <w:rPr>
                      <w:szCs w:val="21"/>
                    </w:rPr>
                    <w:t>一般</w:t>
                  </w:r>
                  <w:r>
                    <w:rPr>
                      <w:rFonts w:hint="eastAsia"/>
                      <w:szCs w:val="21"/>
                    </w:rPr>
                    <w:t>工业</w:t>
                  </w:r>
                  <w:r>
                    <w:rPr>
                      <w:szCs w:val="21"/>
                    </w:rPr>
                    <w:t>固废暂存库</w:t>
                  </w:r>
                </w:p>
              </w:tc>
              <w:tc>
                <w:tcPr>
                  <w:tcW w:w="733" w:type="pct"/>
                  <w:vMerge w:val="restart"/>
                  <w:vAlign w:val="center"/>
                </w:tcPr>
                <w:p>
                  <w:pPr>
                    <w:pStyle w:val="76"/>
                    <w:rPr>
                      <w:kern w:val="2"/>
                    </w:rPr>
                  </w:pPr>
                  <w:r>
                    <w:rPr>
                      <w:kern w:val="2"/>
                    </w:rPr>
                    <w:t>一般</w:t>
                  </w:r>
                  <w:r>
                    <w:rPr>
                      <w:rFonts w:hint="eastAsia"/>
                      <w:kern w:val="2"/>
                    </w:rPr>
                    <w:t>工业</w:t>
                  </w:r>
                  <w:r>
                    <w:rPr>
                      <w:kern w:val="2"/>
                    </w:rPr>
                    <w:t>固废</w:t>
                  </w:r>
                </w:p>
              </w:tc>
              <w:tc>
                <w:tcPr>
                  <w:tcW w:w="591" w:type="pct"/>
                  <w:vMerge w:val="restart"/>
                  <w:vAlign w:val="center"/>
                </w:tcPr>
                <w:p>
                  <w:pPr>
                    <w:spacing w:line="340" w:lineRule="atLeast"/>
                    <w:jc w:val="center"/>
                    <w:rPr>
                      <w:szCs w:val="21"/>
                    </w:rPr>
                  </w:pPr>
                  <w:r>
                    <w:rPr>
                      <w:rFonts w:hint="eastAsia"/>
                      <w:szCs w:val="21"/>
                      <w:lang w:val="en-US" w:eastAsia="zh-CN"/>
                    </w:rPr>
                    <w:t>50</w:t>
                  </w:r>
                  <w:r>
                    <w:rPr>
                      <w:szCs w:val="21"/>
                    </w:rPr>
                    <w:t>m</w:t>
                  </w:r>
                  <w:r>
                    <w:rPr>
                      <w:szCs w:val="21"/>
                      <w:vertAlign w:val="superscript"/>
                    </w:rPr>
                    <w:t>2</w:t>
                  </w:r>
                </w:p>
              </w:tc>
              <w:tc>
                <w:tcPr>
                  <w:tcW w:w="478" w:type="pct"/>
                  <w:vAlign w:val="center"/>
                </w:tcPr>
                <w:p>
                  <w:pPr>
                    <w:pStyle w:val="76"/>
                    <w:rPr>
                      <w:kern w:val="2"/>
                    </w:rPr>
                  </w:pPr>
                  <w:r>
                    <w:rPr>
                      <w:kern w:val="2"/>
                    </w:rPr>
                    <w:t>堆存</w:t>
                  </w:r>
                </w:p>
              </w:tc>
              <w:tc>
                <w:tcPr>
                  <w:tcW w:w="479" w:type="pct"/>
                  <w:vMerge w:val="restart"/>
                  <w:vAlign w:val="center"/>
                </w:tcPr>
                <w:p>
                  <w:pPr>
                    <w:spacing w:line="340" w:lineRule="atLeast"/>
                    <w:jc w:val="center"/>
                    <w:rPr>
                      <w:szCs w:val="21"/>
                    </w:rPr>
                  </w:pPr>
                  <w:r>
                    <w:rPr>
                      <w:rFonts w:hint="eastAsia"/>
                      <w:szCs w:val="21"/>
                    </w:rPr>
                    <w:t>3</w:t>
                  </w:r>
                  <w:r>
                    <w:rPr>
                      <w:szCs w:val="21"/>
                    </w:rPr>
                    <w:t>t</w:t>
                  </w:r>
                </w:p>
              </w:tc>
              <w:tc>
                <w:tcPr>
                  <w:tcW w:w="528" w:type="pct"/>
                  <w:vAlign w:val="center"/>
                </w:tcPr>
                <w:p>
                  <w:pPr>
                    <w:spacing w:line="340" w:lineRule="atLeast"/>
                    <w:jc w:val="center"/>
                    <w:rPr>
                      <w:szCs w:val="21"/>
                    </w:rPr>
                  </w:pPr>
                  <w:r>
                    <w:rPr>
                      <w:rFonts w:hint="eastAsia"/>
                      <w:szCs w:val="21"/>
                    </w:rPr>
                    <w:t>180</w:t>
                  </w:r>
                  <w:r>
                    <w:rPr>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Align w:val="center"/>
                </w:tcPr>
                <w:p>
                  <w:pPr>
                    <w:spacing w:line="340" w:lineRule="atLeast"/>
                    <w:jc w:val="center"/>
                    <w:rPr>
                      <w:szCs w:val="21"/>
                    </w:rPr>
                  </w:pPr>
                  <w:r>
                    <w:rPr>
                      <w:szCs w:val="21"/>
                    </w:rPr>
                    <w:t>2</w:t>
                  </w:r>
                </w:p>
              </w:tc>
              <w:tc>
                <w:tcPr>
                  <w:tcW w:w="911" w:type="pct"/>
                  <w:vAlign w:val="center"/>
                </w:tcPr>
                <w:p>
                  <w:pPr>
                    <w:adjustRightInd w:val="0"/>
                    <w:snapToGrid w:val="0"/>
                    <w:spacing w:before="60" w:beforeLines="25" w:after="60" w:afterLines="25"/>
                    <w:jc w:val="center"/>
                  </w:pPr>
                  <w:r>
                    <w:rPr>
                      <w:rFonts w:hint="eastAsia"/>
                    </w:rPr>
                    <w:t>收集的粉尘</w:t>
                  </w:r>
                </w:p>
              </w:tc>
              <w:tc>
                <w:tcPr>
                  <w:tcW w:w="911" w:type="pct"/>
                  <w:vMerge w:val="continue"/>
                  <w:vAlign w:val="center"/>
                </w:tcPr>
                <w:p>
                  <w:pPr>
                    <w:jc w:val="center"/>
                    <w:rPr>
                      <w:szCs w:val="21"/>
                    </w:rPr>
                  </w:pPr>
                </w:p>
              </w:tc>
              <w:tc>
                <w:tcPr>
                  <w:tcW w:w="733" w:type="pct"/>
                  <w:vMerge w:val="continue"/>
                  <w:vAlign w:val="center"/>
                </w:tcPr>
                <w:p>
                  <w:pPr>
                    <w:pStyle w:val="76"/>
                    <w:rPr>
                      <w:kern w:val="2"/>
                    </w:rPr>
                  </w:pPr>
                </w:p>
              </w:tc>
              <w:tc>
                <w:tcPr>
                  <w:tcW w:w="591" w:type="pct"/>
                  <w:vMerge w:val="continue"/>
                  <w:vAlign w:val="center"/>
                </w:tcPr>
                <w:p>
                  <w:pPr>
                    <w:spacing w:line="340" w:lineRule="atLeast"/>
                    <w:jc w:val="center"/>
                    <w:rPr>
                      <w:szCs w:val="21"/>
                    </w:rPr>
                  </w:pPr>
                </w:p>
              </w:tc>
              <w:tc>
                <w:tcPr>
                  <w:tcW w:w="478" w:type="pct"/>
                  <w:vAlign w:val="center"/>
                </w:tcPr>
                <w:p>
                  <w:pPr>
                    <w:pStyle w:val="76"/>
                    <w:rPr>
                      <w:kern w:val="2"/>
                    </w:rPr>
                  </w:pPr>
                  <w:r>
                    <w:rPr>
                      <w:kern w:val="2"/>
                    </w:rPr>
                    <w:t>堆存</w:t>
                  </w:r>
                </w:p>
              </w:tc>
              <w:tc>
                <w:tcPr>
                  <w:tcW w:w="479" w:type="pct"/>
                  <w:vMerge w:val="continue"/>
                  <w:vAlign w:val="center"/>
                </w:tcPr>
                <w:p>
                  <w:pPr>
                    <w:spacing w:line="340" w:lineRule="atLeast"/>
                    <w:jc w:val="center"/>
                    <w:rPr>
                      <w:szCs w:val="21"/>
                    </w:rPr>
                  </w:pPr>
                </w:p>
              </w:tc>
              <w:tc>
                <w:tcPr>
                  <w:tcW w:w="528" w:type="pct"/>
                  <w:vAlign w:val="center"/>
                </w:tcPr>
                <w:p>
                  <w:pPr>
                    <w:spacing w:line="340" w:lineRule="atLeast"/>
                    <w:jc w:val="center"/>
                    <w:rPr>
                      <w:szCs w:val="21"/>
                    </w:rPr>
                  </w:pPr>
                  <w:r>
                    <w:rPr>
                      <w:rFonts w:hint="eastAsia"/>
                      <w:szCs w:val="21"/>
                    </w:rPr>
                    <w:t>180</w:t>
                  </w:r>
                  <w:r>
                    <w:rPr>
                      <w:szCs w:val="21"/>
                    </w:rPr>
                    <w:t>d</w:t>
                  </w:r>
                </w:p>
              </w:tc>
            </w:tr>
          </w:tbl>
          <w:p>
            <w:pPr>
              <w:adjustRightInd w:val="0"/>
              <w:snapToGrid w:val="0"/>
              <w:spacing w:line="360" w:lineRule="auto"/>
              <w:ind w:firstLine="482" w:firstLineChars="200"/>
              <w:rPr>
                <w:color w:val="0000FF"/>
                <w:sz w:val="24"/>
              </w:rPr>
            </w:pPr>
            <w:r>
              <w:rPr>
                <w:rFonts w:hint="eastAsia" w:ascii="宋体" w:hAnsi="宋体" w:cs="宋体"/>
                <w:b/>
                <w:color w:val="0000FF"/>
                <w:sz w:val="24"/>
              </w:rPr>
              <w:t>⑶</w:t>
            </w:r>
            <w:r>
              <w:rPr>
                <w:rFonts w:hint="eastAsia"/>
                <w:b/>
                <w:color w:val="0000FF"/>
                <w:sz w:val="24"/>
              </w:rPr>
              <w:t>危险</w:t>
            </w:r>
            <w:r>
              <w:rPr>
                <w:b/>
                <w:color w:val="0000FF"/>
                <w:sz w:val="24"/>
              </w:rPr>
              <w:t>废物保护措施</w:t>
            </w:r>
          </w:p>
          <w:p>
            <w:pPr>
              <w:spacing w:line="360" w:lineRule="auto"/>
              <w:ind w:firstLine="480" w:firstLineChars="200"/>
              <w:rPr>
                <w:rFonts w:hint="eastAsia"/>
                <w:color w:val="0000FF"/>
                <w:sz w:val="24"/>
              </w:rPr>
            </w:pPr>
            <w:r>
              <w:rPr>
                <w:rFonts w:hint="eastAsia"/>
                <w:color w:val="0000FF"/>
                <w:sz w:val="24"/>
              </w:rPr>
              <w:t>环评对危险废物收集、暂存、转运、处置的设施和管理要求如下：</w:t>
            </w:r>
          </w:p>
          <w:p>
            <w:pPr>
              <w:spacing w:line="360" w:lineRule="auto"/>
              <w:ind w:firstLine="480" w:firstLineChars="200"/>
              <w:rPr>
                <w:rFonts w:hint="eastAsia"/>
                <w:color w:val="0000FF"/>
                <w:sz w:val="24"/>
              </w:rPr>
            </w:pPr>
            <w:r>
              <w:rPr>
                <w:rFonts w:hint="eastAsia"/>
                <w:color w:val="0000FF"/>
                <w:sz w:val="24"/>
              </w:rPr>
              <w:t>①危险废物产生单位对危险废物必须分类收集处置，禁止将危险废物混入一般废物收集、储存、运输和处置；</w:t>
            </w:r>
          </w:p>
          <w:p>
            <w:pPr>
              <w:spacing w:line="360" w:lineRule="auto"/>
              <w:ind w:firstLine="480" w:firstLineChars="200"/>
              <w:rPr>
                <w:rFonts w:hint="eastAsia"/>
                <w:color w:val="0000FF"/>
                <w:sz w:val="24"/>
              </w:rPr>
            </w:pPr>
            <w:r>
              <w:rPr>
                <w:rFonts w:hint="eastAsia"/>
                <w:color w:val="0000FF"/>
                <w:sz w:val="24"/>
              </w:rPr>
              <w:t>②项目必须与有危险废物处置资质的单位签订处置协议，建立危险废物管理(产生、转移、利用、处置)和识别台账，并向环保部门如实申报；</w:t>
            </w:r>
          </w:p>
          <w:p>
            <w:pPr>
              <w:spacing w:line="360" w:lineRule="auto"/>
              <w:ind w:firstLine="480" w:firstLineChars="200"/>
              <w:rPr>
                <w:rFonts w:hint="eastAsia"/>
                <w:color w:val="0000FF"/>
                <w:sz w:val="24"/>
              </w:rPr>
            </w:pPr>
            <w:r>
              <w:rPr>
                <w:rFonts w:hint="eastAsia"/>
                <w:color w:val="0000FF"/>
                <w:sz w:val="24"/>
              </w:rPr>
              <w:t>③危险废物应配置危废暂存间和专用盛装容器收集暂存，并加贴标签、注明种类、数量、存放日期等，并做好防风、防雨、防晒、防渗漏措施，按照《危险废物贮存污染控制标准》（GB18597-2023），地面与裙脚要用坚固、防渗的材料建造，建筑材料必须与危险废物相容，用于存放装载液体、半固体危险废物容器的地方，必须有耐腐蚀的硬化地面，且表面无裂缝，设置专人对危废暂存间进行管理。危废暂存间应设置明显的危险废物标志，分类收集，同时应及时、妥善危废，减少厂区内危险废物的临时贮存量；</w:t>
            </w:r>
          </w:p>
          <w:p>
            <w:pPr>
              <w:spacing w:line="360" w:lineRule="auto"/>
              <w:ind w:firstLine="480" w:firstLineChars="200"/>
              <w:rPr>
                <w:color w:val="0000FF"/>
                <w:sz w:val="24"/>
              </w:rPr>
            </w:pPr>
            <w:r>
              <w:rPr>
                <w:rFonts w:hint="eastAsia"/>
                <w:color w:val="0000FF"/>
                <w:sz w:val="24"/>
              </w:rPr>
              <w:t>④危险废物运输应严格执行《危险废物转移联单管理办法》，并交由有资质单位进行处置，办理转移手续。</w:t>
            </w:r>
          </w:p>
          <w:p>
            <w:pPr>
              <w:autoSpaceDN w:val="0"/>
              <w:spacing w:before="120" w:beforeLines="50"/>
              <w:ind w:firstLine="482"/>
              <w:jc w:val="center"/>
              <w:rPr>
                <w:rFonts w:eastAsia="黑体"/>
                <w:bCs/>
                <w:spacing w:val="4"/>
                <w:sz w:val="24"/>
              </w:rPr>
            </w:pPr>
            <w:r>
              <w:rPr>
                <w:rFonts w:hint="eastAsia" w:eastAsia="黑体"/>
                <w:bCs/>
                <w:spacing w:val="4"/>
                <w:sz w:val="24"/>
              </w:rPr>
              <w:t>表4-3</w:t>
            </w:r>
            <w:r>
              <w:rPr>
                <w:rFonts w:hint="eastAsia" w:eastAsia="黑体"/>
                <w:bCs/>
                <w:spacing w:val="4"/>
                <w:sz w:val="24"/>
                <w:lang w:val="en-US" w:eastAsia="zh-CN"/>
              </w:rPr>
              <w:t>2</w:t>
            </w:r>
            <w:r>
              <w:rPr>
                <w:rFonts w:hint="eastAsia" w:eastAsia="黑体"/>
                <w:bCs/>
                <w:spacing w:val="4"/>
                <w:sz w:val="24"/>
              </w:rPr>
              <w:t xml:space="preserve"> 项目危险废物贮存场所（设施）基本情况</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4"/>
              <w:gridCol w:w="908"/>
              <w:gridCol w:w="931"/>
              <w:gridCol w:w="915"/>
              <w:gridCol w:w="1327"/>
              <w:gridCol w:w="791"/>
              <w:gridCol w:w="786"/>
              <w:gridCol w:w="635"/>
              <w:gridCol w:w="729"/>
              <w:gridCol w:w="9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51" w:type="pct"/>
                  <w:vAlign w:val="center"/>
                </w:tcPr>
                <w:p>
                  <w:pPr>
                    <w:spacing w:line="340" w:lineRule="exact"/>
                    <w:jc w:val="center"/>
                    <w:rPr>
                      <w:b/>
                      <w:bCs/>
                      <w:szCs w:val="21"/>
                    </w:rPr>
                  </w:pPr>
                  <w:r>
                    <w:rPr>
                      <w:b/>
                      <w:bCs/>
                      <w:szCs w:val="21"/>
                    </w:rPr>
                    <w:t>序号</w:t>
                  </w:r>
                </w:p>
              </w:tc>
              <w:tc>
                <w:tcPr>
                  <w:tcW w:w="539" w:type="pct"/>
                  <w:vAlign w:val="center"/>
                </w:tcPr>
                <w:p>
                  <w:pPr>
                    <w:spacing w:line="340" w:lineRule="exact"/>
                    <w:jc w:val="center"/>
                    <w:rPr>
                      <w:b/>
                      <w:bCs/>
                      <w:szCs w:val="21"/>
                    </w:rPr>
                  </w:pPr>
                  <w:r>
                    <w:rPr>
                      <w:b/>
                      <w:bCs/>
                      <w:szCs w:val="21"/>
                    </w:rPr>
                    <w:t>贮存场所名称</w:t>
                  </w:r>
                </w:p>
              </w:tc>
              <w:tc>
                <w:tcPr>
                  <w:tcW w:w="553" w:type="pct"/>
                  <w:vAlign w:val="center"/>
                </w:tcPr>
                <w:p>
                  <w:pPr>
                    <w:spacing w:line="340" w:lineRule="exact"/>
                    <w:jc w:val="center"/>
                    <w:rPr>
                      <w:b/>
                      <w:bCs/>
                      <w:szCs w:val="21"/>
                    </w:rPr>
                  </w:pPr>
                  <w:r>
                    <w:rPr>
                      <w:b/>
                      <w:bCs/>
                      <w:szCs w:val="21"/>
                    </w:rPr>
                    <w:t>危险废物名称</w:t>
                  </w:r>
                </w:p>
              </w:tc>
              <w:tc>
                <w:tcPr>
                  <w:tcW w:w="543" w:type="pct"/>
                  <w:vAlign w:val="center"/>
                </w:tcPr>
                <w:p>
                  <w:pPr>
                    <w:spacing w:line="340" w:lineRule="exact"/>
                    <w:jc w:val="center"/>
                    <w:rPr>
                      <w:b/>
                      <w:bCs/>
                      <w:szCs w:val="21"/>
                    </w:rPr>
                  </w:pPr>
                  <w:r>
                    <w:rPr>
                      <w:b/>
                      <w:bCs/>
                      <w:szCs w:val="21"/>
                    </w:rPr>
                    <w:t>危险废物类别</w:t>
                  </w:r>
                </w:p>
              </w:tc>
              <w:tc>
                <w:tcPr>
                  <w:tcW w:w="788" w:type="pct"/>
                  <w:vAlign w:val="center"/>
                </w:tcPr>
                <w:p>
                  <w:pPr>
                    <w:spacing w:line="340" w:lineRule="exact"/>
                    <w:jc w:val="center"/>
                    <w:rPr>
                      <w:b/>
                      <w:bCs/>
                      <w:szCs w:val="21"/>
                    </w:rPr>
                  </w:pPr>
                  <w:r>
                    <w:rPr>
                      <w:b/>
                      <w:bCs/>
                      <w:szCs w:val="21"/>
                    </w:rPr>
                    <w:t>危险废物代码</w:t>
                  </w:r>
                </w:p>
              </w:tc>
              <w:tc>
                <w:tcPr>
                  <w:tcW w:w="470" w:type="pct"/>
                  <w:vAlign w:val="center"/>
                </w:tcPr>
                <w:p>
                  <w:pPr>
                    <w:spacing w:line="340" w:lineRule="exact"/>
                    <w:jc w:val="center"/>
                    <w:rPr>
                      <w:b/>
                      <w:bCs/>
                      <w:szCs w:val="21"/>
                    </w:rPr>
                  </w:pPr>
                  <w:r>
                    <w:rPr>
                      <w:b/>
                      <w:bCs/>
                      <w:szCs w:val="21"/>
                    </w:rPr>
                    <w:t>位置</w:t>
                  </w:r>
                </w:p>
              </w:tc>
              <w:tc>
                <w:tcPr>
                  <w:tcW w:w="467" w:type="pct"/>
                  <w:vAlign w:val="center"/>
                </w:tcPr>
                <w:p>
                  <w:pPr>
                    <w:spacing w:line="340" w:lineRule="exact"/>
                    <w:jc w:val="center"/>
                    <w:rPr>
                      <w:b/>
                      <w:bCs/>
                      <w:szCs w:val="21"/>
                    </w:rPr>
                  </w:pPr>
                  <w:r>
                    <w:rPr>
                      <w:b/>
                      <w:bCs/>
                      <w:szCs w:val="21"/>
                    </w:rPr>
                    <w:t>占地面积</w:t>
                  </w:r>
                </w:p>
              </w:tc>
              <w:tc>
                <w:tcPr>
                  <w:tcW w:w="377" w:type="pct"/>
                  <w:vAlign w:val="center"/>
                </w:tcPr>
                <w:p>
                  <w:pPr>
                    <w:spacing w:line="340" w:lineRule="exact"/>
                    <w:jc w:val="center"/>
                    <w:rPr>
                      <w:b/>
                      <w:bCs/>
                      <w:szCs w:val="21"/>
                    </w:rPr>
                  </w:pPr>
                  <w:r>
                    <w:rPr>
                      <w:b/>
                      <w:bCs/>
                      <w:szCs w:val="21"/>
                    </w:rPr>
                    <w:t>贮存方式</w:t>
                  </w:r>
                </w:p>
              </w:tc>
              <w:tc>
                <w:tcPr>
                  <w:tcW w:w="433" w:type="pct"/>
                  <w:vAlign w:val="center"/>
                </w:tcPr>
                <w:p>
                  <w:pPr>
                    <w:spacing w:line="340" w:lineRule="exact"/>
                    <w:jc w:val="center"/>
                    <w:rPr>
                      <w:b/>
                      <w:bCs/>
                      <w:szCs w:val="21"/>
                    </w:rPr>
                  </w:pPr>
                  <w:r>
                    <w:rPr>
                      <w:b/>
                      <w:bCs/>
                      <w:szCs w:val="21"/>
                    </w:rPr>
                    <w:t>贮存能力</w:t>
                  </w:r>
                </w:p>
              </w:tc>
              <w:tc>
                <w:tcPr>
                  <w:tcW w:w="575" w:type="pct"/>
                  <w:vAlign w:val="center"/>
                </w:tcPr>
                <w:p>
                  <w:pPr>
                    <w:spacing w:line="340" w:lineRule="exact"/>
                    <w:jc w:val="center"/>
                    <w:rPr>
                      <w:b/>
                      <w:bCs/>
                      <w:szCs w:val="21"/>
                    </w:rPr>
                  </w:pPr>
                  <w:r>
                    <w:rPr>
                      <w:b/>
                      <w:bCs/>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1" w:type="pct"/>
                  <w:vAlign w:val="center"/>
                </w:tcPr>
                <w:p>
                  <w:pPr>
                    <w:spacing w:line="340" w:lineRule="exact"/>
                    <w:jc w:val="center"/>
                    <w:rPr>
                      <w:szCs w:val="21"/>
                    </w:rPr>
                  </w:pPr>
                  <w:r>
                    <w:rPr>
                      <w:szCs w:val="21"/>
                    </w:rPr>
                    <w:t>1</w:t>
                  </w:r>
                </w:p>
              </w:tc>
              <w:tc>
                <w:tcPr>
                  <w:tcW w:w="539" w:type="pct"/>
                  <w:vMerge w:val="restart"/>
                  <w:vAlign w:val="center"/>
                </w:tcPr>
                <w:p>
                  <w:pPr>
                    <w:adjustRightInd w:val="0"/>
                    <w:snapToGrid w:val="0"/>
                    <w:spacing w:line="240" w:lineRule="exact"/>
                    <w:jc w:val="center"/>
                    <w:rPr>
                      <w:szCs w:val="21"/>
                    </w:rPr>
                  </w:pPr>
                  <w:r>
                    <w:rPr>
                      <w:szCs w:val="21"/>
                    </w:rPr>
                    <w:t>危废暂存库</w:t>
                  </w:r>
                </w:p>
              </w:tc>
              <w:tc>
                <w:tcPr>
                  <w:tcW w:w="553" w:type="pct"/>
                  <w:vAlign w:val="center"/>
                </w:tcPr>
                <w:p>
                  <w:pPr>
                    <w:adjustRightInd w:val="0"/>
                    <w:snapToGrid w:val="0"/>
                    <w:spacing w:before="60" w:beforeLines="25" w:after="60" w:afterLines="25"/>
                    <w:jc w:val="center"/>
                  </w:pPr>
                  <w:r>
                    <w:rPr>
                      <w:rFonts w:hint="eastAsia"/>
                    </w:rPr>
                    <w:t>水帘柜喷淋用水更换液</w:t>
                  </w:r>
                </w:p>
              </w:tc>
              <w:tc>
                <w:tcPr>
                  <w:tcW w:w="543" w:type="pct"/>
                  <w:vAlign w:val="center"/>
                </w:tcPr>
                <w:p>
                  <w:pPr>
                    <w:adjustRightInd w:val="0"/>
                    <w:snapToGrid w:val="0"/>
                    <w:spacing w:line="240" w:lineRule="exact"/>
                    <w:jc w:val="center"/>
                    <w:rPr>
                      <w:szCs w:val="21"/>
                    </w:rPr>
                  </w:pPr>
                  <w:r>
                    <w:rPr>
                      <w:rFonts w:hint="eastAsia"/>
                      <w:szCs w:val="21"/>
                    </w:rPr>
                    <w:t>HW12</w:t>
                  </w:r>
                </w:p>
              </w:tc>
              <w:tc>
                <w:tcPr>
                  <w:tcW w:w="788" w:type="pct"/>
                  <w:vAlign w:val="center"/>
                </w:tcPr>
                <w:p>
                  <w:pPr>
                    <w:adjustRightInd w:val="0"/>
                    <w:snapToGrid w:val="0"/>
                    <w:spacing w:before="60" w:beforeLines="25" w:after="60" w:afterLines="25"/>
                    <w:jc w:val="center"/>
                  </w:pPr>
                  <w:r>
                    <w:rPr>
                      <w:rFonts w:hint="eastAsia"/>
                    </w:rPr>
                    <w:t>900-252-12</w:t>
                  </w:r>
                </w:p>
              </w:tc>
              <w:tc>
                <w:tcPr>
                  <w:tcW w:w="470" w:type="pct"/>
                  <w:vMerge w:val="restart"/>
                  <w:vAlign w:val="center"/>
                </w:tcPr>
                <w:p>
                  <w:pPr>
                    <w:adjustRightInd w:val="0"/>
                    <w:snapToGrid w:val="0"/>
                    <w:spacing w:line="240" w:lineRule="exact"/>
                    <w:jc w:val="center"/>
                    <w:rPr>
                      <w:rFonts w:hint="eastAsia" w:eastAsia="宋体"/>
                      <w:szCs w:val="21"/>
                      <w:lang w:eastAsia="zh-CN"/>
                    </w:rPr>
                  </w:pPr>
                  <w:r>
                    <w:rPr>
                      <w:rFonts w:hint="eastAsia"/>
                      <w:szCs w:val="21"/>
                      <w:lang w:eastAsia="zh-CN"/>
                    </w:rPr>
                    <w:t>厂区东侧</w:t>
                  </w:r>
                </w:p>
              </w:tc>
              <w:tc>
                <w:tcPr>
                  <w:tcW w:w="467" w:type="pct"/>
                  <w:vMerge w:val="restart"/>
                  <w:vAlign w:val="center"/>
                </w:tcPr>
                <w:p>
                  <w:pPr>
                    <w:adjustRightInd w:val="0"/>
                    <w:snapToGrid w:val="0"/>
                    <w:spacing w:line="240" w:lineRule="exact"/>
                    <w:jc w:val="center"/>
                    <w:rPr>
                      <w:szCs w:val="21"/>
                    </w:rPr>
                  </w:pPr>
                  <w:r>
                    <w:rPr>
                      <w:rFonts w:hint="eastAsia"/>
                      <w:szCs w:val="21"/>
                    </w:rPr>
                    <w:t>50</w:t>
                  </w:r>
                  <w:r>
                    <w:rPr>
                      <w:szCs w:val="21"/>
                    </w:rPr>
                    <w:t>m</w:t>
                  </w:r>
                  <w:r>
                    <w:rPr>
                      <w:szCs w:val="21"/>
                      <w:vertAlign w:val="superscript"/>
                    </w:rPr>
                    <w:t>2</w:t>
                  </w:r>
                </w:p>
              </w:tc>
              <w:tc>
                <w:tcPr>
                  <w:tcW w:w="377" w:type="pct"/>
                  <w:vMerge w:val="restart"/>
                  <w:vAlign w:val="center"/>
                </w:tcPr>
                <w:p>
                  <w:pPr>
                    <w:adjustRightInd w:val="0"/>
                    <w:snapToGrid w:val="0"/>
                    <w:spacing w:line="240" w:lineRule="exact"/>
                    <w:jc w:val="center"/>
                    <w:rPr>
                      <w:szCs w:val="21"/>
                    </w:rPr>
                  </w:pPr>
                  <w:r>
                    <w:rPr>
                      <w:szCs w:val="21"/>
                    </w:rPr>
                    <w:t>桶装于危废暂存间</w:t>
                  </w:r>
                </w:p>
              </w:tc>
              <w:tc>
                <w:tcPr>
                  <w:tcW w:w="433" w:type="pct"/>
                  <w:vMerge w:val="restart"/>
                  <w:vAlign w:val="center"/>
                </w:tcPr>
                <w:p>
                  <w:pPr>
                    <w:adjustRightInd w:val="0"/>
                    <w:snapToGrid w:val="0"/>
                    <w:spacing w:line="240" w:lineRule="exact"/>
                    <w:jc w:val="center"/>
                    <w:rPr>
                      <w:szCs w:val="21"/>
                    </w:rPr>
                  </w:pPr>
                  <w:r>
                    <w:rPr>
                      <w:rFonts w:hint="eastAsia"/>
                      <w:szCs w:val="21"/>
                    </w:rPr>
                    <w:t>7.5t</w:t>
                  </w:r>
                </w:p>
              </w:tc>
              <w:tc>
                <w:tcPr>
                  <w:tcW w:w="575" w:type="pct"/>
                  <w:vAlign w:val="center"/>
                </w:tcPr>
                <w:p>
                  <w:pPr>
                    <w:adjustRightInd w:val="0"/>
                    <w:snapToGrid w:val="0"/>
                    <w:spacing w:line="240" w:lineRule="exact"/>
                    <w:jc w:val="center"/>
                    <w:rPr>
                      <w:szCs w:val="21"/>
                    </w:rPr>
                  </w:pPr>
                  <w:r>
                    <w:rPr>
                      <w:rFonts w:hint="eastAsia"/>
                      <w:szCs w:val="21"/>
                    </w:rPr>
                    <w:t>30d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1" w:type="pct"/>
                  <w:vAlign w:val="center"/>
                </w:tcPr>
                <w:p>
                  <w:pPr>
                    <w:spacing w:line="340" w:lineRule="exact"/>
                    <w:jc w:val="center"/>
                    <w:rPr>
                      <w:szCs w:val="21"/>
                    </w:rPr>
                  </w:pPr>
                  <w:r>
                    <w:rPr>
                      <w:rFonts w:hint="eastAsia"/>
                      <w:szCs w:val="21"/>
                    </w:rPr>
                    <w:t>3</w:t>
                  </w:r>
                </w:p>
              </w:tc>
              <w:tc>
                <w:tcPr>
                  <w:tcW w:w="539" w:type="pct"/>
                  <w:vMerge w:val="continue"/>
                  <w:vAlign w:val="center"/>
                </w:tcPr>
                <w:p>
                  <w:pPr>
                    <w:adjustRightInd w:val="0"/>
                    <w:snapToGrid w:val="0"/>
                    <w:spacing w:line="240" w:lineRule="exact"/>
                    <w:jc w:val="center"/>
                    <w:rPr>
                      <w:szCs w:val="21"/>
                    </w:rPr>
                  </w:pPr>
                </w:p>
              </w:tc>
              <w:tc>
                <w:tcPr>
                  <w:tcW w:w="553" w:type="pct"/>
                  <w:vAlign w:val="center"/>
                </w:tcPr>
                <w:p>
                  <w:pPr>
                    <w:adjustRightInd w:val="0"/>
                    <w:snapToGrid w:val="0"/>
                    <w:spacing w:before="60" w:beforeLines="25" w:after="60" w:afterLines="25"/>
                    <w:jc w:val="center"/>
                  </w:pPr>
                  <w:r>
                    <w:rPr>
                      <w:rFonts w:hint="eastAsia"/>
                    </w:rPr>
                    <w:t>漆渣</w:t>
                  </w:r>
                </w:p>
              </w:tc>
              <w:tc>
                <w:tcPr>
                  <w:tcW w:w="543" w:type="pct"/>
                  <w:vAlign w:val="center"/>
                </w:tcPr>
                <w:p>
                  <w:pPr>
                    <w:adjustRightInd w:val="0"/>
                    <w:snapToGrid w:val="0"/>
                    <w:spacing w:line="240" w:lineRule="exact"/>
                    <w:jc w:val="center"/>
                    <w:rPr>
                      <w:szCs w:val="21"/>
                    </w:rPr>
                  </w:pPr>
                  <w:r>
                    <w:rPr>
                      <w:rFonts w:hint="eastAsia"/>
                      <w:szCs w:val="21"/>
                    </w:rPr>
                    <w:t>HW12</w:t>
                  </w:r>
                </w:p>
              </w:tc>
              <w:tc>
                <w:tcPr>
                  <w:tcW w:w="788" w:type="pct"/>
                  <w:vAlign w:val="center"/>
                </w:tcPr>
                <w:p>
                  <w:pPr>
                    <w:adjustRightInd w:val="0"/>
                    <w:snapToGrid w:val="0"/>
                    <w:spacing w:before="60" w:beforeLines="25" w:after="60" w:afterLines="25"/>
                    <w:jc w:val="center"/>
                  </w:pPr>
                  <w:r>
                    <w:rPr>
                      <w:rFonts w:hint="eastAsia"/>
                    </w:rPr>
                    <w:t>900-252-12</w:t>
                  </w:r>
                </w:p>
              </w:tc>
              <w:tc>
                <w:tcPr>
                  <w:tcW w:w="470" w:type="pct"/>
                  <w:vMerge w:val="continue"/>
                  <w:vAlign w:val="center"/>
                </w:tcPr>
                <w:p>
                  <w:pPr>
                    <w:adjustRightInd w:val="0"/>
                    <w:snapToGrid w:val="0"/>
                    <w:spacing w:line="240" w:lineRule="exact"/>
                    <w:jc w:val="center"/>
                    <w:rPr>
                      <w:szCs w:val="21"/>
                    </w:rPr>
                  </w:pPr>
                </w:p>
              </w:tc>
              <w:tc>
                <w:tcPr>
                  <w:tcW w:w="467" w:type="pct"/>
                  <w:vMerge w:val="continue"/>
                  <w:vAlign w:val="center"/>
                </w:tcPr>
                <w:p>
                  <w:pPr>
                    <w:adjustRightInd w:val="0"/>
                    <w:snapToGrid w:val="0"/>
                    <w:spacing w:line="240" w:lineRule="exact"/>
                    <w:jc w:val="center"/>
                    <w:rPr>
                      <w:szCs w:val="21"/>
                    </w:rPr>
                  </w:pPr>
                </w:p>
              </w:tc>
              <w:tc>
                <w:tcPr>
                  <w:tcW w:w="377" w:type="pct"/>
                  <w:vMerge w:val="continue"/>
                  <w:vAlign w:val="center"/>
                </w:tcPr>
                <w:p>
                  <w:pPr>
                    <w:adjustRightInd w:val="0"/>
                    <w:snapToGrid w:val="0"/>
                    <w:spacing w:line="240" w:lineRule="exact"/>
                    <w:jc w:val="center"/>
                    <w:rPr>
                      <w:szCs w:val="21"/>
                    </w:rPr>
                  </w:pPr>
                </w:p>
              </w:tc>
              <w:tc>
                <w:tcPr>
                  <w:tcW w:w="433" w:type="pct"/>
                  <w:vMerge w:val="continue"/>
                  <w:vAlign w:val="center"/>
                </w:tcPr>
                <w:p>
                  <w:pPr>
                    <w:adjustRightInd w:val="0"/>
                    <w:snapToGrid w:val="0"/>
                    <w:spacing w:line="240" w:lineRule="exact"/>
                    <w:jc w:val="center"/>
                    <w:rPr>
                      <w:szCs w:val="21"/>
                    </w:rPr>
                  </w:pPr>
                </w:p>
              </w:tc>
              <w:tc>
                <w:tcPr>
                  <w:tcW w:w="575" w:type="pct"/>
                  <w:vAlign w:val="center"/>
                </w:tcPr>
                <w:p>
                  <w:pPr>
                    <w:adjustRightInd w:val="0"/>
                    <w:snapToGrid w:val="0"/>
                    <w:spacing w:line="240" w:lineRule="exact"/>
                    <w:jc w:val="center"/>
                    <w:rPr>
                      <w:szCs w:val="21"/>
                    </w:rPr>
                  </w:pPr>
                  <w:r>
                    <w:rPr>
                      <w:rFonts w:hint="eastAsia"/>
                      <w:szCs w:val="21"/>
                    </w:rPr>
                    <w:t>360d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1" w:type="pct"/>
                  <w:vAlign w:val="center"/>
                </w:tcPr>
                <w:p>
                  <w:pPr>
                    <w:spacing w:line="340" w:lineRule="exact"/>
                    <w:jc w:val="center"/>
                    <w:rPr>
                      <w:szCs w:val="21"/>
                    </w:rPr>
                  </w:pPr>
                  <w:r>
                    <w:rPr>
                      <w:rFonts w:hint="eastAsia"/>
                      <w:szCs w:val="21"/>
                    </w:rPr>
                    <w:t>4</w:t>
                  </w:r>
                </w:p>
              </w:tc>
              <w:tc>
                <w:tcPr>
                  <w:tcW w:w="539" w:type="pct"/>
                  <w:vMerge w:val="continue"/>
                  <w:vAlign w:val="center"/>
                </w:tcPr>
                <w:p>
                  <w:pPr>
                    <w:adjustRightInd w:val="0"/>
                    <w:snapToGrid w:val="0"/>
                    <w:spacing w:line="240" w:lineRule="exact"/>
                    <w:jc w:val="center"/>
                    <w:rPr>
                      <w:szCs w:val="21"/>
                    </w:rPr>
                  </w:pPr>
                </w:p>
              </w:tc>
              <w:tc>
                <w:tcPr>
                  <w:tcW w:w="553" w:type="pct"/>
                  <w:vAlign w:val="center"/>
                </w:tcPr>
                <w:p>
                  <w:pPr>
                    <w:adjustRightInd w:val="0"/>
                    <w:snapToGrid w:val="0"/>
                    <w:spacing w:before="60" w:beforeLines="25" w:after="60" w:afterLines="25"/>
                    <w:jc w:val="center"/>
                  </w:pPr>
                  <w:r>
                    <w:rPr>
                      <w:rFonts w:hint="eastAsia"/>
                    </w:rPr>
                    <w:t>废活性炭</w:t>
                  </w:r>
                </w:p>
              </w:tc>
              <w:tc>
                <w:tcPr>
                  <w:tcW w:w="543" w:type="pct"/>
                  <w:vAlign w:val="center"/>
                </w:tcPr>
                <w:p>
                  <w:pPr>
                    <w:adjustRightInd w:val="0"/>
                    <w:snapToGrid w:val="0"/>
                    <w:spacing w:line="240" w:lineRule="exact"/>
                    <w:jc w:val="center"/>
                    <w:rPr>
                      <w:szCs w:val="21"/>
                    </w:rPr>
                  </w:pPr>
                  <w:r>
                    <w:rPr>
                      <w:rFonts w:hint="eastAsia"/>
                      <w:szCs w:val="21"/>
                    </w:rPr>
                    <w:t>HW49</w:t>
                  </w:r>
                </w:p>
              </w:tc>
              <w:tc>
                <w:tcPr>
                  <w:tcW w:w="788" w:type="pct"/>
                  <w:vAlign w:val="center"/>
                </w:tcPr>
                <w:p>
                  <w:pPr>
                    <w:adjustRightInd w:val="0"/>
                    <w:snapToGrid w:val="0"/>
                    <w:spacing w:before="60" w:beforeLines="25" w:after="60" w:afterLines="25"/>
                    <w:jc w:val="center"/>
                  </w:pPr>
                  <w:r>
                    <w:rPr>
                      <w:rFonts w:hint="eastAsia"/>
                    </w:rPr>
                    <w:t>900-039-49</w:t>
                  </w:r>
                </w:p>
              </w:tc>
              <w:tc>
                <w:tcPr>
                  <w:tcW w:w="470" w:type="pct"/>
                  <w:vMerge w:val="continue"/>
                  <w:vAlign w:val="center"/>
                </w:tcPr>
                <w:p>
                  <w:pPr>
                    <w:adjustRightInd w:val="0"/>
                    <w:snapToGrid w:val="0"/>
                    <w:spacing w:line="240" w:lineRule="exact"/>
                    <w:jc w:val="center"/>
                    <w:rPr>
                      <w:szCs w:val="21"/>
                    </w:rPr>
                  </w:pPr>
                </w:p>
              </w:tc>
              <w:tc>
                <w:tcPr>
                  <w:tcW w:w="467" w:type="pct"/>
                  <w:vMerge w:val="continue"/>
                  <w:vAlign w:val="center"/>
                </w:tcPr>
                <w:p>
                  <w:pPr>
                    <w:adjustRightInd w:val="0"/>
                    <w:snapToGrid w:val="0"/>
                    <w:spacing w:line="240" w:lineRule="exact"/>
                    <w:jc w:val="center"/>
                    <w:rPr>
                      <w:szCs w:val="21"/>
                    </w:rPr>
                  </w:pPr>
                </w:p>
              </w:tc>
              <w:tc>
                <w:tcPr>
                  <w:tcW w:w="377" w:type="pct"/>
                  <w:vMerge w:val="continue"/>
                  <w:vAlign w:val="center"/>
                </w:tcPr>
                <w:p>
                  <w:pPr>
                    <w:adjustRightInd w:val="0"/>
                    <w:snapToGrid w:val="0"/>
                    <w:spacing w:line="240" w:lineRule="exact"/>
                    <w:jc w:val="center"/>
                    <w:rPr>
                      <w:szCs w:val="21"/>
                    </w:rPr>
                  </w:pPr>
                </w:p>
              </w:tc>
              <w:tc>
                <w:tcPr>
                  <w:tcW w:w="433" w:type="pct"/>
                  <w:vMerge w:val="continue"/>
                  <w:vAlign w:val="center"/>
                </w:tcPr>
                <w:p>
                  <w:pPr>
                    <w:adjustRightInd w:val="0"/>
                    <w:snapToGrid w:val="0"/>
                    <w:spacing w:line="240" w:lineRule="exact"/>
                    <w:jc w:val="center"/>
                    <w:rPr>
                      <w:szCs w:val="21"/>
                    </w:rPr>
                  </w:pPr>
                </w:p>
              </w:tc>
              <w:tc>
                <w:tcPr>
                  <w:tcW w:w="575" w:type="pct"/>
                  <w:vAlign w:val="center"/>
                </w:tcPr>
                <w:p>
                  <w:pPr>
                    <w:adjustRightInd w:val="0"/>
                    <w:snapToGrid w:val="0"/>
                    <w:spacing w:line="240" w:lineRule="exact"/>
                    <w:jc w:val="center"/>
                    <w:rPr>
                      <w:szCs w:val="21"/>
                    </w:rPr>
                  </w:pPr>
                  <w:r>
                    <w:rPr>
                      <w:rFonts w:hint="eastAsia"/>
                      <w:szCs w:val="21"/>
                    </w:rPr>
                    <w:t>52d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1" w:type="pct"/>
                  <w:vAlign w:val="center"/>
                </w:tcPr>
                <w:p>
                  <w:pPr>
                    <w:spacing w:line="340" w:lineRule="exact"/>
                    <w:jc w:val="center"/>
                    <w:rPr>
                      <w:szCs w:val="21"/>
                    </w:rPr>
                  </w:pPr>
                  <w:r>
                    <w:rPr>
                      <w:rFonts w:hint="eastAsia"/>
                      <w:szCs w:val="21"/>
                    </w:rPr>
                    <w:t>5</w:t>
                  </w:r>
                </w:p>
              </w:tc>
              <w:tc>
                <w:tcPr>
                  <w:tcW w:w="539" w:type="pct"/>
                  <w:vMerge w:val="continue"/>
                  <w:vAlign w:val="center"/>
                </w:tcPr>
                <w:p>
                  <w:pPr>
                    <w:adjustRightInd w:val="0"/>
                    <w:snapToGrid w:val="0"/>
                    <w:spacing w:line="240" w:lineRule="exact"/>
                    <w:jc w:val="center"/>
                    <w:rPr>
                      <w:szCs w:val="21"/>
                    </w:rPr>
                  </w:pPr>
                </w:p>
              </w:tc>
              <w:tc>
                <w:tcPr>
                  <w:tcW w:w="553" w:type="pct"/>
                  <w:vAlign w:val="center"/>
                </w:tcPr>
                <w:p>
                  <w:pPr>
                    <w:adjustRightInd w:val="0"/>
                    <w:snapToGrid w:val="0"/>
                    <w:spacing w:before="60" w:beforeLines="25" w:after="60" w:afterLines="25"/>
                    <w:jc w:val="center"/>
                  </w:pPr>
                  <w:r>
                    <w:rPr>
                      <w:rFonts w:hint="eastAsia"/>
                    </w:rPr>
                    <w:t>废油漆桶</w:t>
                  </w:r>
                </w:p>
              </w:tc>
              <w:tc>
                <w:tcPr>
                  <w:tcW w:w="543" w:type="pct"/>
                  <w:vAlign w:val="center"/>
                </w:tcPr>
                <w:p>
                  <w:pPr>
                    <w:adjustRightInd w:val="0"/>
                    <w:snapToGrid w:val="0"/>
                    <w:spacing w:line="240" w:lineRule="exact"/>
                    <w:jc w:val="center"/>
                    <w:rPr>
                      <w:szCs w:val="21"/>
                    </w:rPr>
                  </w:pPr>
                  <w:r>
                    <w:rPr>
                      <w:rFonts w:hint="eastAsia"/>
                      <w:szCs w:val="21"/>
                    </w:rPr>
                    <w:t>HW49</w:t>
                  </w:r>
                </w:p>
              </w:tc>
              <w:tc>
                <w:tcPr>
                  <w:tcW w:w="788" w:type="pct"/>
                  <w:vAlign w:val="center"/>
                </w:tcPr>
                <w:p>
                  <w:pPr>
                    <w:adjustRightInd w:val="0"/>
                    <w:snapToGrid w:val="0"/>
                    <w:spacing w:before="60" w:beforeLines="25" w:after="60" w:afterLines="25"/>
                    <w:jc w:val="center"/>
                  </w:pPr>
                  <w:r>
                    <w:rPr>
                      <w:rFonts w:hint="eastAsia"/>
                    </w:rPr>
                    <w:t>900-041-49</w:t>
                  </w:r>
                </w:p>
              </w:tc>
              <w:tc>
                <w:tcPr>
                  <w:tcW w:w="470" w:type="pct"/>
                  <w:vMerge w:val="continue"/>
                  <w:vAlign w:val="center"/>
                </w:tcPr>
                <w:p>
                  <w:pPr>
                    <w:adjustRightInd w:val="0"/>
                    <w:snapToGrid w:val="0"/>
                    <w:spacing w:line="240" w:lineRule="exact"/>
                    <w:jc w:val="center"/>
                    <w:rPr>
                      <w:szCs w:val="21"/>
                    </w:rPr>
                  </w:pPr>
                </w:p>
              </w:tc>
              <w:tc>
                <w:tcPr>
                  <w:tcW w:w="467" w:type="pct"/>
                  <w:vMerge w:val="continue"/>
                  <w:vAlign w:val="center"/>
                </w:tcPr>
                <w:p>
                  <w:pPr>
                    <w:adjustRightInd w:val="0"/>
                    <w:snapToGrid w:val="0"/>
                    <w:spacing w:line="240" w:lineRule="exact"/>
                    <w:jc w:val="center"/>
                    <w:rPr>
                      <w:szCs w:val="21"/>
                    </w:rPr>
                  </w:pPr>
                </w:p>
              </w:tc>
              <w:tc>
                <w:tcPr>
                  <w:tcW w:w="377" w:type="pct"/>
                  <w:vMerge w:val="continue"/>
                  <w:vAlign w:val="center"/>
                </w:tcPr>
                <w:p>
                  <w:pPr>
                    <w:adjustRightInd w:val="0"/>
                    <w:snapToGrid w:val="0"/>
                    <w:spacing w:line="240" w:lineRule="exact"/>
                    <w:jc w:val="center"/>
                    <w:rPr>
                      <w:szCs w:val="21"/>
                    </w:rPr>
                  </w:pPr>
                </w:p>
              </w:tc>
              <w:tc>
                <w:tcPr>
                  <w:tcW w:w="433" w:type="pct"/>
                  <w:vMerge w:val="continue"/>
                  <w:vAlign w:val="center"/>
                </w:tcPr>
                <w:p>
                  <w:pPr>
                    <w:adjustRightInd w:val="0"/>
                    <w:snapToGrid w:val="0"/>
                    <w:spacing w:line="240" w:lineRule="exact"/>
                    <w:jc w:val="center"/>
                    <w:rPr>
                      <w:szCs w:val="21"/>
                    </w:rPr>
                  </w:pPr>
                </w:p>
              </w:tc>
              <w:tc>
                <w:tcPr>
                  <w:tcW w:w="575" w:type="pct"/>
                  <w:vAlign w:val="center"/>
                </w:tcPr>
                <w:p>
                  <w:pPr>
                    <w:adjustRightInd w:val="0"/>
                    <w:snapToGrid w:val="0"/>
                    <w:spacing w:line="240" w:lineRule="exact"/>
                    <w:jc w:val="center"/>
                    <w:rPr>
                      <w:szCs w:val="21"/>
                    </w:rPr>
                  </w:pPr>
                  <w:r>
                    <w:rPr>
                      <w:rFonts w:hint="eastAsia"/>
                      <w:szCs w:val="21"/>
                    </w:rPr>
                    <w:t>360d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1" w:type="pct"/>
                  <w:vAlign w:val="center"/>
                </w:tcPr>
                <w:p>
                  <w:pPr>
                    <w:spacing w:line="340" w:lineRule="exact"/>
                    <w:jc w:val="center"/>
                    <w:rPr>
                      <w:szCs w:val="21"/>
                    </w:rPr>
                  </w:pPr>
                  <w:r>
                    <w:rPr>
                      <w:rFonts w:hint="eastAsia"/>
                      <w:szCs w:val="21"/>
                    </w:rPr>
                    <w:t>6</w:t>
                  </w:r>
                </w:p>
              </w:tc>
              <w:tc>
                <w:tcPr>
                  <w:tcW w:w="539" w:type="pct"/>
                  <w:vMerge w:val="continue"/>
                  <w:vAlign w:val="center"/>
                </w:tcPr>
                <w:p>
                  <w:pPr>
                    <w:adjustRightInd w:val="0"/>
                    <w:snapToGrid w:val="0"/>
                    <w:spacing w:line="240" w:lineRule="exact"/>
                    <w:jc w:val="center"/>
                    <w:rPr>
                      <w:szCs w:val="21"/>
                    </w:rPr>
                  </w:pPr>
                </w:p>
              </w:tc>
              <w:tc>
                <w:tcPr>
                  <w:tcW w:w="553" w:type="pct"/>
                  <w:vAlign w:val="center"/>
                </w:tcPr>
                <w:p>
                  <w:pPr>
                    <w:adjustRightInd w:val="0"/>
                    <w:snapToGrid w:val="0"/>
                    <w:spacing w:before="60" w:beforeLines="25" w:after="60" w:afterLines="25"/>
                    <w:jc w:val="center"/>
                  </w:pPr>
                  <w:r>
                    <w:rPr>
                      <w:rFonts w:hint="eastAsia"/>
                    </w:rPr>
                    <w:t>废抹布</w:t>
                  </w:r>
                </w:p>
              </w:tc>
              <w:tc>
                <w:tcPr>
                  <w:tcW w:w="543" w:type="pct"/>
                  <w:vAlign w:val="center"/>
                </w:tcPr>
                <w:p>
                  <w:pPr>
                    <w:adjustRightInd w:val="0"/>
                    <w:snapToGrid w:val="0"/>
                    <w:spacing w:line="240" w:lineRule="exact"/>
                    <w:jc w:val="center"/>
                    <w:rPr>
                      <w:szCs w:val="21"/>
                    </w:rPr>
                  </w:pPr>
                  <w:r>
                    <w:rPr>
                      <w:rFonts w:hint="eastAsia"/>
                      <w:szCs w:val="21"/>
                    </w:rPr>
                    <w:t>HW12</w:t>
                  </w:r>
                </w:p>
              </w:tc>
              <w:tc>
                <w:tcPr>
                  <w:tcW w:w="788" w:type="pct"/>
                  <w:vAlign w:val="center"/>
                </w:tcPr>
                <w:p>
                  <w:pPr>
                    <w:adjustRightInd w:val="0"/>
                    <w:snapToGrid w:val="0"/>
                    <w:spacing w:before="60" w:beforeLines="25" w:after="60" w:afterLines="25"/>
                    <w:jc w:val="center"/>
                  </w:pPr>
                  <w:r>
                    <w:rPr>
                      <w:rFonts w:hint="eastAsia"/>
                    </w:rPr>
                    <w:t>900-250-12</w:t>
                  </w:r>
                </w:p>
              </w:tc>
              <w:tc>
                <w:tcPr>
                  <w:tcW w:w="470" w:type="pct"/>
                  <w:vMerge w:val="continue"/>
                  <w:vAlign w:val="center"/>
                </w:tcPr>
                <w:p>
                  <w:pPr>
                    <w:adjustRightInd w:val="0"/>
                    <w:snapToGrid w:val="0"/>
                    <w:spacing w:line="240" w:lineRule="exact"/>
                    <w:jc w:val="center"/>
                    <w:rPr>
                      <w:szCs w:val="21"/>
                    </w:rPr>
                  </w:pPr>
                </w:p>
              </w:tc>
              <w:tc>
                <w:tcPr>
                  <w:tcW w:w="467" w:type="pct"/>
                  <w:vMerge w:val="continue"/>
                  <w:vAlign w:val="center"/>
                </w:tcPr>
                <w:p>
                  <w:pPr>
                    <w:adjustRightInd w:val="0"/>
                    <w:snapToGrid w:val="0"/>
                    <w:spacing w:line="240" w:lineRule="exact"/>
                    <w:jc w:val="center"/>
                    <w:rPr>
                      <w:szCs w:val="21"/>
                    </w:rPr>
                  </w:pPr>
                </w:p>
              </w:tc>
              <w:tc>
                <w:tcPr>
                  <w:tcW w:w="377" w:type="pct"/>
                  <w:vMerge w:val="continue"/>
                  <w:vAlign w:val="center"/>
                </w:tcPr>
                <w:p>
                  <w:pPr>
                    <w:adjustRightInd w:val="0"/>
                    <w:snapToGrid w:val="0"/>
                    <w:spacing w:line="240" w:lineRule="exact"/>
                    <w:jc w:val="center"/>
                    <w:rPr>
                      <w:szCs w:val="21"/>
                    </w:rPr>
                  </w:pPr>
                </w:p>
              </w:tc>
              <w:tc>
                <w:tcPr>
                  <w:tcW w:w="433" w:type="pct"/>
                  <w:vMerge w:val="continue"/>
                  <w:vAlign w:val="center"/>
                </w:tcPr>
                <w:p>
                  <w:pPr>
                    <w:adjustRightInd w:val="0"/>
                    <w:snapToGrid w:val="0"/>
                    <w:spacing w:line="240" w:lineRule="exact"/>
                    <w:jc w:val="center"/>
                    <w:rPr>
                      <w:szCs w:val="21"/>
                    </w:rPr>
                  </w:pPr>
                </w:p>
              </w:tc>
              <w:tc>
                <w:tcPr>
                  <w:tcW w:w="575" w:type="pct"/>
                  <w:vAlign w:val="center"/>
                </w:tcPr>
                <w:p>
                  <w:pPr>
                    <w:adjustRightInd w:val="0"/>
                    <w:snapToGrid w:val="0"/>
                    <w:spacing w:line="240" w:lineRule="exact"/>
                    <w:jc w:val="center"/>
                    <w:rPr>
                      <w:szCs w:val="21"/>
                    </w:rPr>
                  </w:pPr>
                  <w:r>
                    <w:rPr>
                      <w:rFonts w:hint="eastAsia"/>
                      <w:szCs w:val="21"/>
                    </w:rPr>
                    <w:t>360d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1" w:type="pct"/>
                  <w:vAlign w:val="center"/>
                </w:tcPr>
                <w:p>
                  <w:pPr>
                    <w:spacing w:line="340" w:lineRule="exact"/>
                    <w:jc w:val="center"/>
                    <w:rPr>
                      <w:szCs w:val="21"/>
                    </w:rPr>
                  </w:pPr>
                  <w:r>
                    <w:rPr>
                      <w:rFonts w:hint="eastAsia"/>
                      <w:szCs w:val="21"/>
                    </w:rPr>
                    <w:t>7</w:t>
                  </w:r>
                </w:p>
              </w:tc>
              <w:tc>
                <w:tcPr>
                  <w:tcW w:w="539" w:type="pct"/>
                  <w:vMerge w:val="continue"/>
                  <w:vAlign w:val="center"/>
                </w:tcPr>
                <w:p>
                  <w:pPr>
                    <w:adjustRightInd w:val="0"/>
                    <w:snapToGrid w:val="0"/>
                    <w:spacing w:line="240" w:lineRule="exact"/>
                    <w:jc w:val="center"/>
                    <w:rPr>
                      <w:szCs w:val="21"/>
                    </w:rPr>
                  </w:pPr>
                </w:p>
              </w:tc>
              <w:tc>
                <w:tcPr>
                  <w:tcW w:w="553" w:type="pct"/>
                  <w:vAlign w:val="center"/>
                </w:tcPr>
                <w:p>
                  <w:pPr>
                    <w:adjustRightInd w:val="0"/>
                    <w:snapToGrid w:val="0"/>
                    <w:spacing w:before="60" w:beforeLines="25" w:after="60" w:afterLines="25"/>
                    <w:jc w:val="center"/>
                  </w:pPr>
                  <w:r>
                    <w:rPr>
                      <w:rFonts w:hint="eastAsia"/>
                    </w:rPr>
                    <w:t>喷枪清洗涂料渣</w:t>
                  </w:r>
                </w:p>
              </w:tc>
              <w:tc>
                <w:tcPr>
                  <w:tcW w:w="543" w:type="pct"/>
                  <w:vAlign w:val="center"/>
                </w:tcPr>
                <w:p>
                  <w:pPr>
                    <w:adjustRightInd w:val="0"/>
                    <w:snapToGrid w:val="0"/>
                    <w:spacing w:line="240" w:lineRule="exact"/>
                    <w:jc w:val="center"/>
                    <w:rPr>
                      <w:szCs w:val="21"/>
                    </w:rPr>
                  </w:pPr>
                  <w:r>
                    <w:rPr>
                      <w:rFonts w:hint="eastAsia"/>
                      <w:szCs w:val="21"/>
                    </w:rPr>
                    <w:t>HW12</w:t>
                  </w:r>
                </w:p>
              </w:tc>
              <w:tc>
                <w:tcPr>
                  <w:tcW w:w="788" w:type="pct"/>
                  <w:vAlign w:val="center"/>
                </w:tcPr>
                <w:p>
                  <w:pPr>
                    <w:adjustRightInd w:val="0"/>
                    <w:snapToGrid w:val="0"/>
                    <w:spacing w:before="60" w:beforeLines="25" w:after="60" w:afterLines="25"/>
                    <w:jc w:val="center"/>
                  </w:pPr>
                  <w:r>
                    <w:rPr>
                      <w:rFonts w:hint="eastAsia"/>
                    </w:rPr>
                    <w:t>900-250-12</w:t>
                  </w:r>
                </w:p>
              </w:tc>
              <w:tc>
                <w:tcPr>
                  <w:tcW w:w="470" w:type="pct"/>
                  <w:vMerge w:val="continue"/>
                  <w:vAlign w:val="center"/>
                </w:tcPr>
                <w:p>
                  <w:pPr>
                    <w:adjustRightInd w:val="0"/>
                    <w:snapToGrid w:val="0"/>
                    <w:spacing w:line="240" w:lineRule="exact"/>
                    <w:jc w:val="center"/>
                    <w:rPr>
                      <w:szCs w:val="21"/>
                    </w:rPr>
                  </w:pPr>
                </w:p>
              </w:tc>
              <w:tc>
                <w:tcPr>
                  <w:tcW w:w="467" w:type="pct"/>
                  <w:vMerge w:val="continue"/>
                  <w:vAlign w:val="center"/>
                </w:tcPr>
                <w:p>
                  <w:pPr>
                    <w:adjustRightInd w:val="0"/>
                    <w:snapToGrid w:val="0"/>
                    <w:spacing w:line="240" w:lineRule="exact"/>
                    <w:jc w:val="center"/>
                    <w:rPr>
                      <w:szCs w:val="21"/>
                    </w:rPr>
                  </w:pPr>
                </w:p>
              </w:tc>
              <w:tc>
                <w:tcPr>
                  <w:tcW w:w="377" w:type="pct"/>
                  <w:vMerge w:val="continue"/>
                  <w:vAlign w:val="center"/>
                </w:tcPr>
                <w:p>
                  <w:pPr>
                    <w:adjustRightInd w:val="0"/>
                    <w:snapToGrid w:val="0"/>
                    <w:spacing w:line="240" w:lineRule="exact"/>
                    <w:jc w:val="center"/>
                    <w:rPr>
                      <w:szCs w:val="21"/>
                    </w:rPr>
                  </w:pPr>
                </w:p>
              </w:tc>
              <w:tc>
                <w:tcPr>
                  <w:tcW w:w="433" w:type="pct"/>
                  <w:vMerge w:val="continue"/>
                  <w:vAlign w:val="center"/>
                </w:tcPr>
                <w:p>
                  <w:pPr>
                    <w:adjustRightInd w:val="0"/>
                    <w:snapToGrid w:val="0"/>
                    <w:spacing w:line="240" w:lineRule="exact"/>
                    <w:jc w:val="center"/>
                    <w:rPr>
                      <w:szCs w:val="21"/>
                    </w:rPr>
                  </w:pPr>
                </w:p>
              </w:tc>
              <w:tc>
                <w:tcPr>
                  <w:tcW w:w="575" w:type="pct"/>
                  <w:vAlign w:val="center"/>
                </w:tcPr>
                <w:p>
                  <w:pPr>
                    <w:adjustRightInd w:val="0"/>
                    <w:snapToGrid w:val="0"/>
                    <w:spacing w:line="240" w:lineRule="exact"/>
                    <w:jc w:val="center"/>
                    <w:rPr>
                      <w:szCs w:val="21"/>
                    </w:rPr>
                  </w:pPr>
                  <w:r>
                    <w:rPr>
                      <w:rFonts w:hint="eastAsia"/>
                      <w:szCs w:val="21"/>
                    </w:rPr>
                    <w:t>360d</w:t>
                  </w:r>
                </w:p>
              </w:tc>
            </w:tr>
          </w:tbl>
          <w:p>
            <w:pPr>
              <w:spacing w:line="360" w:lineRule="auto"/>
              <w:ind w:firstLine="476"/>
              <w:rPr>
                <w:sz w:val="24"/>
              </w:rPr>
            </w:pPr>
            <w:r>
              <w:rPr>
                <w:rFonts w:hint="eastAsia"/>
                <w:sz w:val="24"/>
                <w:lang w:eastAsia="zh-CN"/>
              </w:rPr>
              <w:t>固体废物</w:t>
            </w:r>
            <w:r>
              <w:rPr>
                <w:rFonts w:hint="eastAsia"/>
                <w:sz w:val="24"/>
              </w:rPr>
              <w:t>日常管理和台账要求：</w:t>
            </w:r>
          </w:p>
          <w:p>
            <w:pPr>
              <w:spacing w:line="360" w:lineRule="auto"/>
              <w:ind w:firstLine="476"/>
              <w:rPr>
                <w:sz w:val="24"/>
              </w:rPr>
            </w:pPr>
            <w:r>
              <w:rPr>
                <w:rFonts w:hint="eastAsia"/>
                <w:sz w:val="24"/>
              </w:rPr>
              <w:t>一般工业固废交由合法、合规的单位收集处理。为解决固体废物产销（运）的不平衡问题，可储存</w:t>
            </w:r>
            <w:r>
              <w:rPr>
                <w:sz w:val="24"/>
              </w:rPr>
              <w:t>1</w:t>
            </w:r>
            <w:r>
              <w:rPr>
                <w:rFonts w:hint="eastAsia"/>
                <w:sz w:val="24"/>
              </w:rPr>
              <w:t>~</w:t>
            </w:r>
            <w:r>
              <w:rPr>
                <w:sz w:val="24"/>
              </w:rPr>
              <w:t>6</w:t>
            </w:r>
            <w:r>
              <w:rPr>
                <w:rFonts w:hint="eastAsia"/>
                <w:sz w:val="24"/>
              </w:rPr>
              <w:t>个月生产产生的固废量。一般固废暂存库按</w:t>
            </w:r>
            <w:r>
              <w:rPr>
                <w:rFonts w:hint="eastAsia"/>
                <w:kern w:val="0"/>
                <w:sz w:val="24"/>
              </w:rPr>
              <w:t>《一般工业固体废物贮存和填埋污染控制标准》（GB18599-2020）</w:t>
            </w:r>
            <w:r>
              <w:rPr>
                <w:rFonts w:hint="eastAsia"/>
                <w:sz w:val="24"/>
              </w:rPr>
              <w:t>的要求进行设计、建造和管理，地面采用硬化处理防渗漏。</w:t>
            </w:r>
          </w:p>
          <w:p>
            <w:pPr>
              <w:spacing w:line="360" w:lineRule="auto"/>
              <w:ind w:firstLine="476"/>
              <w:rPr>
                <w:color w:val="000000"/>
                <w:sz w:val="24"/>
              </w:rPr>
            </w:pPr>
            <w:r>
              <w:rPr>
                <w:rFonts w:hint="eastAsia"/>
                <w:color w:val="000000"/>
                <w:sz w:val="24"/>
              </w:rPr>
              <w:t xml:space="preserve">建设单位应建立严格危险废物管理体系，将危险废物委托具有危废处理资质单位处置，禁止将危险废物提供或委托给无危险废物经营许可证的单位。严格执行危废五联单转移制度等管理要求，并做到：坚持减量化、资源化、无害化原则，妥善利用或处置产生的危险废物；规范危险废物贮存场所建设，根据危险废物的种类和特性进行分区、分类贮存，按照相关规范要求，设置防雨、防扬散、防渗漏等设施，最大贮存期限一般不超过一年；按照国家和本市有关要求制定危险废物年度管理计划，并进行在线申报备案；结合自身实际，建立危险废物台账，如实记载危险废物的种类、数量、性质、产生环节、流向、贮存、利用处置等信息，并在信息系统中及时申报，申报数据应与台账、管理计划数据相一致。 </w:t>
            </w:r>
          </w:p>
          <w:p>
            <w:pPr>
              <w:spacing w:line="360" w:lineRule="auto"/>
              <w:ind w:firstLine="476"/>
              <w:rPr>
                <w:color w:val="000000"/>
                <w:sz w:val="24"/>
              </w:rPr>
            </w:pPr>
            <w:r>
              <w:rPr>
                <w:rFonts w:hint="eastAsia"/>
                <w:color w:val="000000"/>
                <w:sz w:val="24"/>
              </w:rPr>
              <w:t>通过上述处理措施，本项目所产生的固废将得到有效的处置，不会对周围环境产生明显影响。</w:t>
            </w:r>
          </w:p>
          <w:p>
            <w:pPr>
              <w:pStyle w:val="75"/>
              <w:ind w:firstLineChars="200"/>
              <w:jc w:val="both"/>
              <w:rPr>
                <w:rFonts w:hint="default" w:ascii="Times New Roman" w:hAnsi="Times New Roman"/>
                <w:b/>
                <w:bCs/>
              </w:rPr>
            </w:pPr>
            <w:r>
              <w:rPr>
                <w:rFonts w:hint="default" w:ascii="Times New Roman" w:hAnsi="Times New Roman"/>
                <w:b/>
                <w:bCs/>
              </w:rPr>
              <w:t>5、地下水、土壤</w:t>
            </w:r>
          </w:p>
          <w:p>
            <w:pPr>
              <w:spacing w:line="360" w:lineRule="auto"/>
              <w:ind w:firstLine="480" w:firstLineChars="200"/>
              <w:rPr>
                <w:sz w:val="24"/>
              </w:rPr>
            </w:pPr>
            <w:r>
              <w:rPr>
                <w:rFonts w:hint="eastAsia"/>
                <w:sz w:val="24"/>
              </w:rPr>
              <w:t>（1）土壤环境影响类型与影响途径识别</w:t>
            </w:r>
          </w:p>
          <w:p>
            <w:pPr>
              <w:spacing w:line="360" w:lineRule="auto"/>
              <w:ind w:firstLine="480" w:firstLineChars="200"/>
              <w:rPr>
                <w:sz w:val="24"/>
              </w:rPr>
            </w:pPr>
            <w:r>
              <w:rPr>
                <w:rFonts w:hint="eastAsia"/>
                <w:sz w:val="24"/>
              </w:rPr>
              <w:t>本项目运营期可能对土壤环境产生影响，产生影响的途径主要为废气污染物降落到地表、废水发生泄漏进入土壤以及固体废物迁移扩散至土壤。大气污染物中的有机废气降落到地表可引起土壤土质发生变化，破坏土壤肥力与生态系统的平衡；废水发生泄漏，渗透进入土壤，致使土壤受到有机物等的污染；固体废物在运输、贮存等过程中可能引起污染物质的散落、迁移，危害土壤环境。</w:t>
            </w:r>
          </w:p>
          <w:p>
            <w:pPr>
              <w:autoSpaceDN w:val="0"/>
              <w:spacing w:before="120" w:beforeLines="50"/>
              <w:ind w:firstLine="482"/>
              <w:jc w:val="center"/>
              <w:rPr>
                <w:rFonts w:eastAsia="黑体"/>
                <w:bCs/>
                <w:spacing w:val="4"/>
                <w:sz w:val="24"/>
              </w:rPr>
            </w:pPr>
            <w:r>
              <w:rPr>
                <w:rFonts w:hint="eastAsia" w:eastAsia="黑体"/>
                <w:bCs/>
                <w:spacing w:val="4"/>
                <w:sz w:val="24"/>
              </w:rPr>
              <w:t>表4-3</w:t>
            </w:r>
            <w:r>
              <w:rPr>
                <w:rFonts w:hint="eastAsia" w:eastAsia="黑体"/>
                <w:bCs/>
                <w:spacing w:val="4"/>
                <w:sz w:val="24"/>
                <w:lang w:val="en-US" w:eastAsia="zh-CN"/>
              </w:rPr>
              <w:t xml:space="preserve">3 </w:t>
            </w:r>
            <w:r>
              <w:rPr>
                <w:rFonts w:hint="eastAsia" w:eastAsia="黑体"/>
                <w:bCs/>
                <w:spacing w:val="4"/>
                <w:sz w:val="24"/>
              </w:rPr>
              <w:t xml:space="preserve"> 建设项目土壤环境影响类型与影响途径表</w:t>
            </w:r>
          </w:p>
          <w:tbl>
            <w:tblPr>
              <w:tblStyle w:val="33"/>
              <w:tblW w:w="49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667"/>
              <w:gridCol w:w="1666"/>
              <w:gridCol w:w="1666"/>
              <w:gridCol w:w="1666"/>
              <w:gridCol w:w="166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813" w:type="dxa"/>
                  <w:vMerge w:val="restart"/>
                  <w:tcBorders>
                    <w:top w:val="single" w:color="auto" w:sz="12" w:space="0"/>
                    <w:left w:val="nil"/>
                    <w:right w:val="single" w:color="auto" w:sz="4" w:space="0"/>
                  </w:tcBorders>
                  <w:vAlign w:val="center"/>
                </w:tcPr>
                <w:p>
                  <w:pPr>
                    <w:snapToGrid w:val="0"/>
                    <w:spacing w:line="340" w:lineRule="exact"/>
                    <w:jc w:val="center"/>
                    <w:rPr>
                      <w:rFonts w:ascii="宋体" w:hAnsi="宋体" w:cs="宋体"/>
                      <w:color w:val="000000"/>
                      <w:szCs w:val="21"/>
                    </w:rPr>
                  </w:pPr>
                  <w:r>
                    <w:rPr>
                      <w:rFonts w:hint="eastAsia" w:ascii="宋体" w:hAnsi="宋体" w:cs="宋体"/>
                      <w:color w:val="000000"/>
                      <w:szCs w:val="21"/>
                    </w:rPr>
                    <w:t>不同时段</w:t>
                  </w:r>
                </w:p>
              </w:tc>
              <w:tc>
                <w:tcPr>
                  <w:tcW w:w="7248" w:type="dxa"/>
                  <w:gridSpan w:val="4"/>
                  <w:tcBorders>
                    <w:top w:val="single" w:color="auto" w:sz="12" w:space="0"/>
                    <w:left w:val="single" w:color="auto" w:sz="4" w:space="0"/>
                    <w:bottom w:val="single" w:color="auto" w:sz="4" w:space="0"/>
                    <w:right w:val="nil"/>
                  </w:tcBorders>
                  <w:vAlign w:val="center"/>
                </w:tcPr>
                <w:p>
                  <w:pPr>
                    <w:snapToGrid w:val="0"/>
                    <w:spacing w:line="340" w:lineRule="exact"/>
                    <w:jc w:val="center"/>
                    <w:rPr>
                      <w:rFonts w:ascii="宋体" w:hAnsi="宋体" w:cs="宋体"/>
                      <w:color w:val="000000"/>
                      <w:szCs w:val="21"/>
                    </w:rPr>
                  </w:pPr>
                  <w:r>
                    <w:rPr>
                      <w:rFonts w:hint="eastAsia" w:ascii="宋体" w:hAnsi="宋体" w:cs="宋体"/>
                      <w:color w:val="000000"/>
                      <w:szCs w:val="21"/>
                    </w:rPr>
                    <w:t>污染影响型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813" w:type="dxa"/>
                  <w:vMerge w:val="continue"/>
                  <w:tcBorders>
                    <w:left w:val="nil"/>
                    <w:bottom w:val="single" w:color="auto" w:sz="4"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大气沉降</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地面漫流</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垂直入渗</w:t>
                  </w:r>
                </w:p>
              </w:tc>
              <w:tc>
                <w:tcPr>
                  <w:tcW w:w="1812" w:type="dxa"/>
                  <w:tcBorders>
                    <w:top w:val="single" w:color="auto" w:sz="4" w:space="0"/>
                    <w:left w:val="single" w:color="auto" w:sz="4" w:space="0"/>
                    <w:bottom w:val="single" w:color="auto" w:sz="4" w:space="0"/>
                    <w:right w:val="nil"/>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其他</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81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建设期</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4" w:space="0"/>
                    <w:right w:val="nil"/>
                  </w:tcBorders>
                  <w:vAlign w:val="center"/>
                </w:tcPr>
                <w:p>
                  <w:pPr>
                    <w:spacing w:line="340" w:lineRule="exact"/>
                    <w:jc w:val="center"/>
                    <w:rPr>
                      <w:rFonts w:ascii="宋体" w:hAnsi="宋体" w:cs="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81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运营期</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4" w:space="0"/>
                    <w:right w:val="nil"/>
                  </w:tcBorders>
                  <w:vAlign w:val="center"/>
                </w:tcPr>
                <w:p>
                  <w:pPr>
                    <w:spacing w:line="340" w:lineRule="exact"/>
                    <w:jc w:val="center"/>
                    <w:rPr>
                      <w:rFonts w:ascii="宋体" w:hAnsi="宋体" w:cs="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813" w:type="dxa"/>
                  <w:tcBorders>
                    <w:top w:val="single" w:color="auto" w:sz="4" w:space="0"/>
                    <w:left w:val="nil"/>
                    <w:bottom w:val="single" w:color="auto" w:sz="12" w:space="0"/>
                    <w:right w:val="single" w:color="auto" w:sz="4" w:space="0"/>
                  </w:tcBorders>
                  <w:vAlign w:val="center"/>
                </w:tcPr>
                <w:p>
                  <w:pPr>
                    <w:spacing w:line="340" w:lineRule="exact"/>
                    <w:jc w:val="center"/>
                    <w:rPr>
                      <w:rFonts w:ascii="宋体" w:hAnsi="宋体" w:cs="宋体"/>
                      <w:color w:val="000000"/>
                      <w:szCs w:val="21"/>
                    </w:rPr>
                  </w:pPr>
                  <w:r>
                    <w:rPr>
                      <w:rFonts w:hint="eastAsia" w:ascii="宋体" w:hAnsi="宋体" w:cs="宋体"/>
                      <w:color w:val="000000"/>
                      <w:szCs w:val="21"/>
                    </w:rPr>
                    <w:t>服务期满后</w:t>
                  </w:r>
                </w:p>
              </w:tc>
              <w:tc>
                <w:tcPr>
                  <w:tcW w:w="1812" w:type="dxa"/>
                  <w:tcBorders>
                    <w:top w:val="single" w:color="auto" w:sz="4" w:space="0"/>
                    <w:left w:val="single" w:color="auto" w:sz="4" w:space="0"/>
                    <w:bottom w:val="single" w:color="auto" w:sz="12"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12"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12" w:space="0"/>
                    <w:right w:val="single" w:color="auto" w:sz="4" w:space="0"/>
                  </w:tcBorders>
                  <w:vAlign w:val="center"/>
                </w:tcPr>
                <w:p>
                  <w:pPr>
                    <w:spacing w:line="340" w:lineRule="exact"/>
                    <w:jc w:val="center"/>
                    <w:rPr>
                      <w:rFonts w:ascii="宋体" w:hAnsi="宋体" w:cs="宋体"/>
                      <w:color w:val="000000"/>
                      <w:szCs w:val="21"/>
                    </w:rPr>
                  </w:pPr>
                </w:p>
              </w:tc>
              <w:tc>
                <w:tcPr>
                  <w:tcW w:w="1812" w:type="dxa"/>
                  <w:tcBorders>
                    <w:top w:val="single" w:color="auto" w:sz="4" w:space="0"/>
                    <w:left w:val="single" w:color="auto" w:sz="4" w:space="0"/>
                    <w:bottom w:val="single" w:color="auto" w:sz="12" w:space="0"/>
                    <w:right w:val="nil"/>
                  </w:tcBorders>
                  <w:vAlign w:val="center"/>
                </w:tcPr>
                <w:p>
                  <w:pPr>
                    <w:spacing w:line="340" w:lineRule="exact"/>
                    <w:jc w:val="center"/>
                    <w:rPr>
                      <w:rFonts w:ascii="宋体" w:hAnsi="宋体" w:cs="宋体"/>
                      <w:color w:val="000000"/>
                      <w:szCs w:val="21"/>
                    </w:rPr>
                  </w:pPr>
                </w:p>
              </w:tc>
            </w:tr>
          </w:tbl>
          <w:p>
            <w:pPr>
              <w:spacing w:before="120" w:beforeLines="50" w:line="360" w:lineRule="auto"/>
              <w:ind w:firstLine="480" w:firstLineChars="200"/>
              <w:rPr>
                <w:rFonts w:ascii="宋体" w:hAnsi="宋体" w:cs="宋体"/>
                <w:color w:val="000000"/>
                <w:sz w:val="24"/>
              </w:rPr>
            </w:pPr>
            <w:r>
              <w:rPr>
                <w:rFonts w:ascii="宋体" w:hAnsi="宋体" w:cs="宋体"/>
                <w:color w:val="000000"/>
                <w:sz w:val="24"/>
              </w:rPr>
              <w:t>污染物可</w:t>
            </w:r>
            <w:r>
              <w:rPr>
                <w:rFonts w:hint="eastAsia" w:ascii="宋体" w:hAnsi="宋体" w:cs="宋体"/>
                <w:color w:val="000000"/>
                <w:sz w:val="24"/>
              </w:rPr>
              <w:t>能</w:t>
            </w:r>
            <w:r>
              <w:rPr>
                <w:rFonts w:ascii="宋体" w:hAnsi="宋体" w:cs="宋体"/>
                <w:color w:val="000000"/>
                <w:sz w:val="24"/>
              </w:rPr>
              <w:t>通过</w:t>
            </w:r>
            <w:r>
              <w:rPr>
                <w:rFonts w:hint="eastAsia" w:ascii="宋体" w:hAnsi="宋体" w:cs="宋体"/>
                <w:color w:val="000000"/>
                <w:sz w:val="24"/>
              </w:rPr>
              <w:t>大气沉降</w:t>
            </w:r>
            <w:r>
              <w:rPr>
                <w:rFonts w:ascii="宋体" w:hAnsi="宋体" w:cs="宋体"/>
                <w:color w:val="000000"/>
                <w:sz w:val="24"/>
              </w:rPr>
              <w:t>途径进入土壤：</w:t>
            </w:r>
          </w:p>
          <w:p>
            <w:pPr>
              <w:spacing w:line="360" w:lineRule="auto"/>
              <w:ind w:firstLine="480" w:firstLineChars="200"/>
              <w:rPr>
                <w:rFonts w:cs="宋体"/>
                <w:color w:val="000000"/>
                <w:sz w:val="24"/>
              </w:rPr>
            </w:pPr>
            <w:r>
              <w:rPr>
                <w:rFonts w:cs="宋体"/>
                <w:color w:val="000000"/>
                <w:sz w:val="24"/>
              </w:rPr>
              <w:t>大气污染型：项目废气污染物为颗粒物</w:t>
            </w:r>
            <w:r>
              <w:rPr>
                <w:rFonts w:hint="eastAsia" w:cs="宋体"/>
                <w:color w:val="000000"/>
                <w:sz w:val="24"/>
              </w:rPr>
              <w:t>、TVOC、甲苯、二甲苯</w:t>
            </w:r>
            <w:r>
              <w:rPr>
                <w:rFonts w:cs="宋体"/>
                <w:color w:val="000000"/>
                <w:sz w:val="24"/>
              </w:rPr>
              <w:t>，产生量较小，</w:t>
            </w:r>
            <w:r>
              <w:rPr>
                <w:rFonts w:hint="eastAsia" w:cs="宋体"/>
                <w:color w:val="000000"/>
                <w:sz w:val="24"/>
              </w:rPr>
              <w:t>有组织、无</w:t>
            </w:r>
            <w:r>
              <w:rPr>
                <w:rFonts w:cs="宋体"/>
                <w:color w:val="000000"/>
                <w:sz w:val="24"/>
              </w:rPr>
              <w:t>组织排放</w:t>
            </w:r>
            <w:r>
              <w:rPr>
                <w:rFonts w:hint="eastAsia" w:cs="宋体"/>
                <w:color w:val="000000"/>
                <w:sz w:val="24"/>
              </w:rPr>
              <w:t>均有</w:t>
            </w:r>
            <w:r>
              <w:rPr>
                <w:rFonts w:cs="宋体"/>
                <w:color w:val="000000"/>
                <w:sz w:val="24"/>
              </w:rPr>
              <w:t>，且项目</w:t>
            </w:r>
            <w:r>
              <w:rPr>
                <w:rFonts w:hint="eastAsia" w:cs="宋体"/>
                <w:color w:val="000000"/>
                <w:sz w:val="24"/>
              </w:rPr>
              <w:t>位于工业园，</w:t>
            </w:r>
            <w:r>
              <w:rPr>
                <w:rFonts w:cs="宋体"/>
                <w:color w:val="000000"/>
                <w:sz w:val="24"/>
              </w:rPr>
              <w:t>通过周边大气稀释</w:t>
            </w:r>
            <w:r>
              <w:rPr>
                <w:rFonts w:hint="eastAsia" w:cs="宋体"/>
                <w:color w:val="000000"/>
                <w:sz w:val="24"/>
              </w:rPr>
              <w:t>，</w:t>
            </w:r>
            <w:r>
              <w:rPr>
                <w:rFonts w:cs="宋体"/>
                <w:color w:val="000000"/>
                <w:sz w:val="24"/>
              </w:rPr>
              <w:t>基本不会</w:t>
            </w:r>
            <w:r>
              <w:rPr>
                <w:rFonts w:hint="eastAsia" w:cs="宋体"/>
                <w:color w:val="000000"/>
                <w:sz w:val="24"/>
              </w:rPr>
              <w:t>发生</w:t>
            </w:r>
            <w:r>
              <w:rPr>
                <w:rFonts w:cs="宋体"/>
                <w:color w:val="000000"/>
                <w:sz w:val="24"/>
              </w:rPr>
              <w:t>大气沉降</w:t>
            </w:r>
            <w:r>
              <w:rPr>
                <w:rFonts w:hint="eastAsia" w:cs="宋体"/>
                <w:color w:val="000000"/>
                <w:sz w:val="24"/>
              </w:rPr>
              <w:t>。若沉降至地表可引起土壤土质发生变化，破坏土壤肥力与生态系统的平衡。</w:t>
            </w:r>
          </w:p>
          <w:p>
            <w:pPr>
              <w:spacing w:line="360" w:lineRule="auto"/>
              <w:ind w:firstLine="480" w:firstLineChars="200"/>
              <w:rPr>
                <w:sz w:val="24"/>
              </w:rPr>
            </w:pPr>
            <w:r>
              <w:rPr>
                <w:rFonts w:hint="eastAsia"/>
                <w:sz w:val="24"/>
              </w:rPr>
              <w:t>（2）土壤环境影响分析</w:t>
            </w:r>
          </w:p>
          <w:p>
            <w:pPr>
              <w:spacing w:line="360" w:lineRule="auto"/>
              <w:ind w:firstLine="480" w:firstLineChars="200"/>
              <w:rPr>
                <w:sz w:val="24"/>
              </w:rPr>
            </w:pPr>
            <w:r>
              <w:rPr>
                <w:rFonts w:hint="eastAsia"/>
                <w:sz w:val="24"/>
              </w:rPr>
              <w:t>正常工况下，本项目依托较好的“三废”治理措施，废水、废气、固废污染物均能实现有效处置，不会通过地面漫流、垂直入渗、大气沉降等形式对厂区内及周边土壤造成影响。</w:t>
            </w:r>
          </w:p>
          <w:p>
            <w:pPr>
              <w:spacing w:line="360" w:lineRule="auto"/>
              <w:ind w:firstLine="480" w:firstLineChars="200"/>
              <w:rPr>
                <w:sz w:val="24"/>
              </w:rPr>
            </w:pPr>
            <w:r>
              <w:rPr>
                <w:rFonts w:hint="eastAsia"/>
                <w:sz w:val="24"/>
              </w:rPr>
              <w:t>生产装置及原料仓库等储存设施一旦发生泄漏后导致物料泄漏，泄漏的物料涉及有毒有害物质，在未发生火灾爆炸的情况下，泄漏的物料冲出储存设施，未被及时收集的情况下可能对周边土壤造成污染，影响土壤中生物生存，破坏土壤生态结构。大量物料泄漏时能够及时发现，因此在发生风险事故是也能够有效的对泄漏物料进行处置，降低了物料在地面的停留时间，降低了物料通过地面漫流或垂直入渗等方式进入土壤的风险。</w:t>
            </w:r>
          </w:p>
          <w:p>
            <w:pPr>
              <w:spacing w:line="360" w:lineRule="auto"/>
              <w:ind w:firstLine="480" w:firstLineChars="200"/>
              <w:rPr>
                <w:sz w:val="24"/>
              </w:rPr>
            </w:pPr>
            <w:r>
              <w:rPr>
                <w:rFonts w:hint="eastAsia"/>
                <w:sz w:val="24"/>
              </w:rPr>
              <w:t>此外，本项目厂界除了绿化用地以外，其它全部都是混凝土路面，基本没有直接裸露的土壤存在，因此，本项目发生物料泄漏对厂界内的土壤影响有限，事故后及时控制基本不会对厂界内的土壤造成严重污染。</w:t>
            </w:r>
          </w:p>
          <w:p>
            <w:pPr>
              <w:spacing w:line="360" w:lineRule="auto"/>
              <w:ind w:firstLine="480" w:firstLineChars="200"/>
              <w:rPr>
                <w:sz w:val="24"/>
              </w:rPr>
            </w:pPr>
            <w:r>
              <w:rPr>
                <w:rFonts w:hint="eastAsia"/>
                <w:sz w:val="24"/>
              </w:rPr>
              <w:t>本项目事故泄漏下物料对厂区外部的土壤污染更低，其对土壤的污染主要是由泄漏到大气环境中的事故污染物沉降到土壤中引起的。但是项目事故泄漏污染物总量不高，而且是属于短期事故，项目事故工况下通过大气沉降对厂界外环境空气影响较小，因此通过大气沉降等形式对土壤造成污染的可能性很小。</w:t>
            </w:r>
          </w:p>
          <w:p>
            <w:pPr>
              <w:spacing w:line="360" w:lineRule="auto"/>
              <w:ind w:firstLine="480" w:firstLineChars="200"/>
              <w:rPr>
                <w:sz w:val="24"/>
              </w:rPr>
            </w:pPr>
            <w:r>
              <w:rPr>
                <w:rFonts w:hint="eastAsia"/>
                <w:sz w:val="24"/>
              </w:rPr>
              <w:t>因此在正常工况、事故工况下，本项目均不会通过地面漫流、垂直入渗、大气沉降等形式对厂区内及周边土壤造成明显的影响。</w:t>
            </w:r>
          </w:p>
          <w:p>
            <w:pPr>
              <w:spacing w:line="360" w:lineRule="auto"/>
              <w:ind w:firstLine="480" w:firstLineChars="200"/>
              <w:rPr>
                <w:sz w:val="24"/>
              </w:rPr>
            </w:pPr>
            <w:r>
              <w:rPr>
                <w:rFonts w:hint="eastAsia"/>
                <w:sz w:val="24"/>
              </w:rPr>
              <w:t>（3）土壤污染防治措施</w:t>
            </w:r>
          </w:p>
          <w:p>
            <w:pPr>
              <w:spacing w:line="360" w:lineRule="auto"/>
              <w:ind w:firstLine="480" w:firstLineChars="200"/>
              <w:rPr>
                <w:sz w:val="24"/>
              </w:rPr>
            </w:pPr>
            <w:r>
              <w:rPr>
                <w:rFonts w:hint="eastAsia"/>
                <w:sz w:val="24"/>
              </w:rPr>
              <w:t>为减小对厂区以及周边土壤环境污染，可从源头防控措施和过程防控措施对周边区域土壤进行保护及管理。</w:t>
            </w:r>
          </w:p>
          <w:p>
            <w:pPr>
              <w:spacing w:line="360" w:lineRule="auto"/>
              <w:ind w:firstLine="480" w:firstLineChars="200"/>
              <w:rPr>
                <w:sz w:val="24"/>
              </w:rPr>
            </w:pPr>
            <w:r>
              <w:rPr>
                <w:rFonts w:hint="eastAsia"/>
                <w:sz w:val="24"/>
              </w:rPr>
              <w:t>①源头防控措施</w:t>
            </w:r>
          </w:p>
          <w:p>
            <w:pPr>
              <w:spacing w:line="360" w:lineRule="auto"/>
              <w:ind w:firstLine="480" w:firstLineChars="200"/>
              <w:rPr>
                <w:sz w:val="24"/>
              </w:rPr>
            </w:pPr>
            <w:r>
              <w:rPr>
                <w:rFonts w:hint="eastAsia"/>
                <w:sz w:val="24"/>
              </w:rPr>
              <w:t>禁止原辅材料及固体废物随意堆放，原辅材料及固体废物应存放于指定区域，并设有专人负责；</w:t>
            </w:r>
          </w:p>
          <w:p>
            <w:pPr>
              <w:spacing w:line="360" w:lineRule="auto"/>
              <w:ind w:firstLine="480" w:firstLineChars="200"/>
              <w:rPr>
                <w:sz w:val="24"/>
              </w:rPr>
            </w:pPr>
            <w:r>
              <w:rPr>
                <w:rFonts w:hint="eastAsia"/>
                <w:sz w:val="24"/>
              </w:rPr>
              <w:t>管道连接处应做好封闭性措施，加强污水处理设施的日常管理，防止未处理达标污水的跑冒滴漏现象。</w:t>
            </w:r>
          </w:p>
          <w:p>
            <w:pPr>
              <w:spacing w:line="360" w:lineRule="auto"/>
              <w:ind w:firstLine="480" w:firstLineChars="200"/>
              <w:rPr>
                <w:sz w:val="24"/>
              </w:rPr>
            </w:pPr>
            <w:r>
              <w:rPr>
                <w:rFonts w:hint="eastAsia"/>
                <w:sz w:val="24"/>
              </w:rPr>
              <w:t>②过程防控措施</w:t>
            </w:r>
          </w:p>
          <w:p>
            <w:pPr>
              <w:spacing w:line="360" w:lineRule="auto"/>
              <w:ind w:firstLine="480" w:firstLineChars="200"/>
              <w:rPr>
                <w:sz w:val="24"/>
              </w:rPr>
            </w:pPr>
            <w:r>
              <w:rPr>
                <w:rFonts w:hint="eastAsia"/>
                <w:sz w:val="24"/>
              </w:rPr>
              <w:t>项目厂区加强增加绿化措施，对于临时占地区域采取原有地貌恢复（如种植植被、加强绿化等）措施；</w:t>
            </w:r>
          </w:p>
          <w:p>
            <w:pPr>
              <w:spacing w:line="360" w:lineRule="auto"/>
              <w:ind w:firstLine="480" w:firstLineChars="200"/>
              <w:rPr>
                <w:sz w:val="24"/>
              </w:rPr>
            </w:pPr>
            <w:r>
              <w:rPr>
                <w:rFonts w:hint="eastAsia"/>
                <w:sz w:val="24"/>
              </w:rPr>
              <w:t>对污水处理水池做好防渗措施，输送管道、水机及电机要定期检查，定期维护，防止事故情况对土壤造成不利影响。</w:t>
            </w:r>
          </w:p>
          <w:p>
            <w:pPr>
              <w:pStyle w:val="130"/>
              <w:adjustRightInd w:val="0"/>
              <w:snapToGrid w:val="0"/>
              <w:ind w:firstLine="480"/>
              <w:rPr>
                <w:rFonts w:eastAsia="黑体"/>
                <w:kern w:val="2"/>
                <w:szCs w:val="24"/>
              </w:rPr>
            </w:pPr>
            <w:r>
              <w:rPr>
                <w:rFonts w:hint="eastAsia"/>
                <w:kern w:val="2"/>
                <w:szCs w:val="24"/>
              </w:rPr>
              <w:t>综上所述，在采取以上土壤污染防治措施前提下，本项目运营对区域土壤环境产生</w:t>
            </w:r>
            <w:r>
              <w:rPr>
                <w:rFonts w:eastAsiaTheme="minorEastAsia"/>
                <w:szCs w:val="24"/>
              </w:rPr>
              <w:t>根据本项目厂区可能泄漏至地面区域污染物的性质和生产单元的构筑方式，将厂区划分为重点防渗区、一般污染防治区，针对不同的区域提出相应的防渗要求。结合项目的特点，项目防渗防治分区见下表。根据对项目生产过程及存储方式等进行分析，本项目对地下水及土壤环境影响的污染源有：化粪池、原料仓库、污水管道、危废暂存间、</w:t>
            </w:r>
            <w:r>
              <w:rPr>
                <w:rFonts w:hint="eastAsia" w:eastAsiaTheme="minorEastAsia"/>
                <w:szCs w:val="24"/>
              </w:rPr>
              <w:t>喷漆房</w:t>
            </w:r>
            <w:r>
              <w:rPr>
                <w:rFonts w:eastAsiaTheme="minorEastAsia"/>
                <w:szCs w:val="24"/>
              </w:rPr>
              <w:t>的地面等，主要污染物为废水和固体废物（主要是危险废物）。</w:t>
            </w:r>
          </w:p>
          <w:p>
            <w:pPr>
              <w:autoSpaceDN w:val="0"/>
              <w:spacing w:before="120" w:beforeLines="50"/>
              <w:ind w:firstLine="482"/>
              <w:jc w:val="center"/>
              <w:rPr>
                <w:rFonts w:eastAsia="黑体"/>
                <w:bCs/>
                <w:spacing w:val="4"/>
                <w:sz w:val="24"/>
              </w:rPr>
            </w:pPr>
            <w:r>
              <w:rPr>
                <w:rFonts w:hint="eastAsia" w:eastAsia="黑体"/>
                <w:bCs/>
                <w:spacing w:val="4"/>
                <w:sz w:val="24"/>
              </w:rPr>
              <w:t>表4-3</w:t>
            </w:r>
            <w:r>
              <w:rPr>
                <w:rFonts w:hint="eastAsia" w:eastAsia="黑体"/>
                <w:bCs/>
                <w:spacing w:val="4"/>
                <w:sz w:val="24"/>
                <w:lang w:val="en-US" w:eastAsia="zh-CN"/>
              </w:rPr>
              <w:t>4</w:t>
            </w:r>
            <w:r>
              <w:rPr>
                <w:rFonts w:hint="eastAsia" w:eastAsia="黑体"/>
                <w:bCs/>
                <w:spacing w:val="4"/>
                <w:sz w:val="24"/>
              </w:rPr>
              <w:t xml:space="preserve">  地下水污染物防渗分区参照表</w:t>
            </w:r>
          </w:p>
          <w:tbl>
            <w:tblPr>
              <w:tblStyle w:val="33"/>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097"/>
              <w:gridCol w:w="5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6" w:type="pct"/>
                  <w:vAlign w:val="center"/>
                </w:tcPr>
                <w:p>
                  <w:pPr>
                    <w:pStyle w:val="158"/>
                    <w:spacing w:line="240" w:lineRule="auto"/>
                    <w:ind w:left="0" w:leftChars="0" w:right="0" w:rightChars="0" w:firstLine="0" w:firstLineChars="0"/>
                    <w:jc w:val="center"/>
                    <w:rPr>
                      <w:sz w:val="21"/>
                      <w:szCs w:val="21"/>
                    </w:rPr>
                  </w:pPr>
                  <w:r>
                    <w:rPr>
                      <w:sz w:val="21"/>
                      <w:szCs w:val="21"/>
                    </w:rPr>
                    <w:t>分区要求</w:t>
                  </w:r>
                </w:p>
              </w:tc>
              <w:tc>
                <w:tcPr>
                  <w:tcW w:w="1234" w:type="pct"/>
                  <w:vAlign w:val="center"/>
                </w:tcPr>
                <w:p>
                  <w:pPr>
                    <w:pStyle w:val="158"/>
                    <w:spacing w:line="240" w:lineRule="auto"/>
                    <w:ind w:left="0" w:leftChars="0" w:right="0" w:rightChars="0" w:firstLine="0" w:firstLineChars="0"/>
                    <w:jc w:val="center"/>
                    <w:rPr>
                      <w:sz w:val="21"/>
                      <w:szCs w:val="21"/>
                    </w:rPr>
                  </w:pPr>
                  <w:r>
                    <w:rPr>
                      <w:sz w:val="21"/>
                      <w:szCs w:val="21"/>
                    </w:rPr>
                    <w:t>防渗区域</w:t>
                  </w:r>
                </w:p>
              </w:tc>
              <w:tc>
                <w:tcPr>
                  <w:tcW w:w="3068" w:type="pct"/>
                  <w:vAlign w:val="center"/>
                </w:tcPr>
                <w:p>
                  <w:pPr>
                    <w:pStyle w:val="158"/>
                    <w:spacing w:line="240" w:lineRule="auto"/>
                    <w:ind w:left="0" w:leftChars="0" w:right="0" w:rightChars="0" w:firstLine="0" w:firstLineChars="0"/>
                    <w:jc w:val="center"/>
                    <w:rPr>
                      <w:sz w:val="21"/>
                      <w:szCs w:val="21"/>
                    </w:rPr>
                  </w:pPr>
                  <w:r>
                    <w:rPr>
                      <w:sz w:val="21"/>
                      <w:szCs w:val="21"/>
                    </w:rPr>
                    <w:t>防渗要求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96" w:type="pct"/>
                  <w:vAlign w:val="center"/>
                </w:tcPr>
                <w:p>
                  <w:pPr>
                    <w:pStyle w:val="158"/>
                    <w:ind w:left="0" w:leftChars="0" w:right="0" w:rightChars="0" w:firstLine="0" w:firstLineChars="0"/>
                    <w:jc w:val="center"/>
                    <w:rPr>
                      <w:sz w:val="21"/>
                      <w:szCs w:val="21"/>
                    </w:rPr>
                  </w:pPr>
                  <w:r>
                    <w:rPr>
                      <w:sz w:val="21"/>
                      <w:szCs w:val="21"/>
                    </w:rPr>
                    <w:t>重点防渗区</w:t>
                  </w:r>
                </w:p>
              </w:tc>
              <w:tc>
                <w:tcPr>
                  <w:tcW w:w="1234" w:type="pct"/>
                  <w:vAlign w:val="center"/>
                </w:tcPr>
                <w:p>
                  <w:pPr>
                    <w:pStyle w:val="158"/>
                    <w:ind w:left="0" w:leftChars="0" w:right="0" w:rightChars="0" w:firstLine="0" w:firstLineChars="0"/>
                    <w:jc w:val="left"/>
                    <w:rPr>
                      <w:sz w:val="21"/>
                      <w:szCs w:val="21"/>
                    </w:rPr>
                  </w:pPr>
                  <w:r>
                    <w:rPr>
                      <w:rFonts w:hint="eastAsia"/>
                      <w:sz w:val="21"/>
                      <w:szCs w:val="21"/>
                    </w:rPr>
                    <w:t>化粪池、原料仓库、污水管道、危废暂存间、喷漆房</w:t>
                  </w:r>
                </w:p>
              </w:tc>
              <w:tc>
                <w:tcPr>
                  <w:tcW w:w="3068" w:type="pct"/>
                  <w:vAlign w:val="center"/>
                </w:tcPr>
                <w:p>
                  <w:pPr>
                    <w:pStyle w:val="158"/>
                    <w:spacing w:line="240" w:lineRule="auto"/>
                    <w:ind w:left="0" w:leftChars="0" w:right="0" w:rightChars="0" w:firstLine="0" w:firstLineChars="0"/>
                    <w:jc w:val="left"/>
                    <w:rPr>
                      <w:sz w:val="21"/>
                      <w:szCs w:val="21"/>
                    </w:rPr>
                  </w:pPr>
                  <w:r>
                    <w:rPr>
                      <w:sz w:val="21"/>
                      <w:szCs w:val="21"/>
                    </w:rPr>
                    <w:t>防渗层至少为 1m 厚粘土层（渗透系数≤10</w:t>
                  </w:r>
                  <w:r>
                    <w:rPr>
                      <w:sz w:val="21"/>
                      <w:szCs w:val="21"/>
                      <w:vertAlign w:val="superscript"/>
                    </w:rPr>
                    <w:t>-7</w:t>
                  </w:r>
                  <w:r>
                    <w:rPr>
                      <w:sz w:val="21"/>
                      <w:szCs w:val="21"/>
                    </w:rPr>
                    <w:t>cm/s），铺设2mm厚高密度聚乙烯，地面以混凝土铺设，采用环氧漆做防腐防渗处理，并设置 10cm 高围堰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96" w:type="pct"/>
                  <w:vAlign w:val="center"/>
                </w:tcPr>
                <w:p>
                  <w:pPr>
                    <w:pStyle w:val="158"/>
                    <w:ind w:left="0" w:leftChars="0" w:right="0" w:rightChars="0" w:firstLine="0" w:firstLineChars="0"/>
                    <w:jc w:val="center"/>
                    <w:rPr>
                      <w:sz w:val="21"/>
                      <w:szCs w:val="21"/>
                    </w:rPr>
                  </w:pPr>
                  <w:r>
                    <w:rPr>
                      <w:rFonts w:hint="eastAsia"/>
                      <w:sz w:val="21"/>
                      <w:szCs w:val="21"/>
                    </w:rPr>
                    <w:t>一般防渗区</w:t>
                  </w:r>
                </w:p>
              </w:tc>
              <w:tc>
                <w:tcPr>
                  <w:tcW w:w="1234" w:type="pct"/>
                  <w:vAlign w:val="center"/>
                </w:tcPr>
                <w:p>
                  <w:pPr>
                    <w:pStyle w:val="158"/>
                    <w:ind w:left="0" w:leftChars="0" w:right="0" w:rightChars="0" w:firstLine="0" w:firstLineChars="0"/>
                    <w:jc w:val="left"/>
                    <w:rPr>
                      <w:sz w:val="21"/>
                      <w:szCs w:val="21"/>
                    </w:rPr>
                  </w:pPr>
                  <w:r>
                    <w:rPr>
                      <w:sz w:val="21"/>
                      <w:szCs w:val="21"/>
                    </w:rPr>
                    <w:t>生产区域、</w:t>
                  </w:r>
                  <w:r>
                    <w:rPr>
                      <w:rFonts w:hint="eastAsia"/>
                      <w:sz w:val="21"/>
                      <w:szCs w:val="21"/>
                      <w:lang w:eastAsia="zh-CN"/>
                    </w:rPr>
                    <w:t>一般</w:t>
                  </w:r>
                  <w:r>
                    <w:rPr>
                      <w:sz w:val="21"/>
                      <w:szCs w:val="21"/>
                    </w:rPr>
                    <w:t>固废暂存间</w:t>
                  </w:r>
                </w:p>
              </w:tc>
              <w:tc>
                <w:tcPr>
                  <w:tcW w:w="3068" w:type="pct"/>
                  <w:vAlign w:val="center"/>
                </w:tcPr>
                <w:p>
                  <w:pPr>
                    <w:pStyle w:val="158"/>
                    <w:spacing w:line="240" w:lineRule="auto"/>
                    <w:ind w:left="0" w:leftChars="0" w:right="0" w:rightChars="0" w:firstLine="0" w:firstLineChars="0"/>
                    <w:jc w:val="left"/>
                    <w:rPr>
                      <w:sz w:val="21"/>
                      <w:szCs w:val="21"/>
                    </w:rPr>
                  </w:pPr>
                  <w:r>
                    <w:rPr>
                      <w:sz w:val="21"/>
                      <w:szCs w:val="21"/>
                    </w:rPr>
                    <w:t>防渗层至少为 1m 厚粘土层（渗透系数≤10</w:t>
                  </w:r>
                  <w:r>
                    <w:rPr>
                      <w:sz w:val="21"/>
                      <w:szCs w:val="21"/>
                      <w:vertAlign w:val="superscript"/>
                    </w:rPr>
                    <w:t>-7</w:t>
                  </w:r>
                  <w:r>
                    <w:rPr>
                      <w:sz w:val="21"/>
                      <w:szCs w:val="21"/>
                    </w:rPr>
                    <w:t>cm/s），</w:t>
                  </w:r>
                  <w:r>
                    <w:rPr>
                      <w:rFonts w:hint="eastAsia"/>
                      <w:sz w:val="21"/>
                      <w:szCs w:val="21"/>
                    </w:rPr>
                    <w:t>等效黏土防渗层Mb</w:t>
                  </w:r>
                  <w:r>
                    <w:rPr>
                      <w:sz w:val="21"/>
                      <w:szCs w:val="21"/>
                    </w:rPr>
                    <w:t>≥</w:t>
                  </w:r>
                  <w:r>
                    <w:rPr>
                      <w:rFonts w:hint="eastAsia"/>
                      <w:sz w:val="21"/>
                      <w:szCs w:val="21"/>
                    </w:rPr>
                    <w:t>1.5m</w:t>
                  </w:r>
                </w:p>
              </w:tc>
            </w:tr>
          </w:tbl>
          <w:p>
            <w:pPr>
              <w:pStyle w:val="130"/>
              <w:ind w:firstLine="480"/>
              <w:rPr>
                <w:szCs w:val="24"/>
              </w:rPr>
            </w:pPr>
            <w:r>
              <w:rPr>
                <w:szCs w:val="24"/>
              </w:rPr>
              <w:t>（4）跟踪监测要求</w:t>
            </w:r>
          </w:p>
          <w:p>
            <w:pPr>
              <w:pStyle w:val="130"/>
              <w:ind w:firstLine="480"/>
              <w:rPr>
                <w:szCs w:val="24"/>
              </w:rPr>
            </w:pPr>
            <w:r>
              <w:rPr>
                <w:szCs w:val="24"/>
              </w:rPr>
              <w:t>据调查，项目厂界外500m范围内无地下水集中式饮用水源水源和热水、矿泉水、温泉等特殊地下水资源，厂址周边为林地，周边地下水和土壤环境相对不敏感，采取有效的防渗措施后，项目对地下水、土壤环境影响很小，因此本评价不对项目地下水、土壤环境进行跟踪监测，只提出地下水、土壤污染防控措施。</w:t>
            </w:r>
          </w:p>
          <w:p>
            <w:pPr>
              <w:spacing w:line="360" w:lineRule="auto"/>
              <w:ind w:firstLine="482" w:firstLineChars="200"/>
              <w:rPr>
                <w:b/>
                <w:bCs/>
                <w:sz w:val="24"/>
              </w:rPr>
            </w:pPr>
            <w:r>
              <w:rPr>
                <w:rFonts w:hint="eastAsia"/>
                <w:b/>
                <w:bCs/>
                <w:sz w:val="24"/>
              </w:rPr>
              <w:t>6</w:t>
            </w:r>
            <w:r>
              <w:rPr>
                <w:b/>
                <w:bCs/>
                <w:sz w:val="24"/>
              </w:rPr>
              <w:t>、环境风险分析</w:t>
            </w:r>
          </w:p>
          <w:p>
            <w:pPr>
              <w:spacing w:line="360" w:lineRule="auto"/>
              <w:ind w:firstLine="480" w:firstLineChars="200"/>
              <w:rPr>
                <w:sz w:val="24"/>
              </w:rPr>
            </w:pPr>
            <w:r>
              <w:rPr>
                <w:rFonts w:hint="eastAsia"/>
                <w:sz w:val="24"/>
              </w:rPr>
              <w:t>环境风险评价的目的是分析和预测建设项目存在的潜在危险、有害因素，建设项目建设和运营期间可能发生的突发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spacing w:line="360" w:lineRule="auto"/>
              <w:ind w:firstLine="480" w:firstLineChars="200"/>
              <w:rPr>
                <w:sz w:val="24"/>
              </w:rPr>
            </w:pPr>
            <w:r>
              <w:rPr>
                <w:rFonts w:hint="eastAsia"/>
                <w:sz w:val="24"/>
              </w:rPr>
              <w:t>（1）风险源调查</w:t>
            </w:r>
          </w:p>
          <w:p>
            <w:pPr>
              <w:spacing w:line="360" w:lineRule="auto"/>
              <w:ind w:firstLine="480" w:firstLineChars="200"/>
              <w:rPr>
                <w:sz w:val="24"/>
              </w:rPr>
            </w:pPr>
            <w:r>
              <w:rPr>
                <w:rFonts w:hint="eastAsia"/>
                <w:sz w:val="24"/>
              </w:rPr>
              <w:t>根据《建设项目环境风险评价技术导则》（HJ169-2018），并结合本项目实际运营情况，确定本项目环境风险评价应把事故引起厂界外人群的伤害、环境质量恶化的预测和防护作为评价工作重点。</w:t>
            </w:r>
          </w:p>
          <w:p>
            <w:pPr>
              <w:spacing w:line="360" w:lineRule="auto"/>
              <w:ind w:firstLine="480" w:firstLineChars="200"/>
              <w:rPr>
                <w:sz w:val="24"/>
                <w:lang w:val="en-GB"/>
              </w:rPr>
            </w:pPr>
            <w:r>
              <w:rPr>
                <w:rFonts w:hint="eastAsia"/>
                <w:sz w:val="24"/>
                <w:lang w:val="en-GB"/>
              </w:rPr>
              <w:t>本项目为家具制造项目，本项目风险性物质主要为PU漆、稀释剂，均储存在专用的</w:t>
            </w:r>
            <w:r>
              <w:rPr>
                <w:rFonts w:hint="eastAsia"/>
                <w:sz w:val="24"/>
              </w:rPr>
              <w:t>原料</w:t>
            </w:r>
            <w:r>
              <w:rPr>
                <w:rFonts w:hint="eastAsia"/>
                <w:sz w:val="24"/>
                <w:lang w:val="en-GB"/>
              </w:rPr>
              <w:t>库内，车间及仓库仅暂存</w:t>
            </w:r>
            <w:r>
              <w:rPr>
                <w:rFonts w:hint="eastAsia"/>
                <w:sz w:val="24"/>
              </w:rPr>
              <w:t>季度</w:t>
            </w:r>
            <w:r>
              <w:rPr>
                <w:rFonts w:hint="eastAsia"/>
                <w:sz w:val="24"/>
                <w:lang w:val="en-GB"/>
              </w:rPr>
              <w:t>使用量。本项目储存单元涉及的危险物质最大贮存量及临界量见下表：</w:t>
            </w:r>
          </w:p>
          <w:p>
            <w:pPr>
              <w:autoSpaceDN w:val="0"/>
              <w:spacing w:before="120" w:beforeLines="50"/>
              <w:ind w:firstLine="482"/>
              <w:jc w:val="center"/>
              <w:rPr>
                <w:rFonts w:eastAsia="黑体"/>
                <w:bCs/>
                <w:spacing w:val="4"/>
                <w:sz w:val="24"/>
              </w:rPr>
            </w:pPr>
            <w:r>
              <w:rPr>
                <w:rFonts w:hint="eastAsia" w:eastAsia="黑体"/>
                <w:bCs/>
                <w:spacing w:val="4"/>
                <w:sz w:val="24"/>
              </w:rPr>
              <w:t>表4-</w:t>
            </w:r>
            <w:r>
              <w:rPr>
                <w:rFonts w:hint="eastAsia" w:eastAsia="黑体"/>
                <w:bCs/>
                <w:spacing w:val="4"/>
                <w:sz w:val="24"/>
                <w:lang w:val="en-US" w:eastAsia="zh-CN"/>
              </w:rPr>
              <w:t>35</w:t>
            </w:r>
            <w:r>
              <w:rPr>
                <w:rFonts w:hint="eastAsia" w:eastAsia="黑体"/>
                <w:bCs/>
                <w:spacing w:val="4"/>
                <w:sz w:val="24"/>
              </w:rPr>
              <w:t xml:space="preserve"> 危险物质储存及临界量情况表</w:t>
            </w:r>
          </w:p>
          <w:tbl>
            <w:tblPr>
              <w:tblStyle w:val="33"/>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305"/>
              <w:gridCol w:w="1793"/>
              <w:gridCol w:w="2832"/>
              <w:gridCol w:w="1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323" w:type="dxa"/>
                  <w:tcBorders>
                    <w:tl2br w:val="nil"/>
                    <w:tr2bl w:val="nil"/>
                  </w:tcBorders>
                  <w:vAlign w:val="center"/>
                </w:tcPr>
                <w:p>
                  <w:pPr>
                    <w:adjustRightInd w:val="0"/>
                    <w:snapToGrid w:val="0"/>
                    <w:spacing w:line="340" w:lineRule="exact"/>
                    <w:jc w:val="center"/>
                    <w:rPr>
                      <w:szCs w:val="21"/>
                    </w:rPr>
                  </w:pPr>
                  <w:r>
                    <w:rPr>
                      <w:rFonts w:hint="eastAsia"/>
                      <w:szCs w:val="21"/>
                    </w:rPr>
                    <w:t>危险化学品</w:t>
                  </w:r>
                </w:p>
              </w:tc>
              <w:tc>
                <w:tcPr>
                  <w:tcW w:w="1807" w:type="dxa"/>
                  <w:tcBorders>
                    <w:tl2br w:val="nil"/>
                    <w:tr2bl w:val="nil"/>
                  </w:tcBorders>
                  <w:vAlign w:val="center"/>
                </w:tcPr>
                <w:p>
                  <w:pPr>
                    <w:adjustRightInd w:val="0"/>
                    <w:snapToGrid w:val="0"/>
                    <w:spacing w:line="340" w:lineRule="exact"/>
                    <w:jc w:val="center"/>
                    <w:rPr>
                      <w:szCs w:val="21"/>
                    </w:rPr>
                  </w:pPr>
                  <w:r>
                    <w:rPr>
                      <w:rFonts w:hint="eastAsia"/>
                      <w:szCs w:val="21"/>
                    </w:rPr>
                    <w:t>物质类别</w:t>
                  </w:r>
                </w:p>
              </w:tc>
              <w:tc>
                <w:tcPr>
                  <w:tcW w:w="2854" w:type="dxa"/>
                  <w:tcBorders>
                    <w:tl2br w:val="nil"/>
                    <w:tr2bl w:val="nil"/>
                  </w:tcBorders>
                  <w:vAlign w:val="center"/>
                </w:tcPr>
                <w:p>
                  <w:pPr>
                    <w:adjustRightInd w:val="0"/>
                    <w:snapToGrid w:val="0"/>
                    <w:spacing w:line="340" w:lineRule="exact"/>
                    <w:jc w:val="center"/>
                    <w:rPr>
                      <w:szCs w:val="21"/>
                    </w:rPr>
                  </w:pPr>
                  <w:r>
                    <w:rPr>
                      <w:rFonts w:hint="eastAsia"/>
                      <w:szCs w:val="21"/>
                    </w:rPr>
                    <w:t>本项目最大贮存量及使用量（t）</w:t>
                  </w:r>
                </w:p>
              </w:tc>
              <w:tc>
                <w:tcPr>
                  <w:tcW w:w="1412" w:type="dxa"/>
                  <w:tcBorders>
                    <w:tl2br w:val="nil"/>
                    <w:tr2bl w:val="nil"/>
                  </w:tcBorders>
                  <w:vAlign w:val="center"/>
                </w:tcPr>
                <w:p>
                  <w:pPr>
                    <w:adjustRightInd w:val="0"/>
                    <w:snapToGrid w:val="0"/>
                    <w:spacing w:line="340" w:lineRule="exact"/>
                    <w:jc w:val="center"/>
                    <w:rPr>
                      <w:szCs w:val="21"/>
                    </w:rPr>
                  </w:pPr>
                  <w:r>
                    <w:rPr>
                      <w:rFonts w:hint="eastAsia"/>
                      <w:szCs w:val="21"/>
                    </w:rPr>
                    <w:t>q</w:t>
                  </w:r>
                  <w:r>
                    <w:rPr>
                      <w:rFonts w:hint="eastAsia"/>
                      <w:szCs w:val="21"/>
                      <w:vertAlign w:val="subscript"/>
                    </w:rPr>
                    <w:t>n</w:t>
                  </w:r>
                  <w:r>
                    <w:rPr>
                      <w:rFonts w:hint="eastAsia"/>
                      <w:szCs w:val="21"/>
                    </w:rPr>
                    <w:t>/Q</w:t>
                  </w:r>
                  <w:r>
                    <w:rPr>
                      <w:rFonts w:hint="eastAsia"/>
                      <w:szCs w:val="21"/>
                      <w:vertAlign w:val="subscript"/>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323" w:type="dxa"/>
                  <w:tcBorders>
                    <w:tl2br w:val="nil"/>
                    <w:tr2bl w:val="nil"/>
                  </w:tcBorders>
                  <w:vAlign w:val="center"/>
                </w:tcPr>
                <w:p>
                  <w:pPr>
                    <w:adjustRightInd w:val="0"/>
                    <w:snapToGrid w:val="0"/>
                    <w:spacing w:line="340" w:lineRule="exact"/>
                    <w:jc w:val="center"/>
                    <w:rPr>
                      <w:szCs w:val="21"/>
                    </w:rPr>
                  </w:pPr>
                  <w:r>
                    <w:rPr>
                      <w:rFonts w:hint="eastAsia"/>
                      <w:szCs w:val="21"/>
                    </w:rPr>
                    <w:t>PU漆、稀释剂</w:t>
                  </w:r>
                </w:p>
              </w:tc>
              <w:tc>
                <w:tcPr>
                  <w:tcW w:w="1807" w:type="dxa"/>
                  <w:tcBorders>
                    <w:tl2br w:val="nil"/>
                    <w:tr2bl w:val="nil"/>
                  </w:tcBorders>
                  <w:vAlign w:val="center"/>
                </w:tcPr>
                <w:p>
                  <w:pPr>
                    <w:adjustRightInd w:val="0"/>
                    <w:snapToGrid w:val="0"/>
                    <w:spacing w:line="340" w:lineRule="exact"/>
                    <w:jc w:val="center"/>
                    <w:rPr>
                      <w:szCs w:val="21"/>
                    </w:rPr>
                  </w:pPr>
                  <w:r>
                    <w:rPr>
                      <w:rFonts w:hint="eastAsia"/>
                      <w:szCs w:val="21"/>
                    </w:rPr>
                    <w:t>甲苯及二甲苯</w:t>
                  </w:r>
                </w:p>
              </w:tc>
              <w:tc>
                <w:tcPr>
                  <w:tcW w:w="2854" w:type="dxa"/>
                  <w:tcBorders>
                    <w:tl2br w:val="nil"/>
                    <w:tr2bl w:val="nil"/>
                  </w:tcBorders>
                  <w:vAlign w:val="center"/>
                </w:tcPr>
                <w:p>
                  <w:pPr>
                    <w:adjustRightInd w:val="0"/>
                    <w:snapToGrid w:val="0"/>
                    <w:spacing w:line="340" w:lineRule="exact"/>
                    <w:jc w:val="center"/>
                    <w:rPr>
                      <w:szCs w:val="21"/>
                    </w:rPr>
                  </w:pPr>
                  <w:r>
                    <w:rPr>
                      <w:rFonts w:hint="eastAsia"/>
                      <w:szCs w:val="21"/>
                    </w:rPr>
                    <w:t>0.4188</w:t>
                  </w:r>
                </w:p>
              </w:tc>
              <w:tc>
                <w:tcPr>
                  <w:tcW w:w="1412" w:type="dxa"/>
                  <w:tcBorders>
                    <w:tl2br w:val="nil"/>
                    <w:tr2bl w:val="nil"/>
                  </w:tcBorders>
                  <w:vAlign w:val="center"/>
                </w:tcPr>
                <w:p>
                  <w:pPr>
                    <w:adjustRightInd w:val="0"/>
                    <w:snapToGrid w:val="0"/>
                    <w:spacing w:line="340" w:lineRule="exact"/>
                    <w:jc w:val="center"/>
                    <w:rPr>
                      <w:szCs w:val="21"/>
                    </w:rPr>
                  </w:pPr>
                  <w:r>
                    <w:rPr>
                      <w:rFonts w:hint="eastAsia"/>
                      <w:szCs w:val="21"/>
                    </w:rPr>
                    <w:t>0.04188</w:t>
                  </w:r>
                </w:p>
              </w:tc>
            </w:tr>
          </w:tbl>
          <w:p>
            <w:pPr>
              <w:spacing w:before="120" w:beforeLines="50" w:line="360" w:lineRule="auto"/>
              <w:ind w:firstLine="480" w:firstLineChars="200"/>
              <w:rPr>
                <w:sz w:val="24"/>
              </w:rPr>
            </w:pPr>
            <w:r>
              <w:rPr>
                <w:rFonts w:hint="eastAsia"/>
                <w:sz w:val="24"/>
              </w:rPr>
              <w:t>本项目为家具制造建设项目，生产工艺流程可简单分为木加工、打磨、喷漆三个步骤，其中喷漆过程使用PU漆、稀释剂等危险物质。均有危险性。</w:t>
            </w:r>
          </w:p>
          <w:p>
            <w:pPr>
              <w:spacing w:line="360" w:lineRule="auto"/>
              <w:ind w:firstLine="480" w:firstLineChars="200"/>
              <w:rPr>
                <w:sz w:val="24"/>
              </w:rPr>
            </w:pPr>
            <w:r>
              <w:rPr>
                <w:rFonts w:hint="eastAsia"/>
                <w:sz w:val="24"/>
              </w:rPr>
              <w:t>项目主要原材料危险化学品理化性质如下：</w:t>
            </w:r>
          </w:p>
          <w:p>
            <w:pPr>
              <w:autoSpaceDN w:val="0"/>
              <w:spacing w:before="120" w:beforeLines="50"/>
              <w:ind w:firstLine="482"/>
              <w:jc w:val="center"/>
              <w:rPr>
                <w:rFonts w:hint="eastAsia" w:eastAsia="黑体"/>
                <w:bCs/>
                <w:spacing w:val="4"/>
                <w:sz w:val="24"/>
              </w:rPr>
            </w:pPr>
            <w:bookmarkStart w:id="3" w:name="_Toc23735_WPSOffice_Level2"/>
            <w:r>
              <w:rPr>
                <w:rFonts w:hint="eastAsia" w:eastAsia="黑体"/>
                <w:bCs/>
                <w:spacing w:val="4"/>
                <w:sz w:val="24"/>
              </w:rPr>
              <w:t>表4-</w:t>
            </w:r>
            <w:r>
              <w:rPr>
                <w:rFonts w:hint="eastAsia" w:eastAsia="黑体"/>
                <w:bCs/>
                <w:spacing w:val="4"/>
                <w:sz w:val="24"/>
                <w:lang w:val="en-US" w:eastAsia="zh-CN"/>
              </w:rPr>
              <w:t xml:space="preserve">36 </w:t>
            </w:r>
            <w:r>
              <w:rPr>
                <w:rFonts w:hint="eastAsia" w:eastAsia="黑体"/>
                <w:bCs/>
                <w:spacing w:val="4"/>
                <w:sz w:val="24"/>
              </w:rPr>
              <w:t xml:space="preserve"> 油漆主要污染成分理化特性表</w:t>
            </w:r>
            <w:bookmarkEnd w:id="3"/>
          </w:p>
          <w:tbl>
            <w:tblPr>
              <w:tblStyle w:val="33"/>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3643"/>
              <w:gridCol w:w="3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vMerge w:val="restart"/>
                  <w:tcBorders>
                    <w:tl2br w:val="nil"/>
                    <w:tr2bl w:val="nil"/>
                  </w:tcBorders>
                  <w:vAlign w:val="center"/>
                </w:tcPr>
                <w:p>
                  <w:pPr>
                    <w:adjustRightInd w:val="0"/>
                    <w:snapToGrid w:val="0"/>
                    <w:spacing w:line="340" w:lineRule="exact"/>
                    <w:jc w:val="center"/>
                    <w:rPr>
                      <w:szCs w:val="21"/>
                    </w:rPr>
                  </w:pPr>
                  <w:r>
                    <w:rPr>
                      <w:rFonts w:hint="eastAsia"/>
                      <w:szCs w:val="21"/>
                    </w:rPr>
                    <w:t>项目</w:t>
                  </w:r>
                </w:p>
              </w:tc>
              <w:tc>
                <w:tcPr>
                  <w:tcW w:w="3888" w:type="dxa"/>
                  <w:tcBorders>
                    <w:tl2br w:val="nil"/>
                    <w:tr2bl w:val="nil"/>
                  </w:tcBorders>
                  <w:vAlign w:val="center"/>
                </w:tcPr>
                <w:p>
                  <w:pPr>
                    <w:adjustRightInd w:val="0"/>
                    <w:snapToGrid w:val="0"/>
                    <w:spacing w:line="340" w:lineRule="exact"/>
                    <w:jc w:val="center"/>
                    <w:rPr>
                      <w:szCs w:val="21"/>
                    </w:rPr>
                  </w:pPr>
                  <w:r>
                    <w:rPr>
                      <w:rFonts w:hint="eastAsia"/>
                      <w:szCs w:val="21"/>
                    </w:rPr>
                    <w:t>甲苯</w:t>
                  </w:r>
                </w:p>
              </w:tc>
              <w:tc>
                <w:tcPr>
                  <w:tcW w:w="3842" w:type="dxa"/>
                  <w:tcBorders>
                    <w:tl2br w:val="nil"/>
                    <w:tr2bl w:val="nil"/>
                  </w:tcBorders>
                  <w:vAlign w:val="center"/>
                </w:tcPr>
                <w:p>
                  <w:pPr>
                    <w:adjustRightInd w:val="0"/>
                    <w:snapToGrid w:val="0"/>
                    <w:spacing w:line="340" w:lineRule="exact"/>
                    <w:jc w:val="center"/>
                    <w:rPr>
                      <w:szCs w:val="21"/>
                    </w:rPr>
                  </w:pPr>
                  <w:r>
                    <w:rPr>
                      <w:rFonts w:hint="eastAsia"/>
                      <w:szCs w:val="21"/>
                    </w:rPr>
                    <w:t>二甲苯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vMerge w:val="continue"/>
                  <w:tcBorders>
                    <w:tl2br w:val="nil"/>
                    <w:tr2bl w:val="nil"/>
                  </w:tcBorders>
                  <w:vAlign w:val="center"/>
                </w:tcPr>
                <w:p>
                  <w:pPr>
                    <w:adjustRightInd w:val="0"/>
                    <w:snapToGrid w:val="0"/>
                    <w:spacing w:line="340" w:lineRule="exact"/>
                    <w:jc w:val="center"/>
                    <w:rPr>
                      <w:szCs w:val="21"/>
                    </w:rPr>
                  </w:pPr>
                </w:p>
              </w:tc>
              <w:tc>
                <w:tcPr>
                  <w:tcW w:w="3888" w:type="dxa"/>
                  <w:tcBorders>
                    <w:tl2br w:val="nil"/>
                    <w:tr2bl w:val="nil"/>
                  </w:tcBorders>
                  <w:vAlign w:val="center"/>
                </w:tcPr>
                <w:p>
                  <w:pPr>
                    <w:adjustRightInd w:val="0"/>
                    <w:snapToGrid w:val="0"/>
                    <w:spacing w:line="340" w:lineRule="exact"/>
                    <w:jc w:val="center"/>
                    <w:rPr>
                      <w:szCs w:val="21"/>
                    </w:rPr>
                  </w:pPr>
                  <w:r>
                    <w:rPr>
                      <w:rFonts w:hint="eastAsia"/>
                      <w:szCs w:val="21"/>
                    </w:rPr>
                    <w:t>C</w:t>
                  </w:r>
                  <w:r>
                    <w:rPr>
                      <w:rFonts w:hint="eastAsia"/>
                      <w:szCs w:val="21"/>
                      <w:vertAlign w:val="subscript"/>
                    </w:rPr>
                    <w:t>7</w:t>
                  </w:r>
                  <w:r>
                    <w:rPr>
                      <w:rFonts w:hint="eastAsia"/>
                      <w:szCs w:val="21"/>
                    </w:rPr>
                    <w:t>H</w:t>
                  </w:r>
                  <w:r>
                    <w:rPr>
                      <w:rFonts w:hint="eastAsia"/>
                      <w:szCs w:val="21"/>
                      <w:vertAlign w:val="subscript"/>
                    </w:rPr>
                    <w:t>8</w:t>
                  </w:r>
                  <w:r>
                    <w:rPr>
                      <w:rFonts w:hint="eastAsia"/>
                      <w:szCs w:val="21"/>
                    </w:rPr>
                    <w:t>，分子量92.14</w:t>
                  </w:r>
                </w:p>
              </w:tc>
              <w:tc>
                <w:tcPr>
                  <w:tcW w:w="3842" w:type="dxa"/>
                  <w:tcBorders>
                    <w:tl2br w:val="nil"/>
                    <w:tr2bl w:val="nil"/>
                  </w:tcBorders>
                  <w:vAlign w:val="center"/>
                </w:tcPr>
                <w:p>
                  <w:pPr>
                    <w:adjustRightInd w:val="0"/>
                    <w:snapToGrid w:val="0"/>
                    <w:spacing w:line="340" w:lineRule="exact"/>
                    <w:jc w:val="center"/>
                    <w:rPr>
                      <w:szCs w:val="21"/>
                    </w:rPr>
                  </w:pPr>
                  <w:r>
                    <w:rPr>
                      <w:rFonts w:hint="eastAsia"/>
                      <w:szCs w:val="21"/>
                    </w:rPr>
                    <w:t>C</w:t>
                  </w:r>
                  <w:r>
                    <w:rPr>
                      <w:rFonts w:hint="eastAsia"/>
                      <w:szCs w:val="21"/>
                      <w:vertAlign w:val="subscript"/>
                    </w:rPr>
                    <w:t>8</w:t>
                  </w:r>
                  <w:r>
                    <w:rPr>
                      <w:rFonts w:hint="eastAsia"/>
                      <w:szCs w:val="21"/>
                    </w:rPr>
                    <w:t>H</w:t>
                  </w:r>
                  <w:r>
                    <w:rPr>
                      <w:rFonts w:hint="eastAsia"/>
                      <w:szCs w:val="21"/>
                      <w:vertAlign w:val="subscript"/>
                    </w:rPr>
                    <w:t>10</w:t>
                  </w:r>
                  <w:r>
                    <w:rPr>
                      <w:rFonts w:hint="eastAsia"/>
                      <w:szCs w:val="21"/>
                    </w:rPr>
                    <w:t>，分子量106.17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外观气味</w:t>
                  </w:r>
                </w:p>
              </w:tc>
              <w:tc>
                <w:tcPr>
                  <w:tcW w:w="3888" w:type="dxa"/>
                  <w:tcBorders>
                    <w:tl2br w:val="nil"/>
                    <w:tr2bl w:val="nil"/>
                  </w:tcBorders>
                  <w:vAlign w:val="center"/>
                </w:tcPr>
                <w:p>
                  <w:pPr>
                    <w:adjustRightInd w:val="0"/>
                    <w:snapToGrid w:val="0"/>
                    <w:spacing w:line="340" w:lineRule="exact"/>
                    <w:jc w:val="center"/>
                    <w:rPr>
                      <w:szCs w:val="21"/>
                    </w:rPr>
                  </w:pPr>
                  <w:r>
                    <w:rPr>
                      <w:rFonts w:hint="eastAsia"/>
                      <w:szCs w:val="21"/>
                    </w:rPr>
                    <w:t>无色透明液体，有类似苯的芳香气味</w:t>
                  </w:r>
                </w:p>
              </w:tc>
              <w:tc>
                <w:tcPr>
                  <w:tcW w:w="3842" w:type="dxa"/>
                  <w:tcBorders>
                    <w:tl2br w:val="nil"/>
                    <w:tr2bl w:val="nil"/>
                  </w:tcBorders>
                  <w:vAlign w:val="center"/>
                </w:tcPr>
                <w:p>
                  <w:pPr>
                    <w:adjustRightInd w:val="0"/>
                    <w:snapToGrid w:val="0"/>
                    <w:spacing w:line="340" w:lineRule="exact"/>
                    <w:jc w:val="center"/>
                    <w:rPr>
                      <w:szCs w:val="21"/>
                    </w:rPr>
                  </w:pPr>
                  <w:r>
                    <w:rPr>
                      <w:rFonts w:hint="eastAsia"/>
                      <w:szCs w:val="21"/>
                    </w:rPr>
                    <w:t>无色透明液体，有类似甲苯的气味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特征点</w:t>
                  </w:r>
                </w:p>
              </w:tc>
              <w:tc>
                <w:tcPr>
                  <w:tcW w:w="3888" w:type="dxa"/>
                  <w:tcBorders>
                    <w:tl2br w:val="nil"/>
                    <w:tr2bl w:val="nil"/>
                  </w:tcBorders>
                  <w:vAlign w:val="center"/>
                </w:tcPr>
                <w:p>
                  <w:pPr>
                    <w:adjustRightInd w:val="0"/>
                    <w:snapToGrid w:val="0"/>
                    <w:spacing w:line="340" w:lineRule="exact"/>
                    <w:jc w:val="left"/>
                    <w:rPr>
                      <w:szCs w:val="21"/>
                    </w:rPr>
                  </w:pPr>
                  <w:r>
                    <w:rPr>
                      <w:rFonts w:hint="eastAsia"/>
                      <w:szCs w:val="21"/>
                    </w:rPr>
                    <w:t>熔点-94.9 ℃；沸点110.6 ℃；闪点4 ℃；饱和蒸汽压4.89kPa/30℃；自燃535℃</w:t>
                  </w:r>
                </w:p>
              </w:tc>
              <w:tc>
                <w:tcPr>
                  <w:tcW w:w="3842" w:type="dxa"/>
                  <w:tcBorders>
                    <w:tl2br w:val="nil"/>
                    <w:tr2bl w:val="nil"/>
                  </w:tcBorders>
                  <w:vAlign w:val="center"/>
                </w:tcPr>
                <w:p>
                  <w:pPr>
                    <w:adjustRightInd w:val="0"/>
                    <w:snapToGrid w:val="0"/>
                    <w:spacing w:line="340" w:lineRule="exact"/>
                    <w:jc w:val="left"/>
                    <w:rPr>
                      <w:szCs w:val="21"/>
                    </w:rPr>
                  </w:pPr>
                  <w:r>
                    <w:rPr>
                      <w:rFonts w:hint="eastAsia"/>
                      <w:szCs w:val="21"/>
                    </w:rPr>
                    <w:t>熔点13.3℃；沸点138.4 ℃；闪点25 ℃：饱和蒸汽压1.16 kPa/25℃；自燃525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溶解性</w:t>
                  </w:r>
                </w:p>
              </w:tc>
              <w:tc>
                <w:tcPr>
                  <w:tcW w:w="3888" w:type="dxa"/>
                  <w:tcBorders>
                    <w:tl2br w:val="nil"/>
                    <w:tr2bl w:val="nil"/>
                  </w:tcBorders>
                  <w:vAlign w:val="center"/>
                </w:tcPr>
                <w:p>
                  <w:pPr>
                    <w:adjustRightInd w:val="0"/>
                    <w:snapToGrid w:val="0"/>
                    <w:spacing w:line="340" w:lineRule="exact"/>
                    <w:jc w:val="center"/>
                    <w:rPr>
                      <w:szCs w:val="21"/>
                    </w:rPr>
                  </w:pPr>
                  <w:r>
                    <w:rPr>
                      <w:rFonts w:hint="eastAsia"/>
                      <w:szCs w:val="21"/>
                    </w:rPr>
                    <w:t>不溶于水，可混溶于苯、醇、醚等多种有机溶剂。</w:t>
                  </w:r>
                </w:p>
              </w:tc>
              <w:tc>
                <w:tcPr>
                  <w:tcW w:w="3842" w:type="dxa"/>
                  <w:tcBorders>
                    <w:tl2br w:val="nil"/>
                    <w:tr2bl w:val="nil"/>
                  </w:tcBorders>
                  <w:vAlign w:val="center"/>
                </w:tcPr>
                <w:p>
                  <w:pPr>
                    <w:adjustRightInd w:val="0"/>
                    <w:snapToGrid w:val="0"/>
                    <w:spacing w:line="340" w:lineRule="exact"/>
                    <w:jc w:val="center"/>
                    <w:rPr>
                      <w:szCs w:val="21"/>
                    </w:rPr>
                  </w:pPr>
                  <w:r>
                    <w:rPr>
                      <w:rFonts w:hint="eastAsia"/>
                      <w:szCs w:val="21"/>
                    </w:rPr>
                    <w:t>不溶于水，可溶于乙醇、乙醚、氯仿等多种有机溶剂。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火险分级</w:t>
                  </w:r>
                </w:p>
              </w:tc>
              <w:tc>
                <w:tcPr>
                  <w:tcW w:w="3888" w:type="dxa"/>
                  <w:tcBorders>
                    <w:tl2br w:val="nil"/>
                    <w:tr2bl w:val="nil"/>
                  </w:tcBorders>
                  <w:vAlign w:val="center"/>
                </w:tcPr>
                <w:p>
                  <w:pPr>
                    <w:adjustRightInd w:val="0"/>
                    <w:snapToGrid w:val="0"/>
                    <w:spacing w:line="340" w:lineRule="exact"/>
                    <w:jc w:val="center"/>
                    <w:rPr>
                      <w:szCs w:val="21"/>
                    </w:rPr>
                  </w:pPr>
                  <w:r>
                    <w:rPr>
                      <w:rFonts w:hint="eastAsia"/>
                      <w:szCs w:val="21"/>
                    </w:rPr>
                    <w:t>易燃，甲级</w:t>
                  </w:r>
                </w:p>
              </w:tc>
              <w:tc>
                <w:tcPr>
                  <w:tcW w:w="3842" w:type="dxa"/>
                  <w:tcBorders>
                    <w:tl2br w:val="nil"/>
                    <w:tr2bl w:val="nil"/>
                  </w:tcBorders>
                  <w:vAlign w:val="center"/>
                </w:tcPr>
                <w:p>
                  <w:pPr>
                    <w:adjustRightInd w:val="0"/>
                    <w:snapToGrid w:val="0"/>
                    <w:spacing w:line="340" w:lineRule="exact"/>
                    <w:jc w:val="center"/>
                    <w:rPr>
                      <w:szCs w:val="21"/>
                    </w:rPr>
                  </w:pPr>
                  <w:r>
                    <w:rPr>
                      <w:rFonts w:hint="eastAsia"/>
                      <w:szCs w:val="21"/>
                    </w:rPr>
                    <w:t>易燃，甲级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危险特征</w:t>
                  </w:r>
                </w:p>
              </w:tc>
              <w:tc>
                <w:tcPr>
                  <w:tcW w:w="3888" w:type="dxa"/>
                  <w:tcBorders>
                    <w:tl2br w:val="nil"/>
                    <w:tr2bl w:val="nil"/>
                  </w:tcBorders>
                  <w:vAlign w:val="center"/>
                </w:tcPr>
                <w:p>
                  <w:pPr>
                    <w:adjustRightInd w:val="0"/>
                    <w:snapToGrid w:val="0"/>
                    <w:spacing w:line="340" w:lineRule="exact"/>
                    <w:jc w:val="left"/>
                    <w:rPr>
                      <w:szCs w:val="21"/>
                    </w:rPr>
                  </w:pPr>
                  <w:r>
                    <w:rPr>
                      <w:rFonts w:hint="eastAsia"/>
                      <w:szCs w:val="21"/>
                    </w:rPr>
                    <w:t>其蒸汽与空气形成爆炸性混合物，遇明火、高热极易燃烧爆炸。与氧化剂能发生强烈反应。其蒸汽比空气重，能在较低处扩散到远处，遇火源引着回燃。</w:t>
                  </w:r>
                </w:p>
              </w:tc>
              <w:tc>
                <w:tcPr>
                  <w:tcW w:w="3842" w:type="dxa"/>
                  <w:tcBorders>
                    <w:tl2br w:val="nil"/>
                    <w:tr2bl w:val="nil"/>
                  </w:tcBorders>
                  <w:vAlign w:val="center"/>
                </w:tcPr>
                <w:p>
                  <w:pPr>
                    <w:adjustRightInd w:val="0"/>
                    <w:snapToGrid w:val="0"/>
                    <w:spacing w:line="340" w:lineRule="exact"/>
                    <w:jc w:val="left"/>
                    <w:rPr>
                      <w:szCs w:val="21"/>
                    </w:rPr>
                  </w:pPr>
                  <w:r>
                    <w:rPr>
                      <w:rFonts w:hint="eastAsia"/>
                      <w:szCs w:val="21"/>
                    </w:rPr>
                    <w:t>其蒸汽与空气形成爆炸性混合物，遇明火、高热能引起爆炸燃烧。与氧化剂能发生强烈反应。其蒸汽比空气重，能在较低处扩散到远处，遇火源引着回燃。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健康危害</w:t>
                  </w:r>
                </w:p>
              </w:tc>
              <w:tc>
                <w:tcPr>
                  <w:tcW w:w="3888" w:type="dxa"/>
                  <w:tcBorders>
                    <w:tl2br w:val="nil"/>
                    <w:tr2bl w:val="nil"/>
                  </w:tcBorders>
                  <w:vAlign w:val="center"/>
                </w:tcPr>
                <w:p>
                  <w:pPr>
                    <w:adjustRightInd w:val="0"/>
                    <w:snapToGrid w:val="0"/>
                    <w:spacing w:line="340" w:lineRule="exact"/>
                    <w:jc w:val="left"/>
                    <w:rPr>
                      <w:szCs w:val="21"/>
                    </w:rPr>
                  </w:pPr>
                  <w:r>
                    <w:rPr>
                      <w:rFonts w:hint="eastAsia"/>
                      <w:szCs w:val="21"/>
                    </w:rPr>
                    <w:t>对皮肤、粘膜有刺激作用，对中枢神经系统有麻醉作用，长期接触影响肝肾功能。</w:t>
                  </w:r>
                </w:p>
              </w:tc>
              <w:tc>
                <w:tcPr>
                  <w:tcW w:w="3842" w:type="dxa"/>
                  <w:tcBorders>
                    <w:tl2br w:val="nil"/>
                    <w:tr2bl w:val="nil"/>
                  </w:tcBorders>
                  <w:vAlign w:val="center"/>
                </w:tcPr>
                <w:p>
                  <w:pPr>
                    <w:adjustRightInd w:val="0"/>
                    <w:snapToGrid w:val="0"/>
                    <w:spacing w:line="340" w:lineRule="exact"/>
                    <w:jc w:val="left"/>
                    <w:rPr>
                      <w:szCs w:val="21"/>
                    </w:rPr>
                  </w:pPr>
                  <w:r>
                    <w:rPr>
                      <w:rFonts w:hint="eastAsia"/>
                      <w:szCs w:val="21"/>
                    </w:rPr>
                    <w:t>对皮肤、粘膜有刺激作用，对中枢神经系统有麻醉作用，长期接触影响肝肾功能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1" w:type="dxa"/>
                  <w:tcBorders>
                    <w:tl2br w:val="nil"/>
                    <w:tr2bl w:val="nil"/>
                  </w:tcBorders>
                  <w:vAlign w:val="center"/>
                </w:tcPr>
                <w:p>
                  <w:pPr>
                    <w:adjustRightInd w:val="0"/>
                    <w:snapToGrid w:val="0"/>
                    <w:spacing w:line="340" w:lineRule="exact"/>
                    <w:jc w:val="center"/>
                    <w:rPr>
                      <w:szCs w:val="21"/>
                    </w:rPr>
                  </w:pPr>
                  <w:r>
                    <w:rPr>
                      <w:rFonts w:hint="eastAsia"/>
                      <w:szCs w:val="21"/>
                    </w:rPr>
                    <w:t>毒性</w:t>
                  </w:r>
                </w:p>
              </w:tc>
              <w:tc>
                <w:tcPr>
                  <w:tcW w:w="3888" w:type="dxa"/>
                  <w:tcBorders>
                    <w:tl2br w:val="nil"/>
                    <w:tr2bl w:val="nil"/>
                  </w:tcBorders>
                  <w:vAlign w:val="center"/>
                </w:tcPr>
                <w:p>
                  <w:pPr>
                    <w:adjustRightInd w:val="0"/>
                    <w:snapToGrid w:val="0"/>
                    <w:spacing w:line="340" w:lineRule="exact"/>
                    <w:jc w:val="left"/>
                    <w:rPr>
                      <w:szCs w:val="21"/>
                    </w:rPr>
                  </w:pPr>
                  <w:r>
                    <w:rPr>
                      <w:rFonts w:hint="eastAsia"/>
                      <w:szCs w:val="21"/>
                    </w:rPr>
                    <w:t>LD</w:t>
                  </w:r>
                  <w:r>
                    <w:rPr>
                      <w:rFonts w:hint="eastAsia"/>
                      <w:szCs w:val="21"/>
                      <w:vertAlign w:val="subscript"/>
                    </w:rPr>
                    <w:t>50</w:t>
                  </w:r>
                  <w:r>
                    <w:rPr>
                      <w:rFonts w:hint="eastAsia"/>
                      <w:szCs w:val="21"/>
                    </w:rPr>
                    <w:t>（大鼠经口）1000mg/kg，属低毒类</w:t>
                  </w:r>
                </w:p>
              </w:tc>
              <w:tc>
                <w:tcPr>
                  <w:tcW w:w="3842" w:type="dxa"/>
                  <w:tcBorders>
                    <w:tl2br w:val="nil"/>
                    <w:tr2bl w:val="nil"/>
                  </w:tcBorders>
                  <w:vAlign w:val="center"/>
                </w:tcPr>
                <w:p>
                  <w:pPr>
                    <w:adjustRightInd w:val="0"/>
                    <w:snapToGrid w:val="0"/>
                    <w:spacing w:line="340" w:lineRule="exact"/>
                    <w:jc w:val="left"/>
                    <w:rPr>
                      <w:szCs w:val="21"/>
                    </w:rPr>
                  </w:pPr>
                  <w:r>
                    <w:rPr>
                      <w:rFonts w:hint="eastAsia"/>
                      <w:szCs w:val="21"/>
                    </w:rPr>
                    <w:t>LD</w:t>
                  </w:r>
                  <w:r>
                    <w:rPr>
                      <w:rFonts w:hint="eastAsia"/>
                      <w:szCs w:val="21"/>
                      <w:vertAlign w:val="subscript"/>
                    </w:rPr>
                    <w:t>50</w:t>
                  </w:r>
                  <w:r>
                    <w:rPr>
                      <w:rFonts w:hint="eastAsia"/>
                      <w:szCs w:val="21"/>
                    </w:rPr>
                    <w:t>（大鼠经口）5000mg/kg，属低毒类</w:t>
                  </w:r>
                </w:p>
              </w:tc>
            </w:tr>
          </w:tbl>
          <w:p>
            <w:pPr>
              <w:spacing w:before="120" w:beforeLines="50" w:line="360" w:lineRule="auto"/>
              <w:ind w:firstLine="480" w:firstLineChars="200"/>
              <w:rPr>
                <w:sz w:val="24"/>
                <w:highlight w:val="yellow"/>
              </w:rPr>
            </w:pPr>
            <w:r>
              <w:rPr>
                <w:sz w:val="24"/>
              </w:rPr>
              <w:t>（</w:t>
            </w:r>
            <w:r>
              <w:rPr>
                <w:rFonts w:hint="eastAsia"/>
                <w:sz w:val="24"/>
              </w:rPr>
              <w:t>2</w:t>
            </w:r>
            <w:r>
              <w:rPr>
                <w:sz w:val="24"/>
              </w:rPr>
              <w:t>）</w:t>
            </w:r>
            <w:r>
              <w:rPr>
                <w:rFonts w:hint="eastAsia"/>
                <w:sz w:val="24"/>
              </w:rPr>
              <w:t>评价范围及环境保护目标</w:t>
            </w:r>
          </w:p>
          <w:p>
            <w:pPr>
              <w:spacing w:line="360" w:lineRule="auto"/>
              <w:ind w:firstLine="480" w:firstLineChars="200"/>
            </w:pPr>
            <w:r>
              <w:rPr>
                <w:sz w:val="24"/>
              </w:rPr>
              <w:t>拟建评价范围内项目环境风险敏感目标见表</w:t>
            </w:r>
            <w:r>
              <w:rPr>
                <w:rFonts w:hint="eastAsia"/>
                <w:sz w:val="24"/>
              </w:rPr>
              <w:t>4-</w:t>
            </w:r>
            <w:r>
              <w:rPr>
                <w:rFonts w:hint="eastAsia"/>
                <w:sz w:val="24"/>
                <w:lang w:val="en-US" w:eastAsia="zh-CN"/>
              </w:rPr>
              <w:t>37</w:t>
            </w:r>
            <w:r>
              <w:rPr>
                <w:sz w:val="24"/>
              </w:rPr>
              <w:t>，环境风险保护目标分布情况详见</w:t>
            </w:r>
            <w:r>
              <w:rPr>
                <w:rFonts w:hint="eastAsia"/>
                <w:sz w:val="24"/>
              </w:rPr>
              <w:t>下</w:t>
            </w:r>
            <w:r>
              <w:rPr>
                <w:sz w:val="24"/>
              </w:rPr>
              <w:t>表。</w:t>
            </w:r>
          </w:p>
          <w:p>
            <w:pPr>
              <w:autoSpaceDN w:val="0"/>
              <w:spacing w:before="120" w:beforeLines="50"/>
              <w:ind w:firstLine="482"/>
              <w:jc w:val="center"/>
              <w:rPr>
                <w:rFonts w:hint="eastAsia" w:eastAsia="黑体"/>
                <w:bCs/>
                <w:spacing w:val="4"/>
                <w:sz w:val="24"/>
              </w:rPr>
            </w:pPr>
          </w:p>
          <w:p>
            <w:pPr>
              <w:autoSpaceDN w:val="0"/>
              <w:spacing w:before="120" w:beforeLines="50"/>
              <w:ind w:firstLine="482"/>
              <w:jc w:val="center"/>
              <w:rPr>
                <w:rFonts w:eastAsia="黑体"/>
                <w:bCs/>
                <w:spacing w:val="4"/>
                <w:sz w:val="24"/>
              </w:rPr>
            </w:pPr>
            <w:r>
              <w:rPr>
                <w:rFonts w:hint="eastAsia" w:eastAsia="黑体"/>
                <w:bCs/>
                <w:spacing w:val="4"/>
                <w:sz w:val="24"/>
              </w:rPr>
              <w:t>表4-</w:t>
            </w:r>
            <w:r>
              <w:rPr>
                <w:rFonts w:hint="eastAsia" w:eastAsia="黑体"/>
                <w:bCs/>
                <w:spacing w:val="4"/>
                <w:sz w:val="24"/>
                <w:lang w:val="en-US" w:eastAsia="zh-CN"/>
              </w:rPr>
              <w:t xml:space="preserve">37 </w:t>
            </w:r>
            <w:r>
              <w:rPr>
                <w:rFonts w:hint="eastAsia" w:eastAsia="黑体"/>
                <w:bCs/>
                <w:spacing w:val="4"/>
                <w:sz w:val="24"/>
              </w:rPr>
              <w:t xml:space="preserve"> 环境风险保护目标分布情况</w:t>
            </w:r>
          </w:p>
          <w:tbl>
            <w:tblPr>
              <w:tblStyle w:val="33"/>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707"/>
              <w:gridCol w:w="1608"/>
              <w:gridCol w:w="1571"/>
              <w:gridCol w:w="955"/>
              <w:gridCol w:w="138"/>
              <w:gridCol w:w="1092"/>
              <w:gridCol w:w="1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14" w:type="dxa"/>
                  <w:vAlign w:val="center"/>
                </w:tcPr>
                <w:p>
                  <w:pPr>
                    <w:adjustRightInd w:val="0"/>
                    <w:snapToGrid w:val="0"/>
                    <w:spacing w:line="340" w:lineRule="exact"/>
                    <w:jc w:val="center"/>
                    <w:rPr>
                      <w:szCs w:val="21"/>
                    </w:rPr>
                  </w:pPr>
                  <w:r>
                    <w:rPr>
                      <w:szCs w:val="21"/>
                    </w:rPr>
                    <w:t>类别</w:t>
                  </w:r>
                </w:p>
              </w:tc>
              <w:tc>
                <w:tcPr>
                  <w:tcW w:w="7777" w:type="dxa"/>
                  <w:gridSpan w:val="7"/>
                  <w:vAlign w:val="center"/>
                </w:tcPr>
                <w:p>
                  <w:pPr>
                    <w:adjustRightInd w:val="0"/>
                    <w:snapToGrid w:val="0"/>
                    <w:spacing w:line="340" w:lineRule="exact"/>
                    <w:jc w:val="center"/>
                    <w:rPr>
                      <w:szCs w:val="21"/>
                    </w:rPr>
                  </w:pPr>
                  <w:r>
                    <w:rPr>
                      <w:szCs w:val="21"/>
                    </w:rPr>
                    <w:t>环境敏感特征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restart"/>
                  <w:vAlign w:val="center"/>
                </w:tcPr>
                <w:p>
                  <w:pPr>
                    <w:adjustRightInd w:val="0"/>
                    <w:snapToGrid w:val="0"/>
                    <w:spacing w:line="340" w:lineRule="exact"/>
                    <w:jc w:val="center"/>
                    <w:rPr>
                      <w:szCs w:val="21"/>
                    </w:rPr>
                  </w:pPr>
                  <w:r>
                    <w:rPr>
                      <w:szCs w:val="21"/>
                    </w:rPr>
                    <w:t>环境空气</w:t>
                  </w:r>
                </w:p>
              </w:tc>
              <w:tc>
                <w:tcPr>
                  <w:tcW w:w="6482" w:type="dxa"/>
                  <w:gridSpan w:val="6"/>
                  <w:vAlign w:val="center"/>
                </w:tcPr>
                <w:p>
                  <w:pPr>
                    <w:adjustRightInd w:val="0"/>
                    <w:snapToGrid w:val="0"/>
                    <w:spacing w:line="340" w:lineRule="exact"/>
                    <w:jc w:val="center"/>
                    <w:rPr>
                      <w:szCs w:val="21"/>
                    </w:rPr>
                  </w:pPr>
                  <w:r>
                    <w:rPr>
                      <w:szCs w:val="21"/>
                    </w:rPr>
                    <w:t>厂址周边500m范围内人口数小计</w:t>
                  </w:r>
                </w:p>
              </w:tc>
              <w:tc>
                <w:tcPr>
                  <w:tcW w:w="1295" w:type="dxa"/>
                  <w:vAlign w:val="center"/>
                </w:tcPr>
                <w:p>
                  <w:pPr>
                    <w:adjustRightInd w:val="0"/>
                    <w:snapToGrid w:val="0"/>
                    <w:spacing w:line="340" w:lineRule="exact"/>
                    <w:jc w:val="center"/>
                    <w:rPr>
                      <w:szCs w:val="21"/>
                    </w:rPr>
                  </w:pPr>
                  <w:r>
                    <w:rPr>
                      <w:rFonts w:hint="eastAsia"/>
                      <w:szCs w:val="21"/>
                    </w:rPr>
                    <w:t>820</w:t>
                  </w:r>
                  <w:r>
                    <w:rPr>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continue"/>
                  <w:vAlign w:val="center"/>
                </w:tcPr>
                <w:p>
                  <w:pPr>
                    <w:adjustRightInd w:val="0"/>
                    <w:snapToGrid w:val="0"/>
                    <w:spacing w:line="340" w:lineRule="exact"/>
                    <w:jc w:val="center"/>
                    <w:rPr>
                      <w:szCs w:val="21"/>
                    </w:rPr>
                  </w:pPr>
                </w:p>
              </w:tc>
              <w:tc>
                <w:tcPr>
                  <w:tcW w:w="6482" w:type="dxa"/>
                  <w:gridSpan w:val="6"/>
                  <w:vAlign w:val="center"/>
                </w:tcPr>
                <w:p>
                  <w:pPr>
                    <w:adjustRightInd w:val="0"/>
                    <w:snapToGrid w:val="0"/>
                    <w:spacing w:line="340" w:lineRule="exact"/>
                    <w:jc w:val="center"/>
                    <w:rPr>
                      <w:szCs w:val="21"/>
                    </w:rPr>
                  </w:pPr>
                  <w:r>
                    <w:rPr>
                      <w:szCs w:val="21"/>
                    </w:rPr>
                    <w:t>大气环境敏感程度E值</w:t>
                  </w:r>
                </w:p>
              </w:tc>
              <w:tc>
                <w:tcPr>
                  <w:tcW w:w="1295" w:type="dxa"/>
                  <w:vAlign w:val="center"/>
                </w:tcPr>
                <w:p>
                  <w:pPr>
                    <w:adjustRightInd w:val="0"/>
                    <w:snapToGrid w:val="0"/>
                    <w:spacing w:line="340" w:lineRule="exact"/>
                    <w:jc w:val="center"/>
                    <w:rPr>
                      <w:szCs w:val="21"/>
                    </w:rPr>
                  </w:pPr>
                  <w:r>
                    <w:rPr>
                      <w:szCs w:val="21"/>
                    </w:rPr>
                    <w:t>E</w:t>
                  </w:r>
                  <w:r>
                    <w:rPr>
                      <w:rFonts w:hint="eastAsia"/>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restart"/>
                  <w:vAlign w:val="center"/>
                </w:tcPr>
                <w:p>
                  <w:pPr>
                    <w:adjustRightInd w:val="0"/>
                    <w:snapToGrid w:val="0"/>
                    <w:spacing w:line="340" w:lineRule="exact"/>
                    <w:jc w:val="center"/>
                    <w:rPr>
                      <w:szCs w:val="21"/>
                    </w:rPr>
                  </w:pPr>
                  <w:r>
                    <w:rPr>
                      <w:szCs w:val="21"/>
                    </w:rPr>
                    <w:t>地表水</w:t>
                  </w:r>
                </w:p>
              </w:tc>
              <w:tc>
                <w:tcPr>
                  <w:tcW w:w="7777" w:type="dxa"/>
                  <w:gridSpan w:val="7"/>
                  <w:vAlign w:val="center"/>
                </w:tcPr>
                <w:p>
                  <w:pPr>
                    <w:adjustRightInd w:val="0"/>
                    <w:snapToGrid w:val="0"/>
                    <w:spacing w:line="340" w:lineRule="exact"/>
                    <w:jc w:val="center"/>
                    <w:rPr>
                      <w:szCs w:val="21"/>
                    </w:rPr>
                  </w:pPr>
                  <w:r>
                    <w:rPr>
                      <w:szCs w:val="21"/>
                    </w:rPr>
                    <w:t>受纳水体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continue"/>
                  <w:vAlign w:val="center"/>
                </w:tcPr>
                <w:p>
                  <w:pPr>
                    <w:adjustRightInd w:val="0"/>
                    <w:snapToGrid w:val="0"/>
                    <w:spacing w:line="340" w:lineRule="exact"/>
                    <w:jc w:val="center"/>
                    <w:rPr>
                      <w:szCs w:val="21"/>
                    </w:rPr>
                  </w:pPr>
                </w:p>
              </w:tc>
              <w:tc>
                <w:tcPr>
                  <w:tcW w:w="747" w:type="dxa"/>
                  <w:vAlign w:val="center"/>
                </w:tcPr>
                <w:p>
                  <w:pPr>
                    <w:adjustRightInd w:val="0"/>
                    <w:snapToGrid w:val="0"/>
                    <w:spacing w:line="340" w:lineRule="exact"/>
                    <w:jc w:val="center"/>
                    <w:rPr>
                      <w:szCs w:val="21"/>
                    </w:rPr>
                  </w:pPr>
                  <w:r>
                    <w:rPr>
                      <w:szCs w:val="21"/>
                    </w:rPr>
                    <w:t>序号</w:t>
                  </w:r>
                </w:p>
              </w:tc>
              <w:tc>
                <w:tcPr>
                  <w:tcW w:w="1723" w:type="dxa"/>
                  <w:vAlign w:val="center"/>
                </w:tcPr>
                <w:p>
                  <w:pPr>
                    <w:adjustRightInd w:val="0"/>
                    <w:snapToGrid w:val="0"/>
                    <w:spacing w:line="340" w:lineRule="exact"/>
                    <w:jc w:val="center"/>
                    <w:rPr>
                      <w:szCs w:val="21"/>
                    </w:rPr>
                  </w:pPr>
                  <w:r>
                    <w:rPr>
                      <w:szCs w:val="21"/>
                    </w:rPr>
                    <w:t>受纳水体名称</w:t>
                  </w:r>
                </w:p>
              </w:tc>
              <w:tc>
                <w:tcPr>
                  <w:tcW w:w="2700" w:type="dxa"/>
                  <w:gridSpan w:val="2"/>
                  <w:vAlign w:val="center"/>
                </w:tcPr>
                <w:p>
                  <w:pPr>
                    <w:adjustRightInd w:val="0"/>
                    <w:snapToGrid w:val="0"/>
                    <w:spacing w:line="340" w:lineRule="exact"/>
                    <w:jc w:val="center"/>
                    <w:rPr>
                      <w:szCs w:val="21"/>
                    </w:rPr>
                  </w:pPr>
                  <w:r>
                    <w:rPr>
                      <w:szCs w:val="21"/>
                    </w:rPr>
                    <w:t>排放点水域环境功能</w:t>
                  </w:r>
                </w:p>
              </w:tc>
              <w:tc>
                <w:tcPr>
                  <w:tcW w:w="2607" w:type="dxa"/>
                  <w:gridSpan w:val="3"/>
                  <w:vAlign w:val="center"/>
                </w:tcPr>
                <w:p>
                  <w:pPr>
                    <w:adjustRightInd w:val="0"/>
                    <w:snapToGrid w:val="0"/>
                    <w:spacing w:line="340" w:lineRule="exact"/>
                    <w:jc w:val="center"/>
                    <w:rPr>
                      <w:szCs w:val="21"/>
                    </w:rPr>
                  </w:pPr>
                  <w:r>
                    <w:rPr>
                      <w:szCs w:val="21"/>
                    </w:rPr>
                    <w:t>24h内流经范围/km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continue"/>
                  <w:vAlign w:val="center"/>
                </w:tcPr>
                <w:p>
                  <w:pPr>
                    <w:adjustRightInd w:val="0"/>
                    <w:snapToGrid w:val="0"/>
                    <w:spacing w:line="340" w:lineRule="exact"/>
                    <w:jc w:val="center"/>
                    <w:rPr>
                      <w:szCs w:val="21"/>
                    </w:rPr>
                  </w:pPr>
                </w:p>
              </w:tc>
              <w:tc>
                <w:tcPr>
                  <w:tcW w:w="747" w:type="dxa"/>
                  <w:vAlign w:val="center"/>
                </w:tcPr>
                <w:p>
                  <w:pPr>
                    <w:adjustRightInd w:val="0"/>
                    <w:snapToGrid w:val="0"/>
                    <w:spacing w:line="340" w:lineRule="exact"/>
                    <w:jc w:val="center"/>
                    <w:rPr>
                      <w:szCs w:val="21"/>
                    </w:rPr>
                  </w:pPr>
                  <w:r>
                    <w:rPr>
                      <w:szCs w:val="21"/>
                    </w:rPr>
                    <w:t>1</w:t>
                  </w:r>
                </w:p>
              </w:tc>
              <w:tc>
                <w:tcPr>
                  <w:tcW w:w="1723" w:type="dxa"/>
                  <w:vAlign w:val="center"/>
                </w:tcPr>
                <w:p>
                  <w:pPr>
                    <w:adjustRightInd w:val="0"/>
                    <w:snapToGrid w:val="0"/>
                    <w:spacing w:line="340" w:lineRule="exact"/>
                    <w:jc w:val="center"/>
                    <w:rPr>
                      <w:szCs w:val="21"/>
                    </w:rPr>
                  </w:pPr>
                  <w:r>
                    <w:rPr>
                      <w:rFonts w:hint="eastAsia"/>
                      <w:szCs w:val="21"/>
                    </w:rPr>
                    <w:t>信江</w:t>
                  </w:r>
                </w:p>
              </w:tc>
              <w:tc>
                <w:tcPr>
                  <w:tcW w:w="2700" w:type="dxa"/>
                  <w:gridSpan w:val="2"/>
                  <w:vAlign w:val="center"/>
                </w:tcPr>
                <w:p>
                  <w:pPr>
                    <w:adjustRightInd w:val="0"/>
                    <w:snapToGrid w:val="0"/>
                    <w:spacing w:line="340" w:lineRule="exact"/>
                    <w:jc w:val="center"/>
                    <w:rPr>
                      <w:szCs w:val="21"/>
                    </w:rPr>
                  </w:pPr>
                  <w:r>
                    <w:rPr>
                      <w:szCs w:val="21"/>
                    </w:rPr>
                    <w:t>Ⅲ类</w:t>
                  </w:r>
                </w:p>
              </w:tc>
              <w:tc>
                <w:tcPr>
                  <w:tcW w:w="2607" w:type="dxa"/>
                  <w:gridSpan w:val="3"/>
                  <w:vAlign w:val="center"/>
                </w:tcPr>
                <w:p>
                  <w:pPr>
                    <w:adjustRightInd w:val="0"/>
                    <w:snapToGrid w:val="0"/>
                    <w:spacing w:line="340" w:lineRule="exact"/>
                    <w:jc w:val="center"/>
                    <w:rPr>
                      <w:szCs w:val="21"/>
                    </w:rPr>
                  </w:pPr>
                  <w:r>
                    <w:rPr>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continue"/>
                  <w:vAlign w:val="center"/>
                </w:tcPr>
                <w:p>
                  <w:pPr>
                    <w:adjustRightInd w:val="0"/>
                    <w:snapToGrid w:val="0"/>
                    <w:spacing w:line="340" w:lineRule="exact"/>
                    <w:jc w:val="center"/>
                    <w:rPr>
                      <w:szCs w:val="21"/>
                    </w:rPr>
                  </w:pPr>
                </w:p>
              </w:tc>
              <w:tc>
                <w:tcPr>
                  <w:tcW w:w="6482" w:type="dxa"/>
                  <w:gridSpan w:val="6"/>
                  <w:vAlign w:val="center"/>
                </w:tcPr>
                <w:p>
                  <w:pPr>
                    <w:adjustRightInd w:val="0"/>
                    <w:snapToGrid w:val="0"/>
                    <w:spacing w:line="340" w:lineRule="exact"/>
                    <w:jc w:val="center"/>
                    <w:rPr>
                      <w:szCs w:val="21"/>
                    </w:rPr>
                  </w:pPr>
                  <w:r>
                    <w:rPr>
                      <w:szCs w:val="21"/>
                    </w:rPr>
                    <w:t>地表水环境敏感程度E值</w:t>
                  </w:r>
                </w:p>
              </w:tc>
              <w:tc>
                <w:tcPr>
                  <w:tcW w:w="1295" w:type="dxa"/>
                  <w:vAlign w:val="center"/>
                </w:tcPr>
                <w:p>
                  <w:pPr>
                    <w:adjustRightInd w:val="0"/>
                    <w:snapToGrid w:val="0"/>
                    <w:spacing w:line="340" w:lineRule="exact"/>
                    <w:jc w:val="center"/>
                    <w:rPr>
                      <w:szCs w:val="21"/>
                    </w:rPr>
                  </w:pPr>
                  <w:r>
                    <w:rPr>
                      <w:szCs w:val="21"/>
                    </w:rPr>
                    <w:t>E</w:t>
                  </w:r>
                  <w:r>
                    <w:rPr>
                      <w:rFonts w:hint="eastAsia"/>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restart"/>
                  <w:vAlign w:val="center"/>
                </w:tcPr>
                <w:p>
                  <w:pPr>
                    <w:adjustRightInd w:val="0"/>
                    <w:snapToGrid w:val="0"/>
                    <w:spacing w:line="340" w:lineRule="exact"/>
                    <w:jc w:val="center"/>
                    <w:rPr>
                      <w:szCs w:val="21"/>
                    </w:rPr>
                  </w:pPr>
                  <w:r>
                    <w:rPr>
                      <w:szCs w:val="21"/>
                    </w:rPr>
                    <w:t>地下水</w:t>
                  </w:r>
                </w:p>
              </w:tc>
              <w:tc>
                <w:tcPr>
                  <w:tcW w:w="747" w:type="dxa"/>
                  <w:vAlign w:val="center"/>
                </w:tcPr>
                <w:p>
                  <w:pPr>
                    <w:adjustRightInd w:val="0"/>
                    <w:snapToGrid w:val="0"/>
                    <w:spacing w:line="340" w:lineRule="exact"/>
                    <w:jc w:val="center"/>
                    <w:rPr>
                      <w:szCs w:val="21"/>
                    </w:rPr>
                  </w:pPr>
                  <w:r>
                    <w:rPr>
                      <w:szCs w:val="21"/>
                    </w:rPr>
                    <w:t>序号</w:t>
                  </w:r>
                </w:p>
              </w:tc>
              <w:tc>
                <w:tcPr>
                  <w:tcW w:w="1723" w:type="dxa"/>
                  <w:vAlign w:val="center"/>
                </w:tcPr>
                <w:p>
                  <w:pPr>
                    <w:adjustRightInd w:val="0"/>
                    <w:snapToGrid w:val="0"/>
                    <w:spacing w:line="340" w:lineRule="exact"/>
                    <w:jc w:val="center"/>
                    <w:rPr>
                      <w:szCs w:val="21"/>
                    </w:rPr>
                  </w:pPr>
                  <w:r>
                    <w:rPr>
                      <w:szCs w:val="21"/>
                    </w:rPr>
                    <w:t>环境敏感区名称</w:t>
                  </w:r>
                </w:p>
              </w:tc>
              <w:tc>
                <w:tcPr>
                  <w:tcW w:w="1683" w:type="dxa"/>
                  <w:vAlign w:val="center"/>
                </w:tcPr>
                <w:p>
                  <w:pPr>
                    <w:adjustRightInd w:val="0"/>
                    <w:snapToGrid w:val="0"/>
                    <w:spacing w:line="340" w:lineRule="exact"/>
                    <w:jc w:val="center"/>
                    <w:rPr>
                      <w:szCs w:val="21"/>
                    </w:rPr>
                  </w:pPr>
                  <w:r>
                    <w:rPr>
                      <w:szCs w:val="21"/>
                    </w:rPr>
                    <w:t>环境敏感特征</w:t>
                  </w:r>
                </w:p>
              </w:tc>
              <w:tc>
                <w:tcPr>
                  <w:tcW w:w="1165" w:type="dxa"/>
                  <w:gridSpan w:val="2"/>
                  <w:vAlign w:val="center"/>
                </w:tcPr>
                <w:p>
                  <w:pPr>
                    <w:adjustRightInd w:val="0"/>
                    <w:snapToGrid w:val="0"/>
                    <w:spacing w:line="340" w:lineRule="exact"/>
                    <w:jc w:val="center"/>
                    <w:rPr>
                      <w:szCs w:val="21"/>
                    </w:rPr>
                  </w:pPr>
                  <w:r>
                    <w:rPr>
                      <w:szCs w:val="21"/>
                    </w:rPr>
                    <w:t>水质目标</w:t>
                  </w:r>
                </w:p>
              </w:tc>
              <w:tc>
                <w:tcPr>
                  <w:tcW w:w="1164" w:type="dxa"/>
                  <w:vAlign w:val="center"/>
                </w:tcPr>
                <w:p>
                  <w:pPr>
                    <w:adjustRightInd w:val="0"/>
                    <w:snapToGrid w:val="0"/>
                    <w:spacing w:line="340" w:lineRule="exact"/>
                    <w:jc w:val="center"/>
                    <w:rPr>
                      <w:szCs w:val="21"/>
                    </w:rPr>
                  </w:pPr>
                  <w:r>
                    <w:rPr>
                      <w:szCs w:val="21"/>
                    </w:rPr>
                    <w:t>包气带防污性能</w:t>
                  </w:r>
                </w:p>
              </w:tc>
              <w:tc>
                <w:tcPr>
                  <w:tcW w:w="1295" w:type="dxa"/>
                  <w:vAlign w:val="center"/>
                </w:tcPr>
                <w:p>
                  <w:pPr>
                    <w:adjustRightInd w:val="0"/>
                    <w:snapToGrid w:val="0"/>
                    <w:spacing w:line="340" w:lineRule="exact"/>
                    <w:jc w:val="center"/>
                    <w:rPr>
                      <w:szCs w:val="21"/>
                    </w:rPr>
                  </w:pPr>
                  <w:r>
                    <w:rPr>
                      <w:szCs w:val="21"/>
                    </w:rPr>
                    <w:t>与下游厂界距离/m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continue"/>
                  <w:vAlign w:val="center"/>
                </w:tcPr>
                <w:p>
                  <w:pPr>
                    <w:adjustRightInd w:val="0"/>
                    <w:snapToGrid w:val="0"/>
                    <w:spacing w:line="340" w:lineRule="exact"/>
                    <w:jc w:val="center"/>
                    <w:rPr>
                      <w:szCs w:val="21"/>
                    </w:rPr>
                  </w:pPr>
                </w:p>
              </w:tc>
              <w:tc>
                <w:tcPr>
                  <w:tcW w:w="747" w:type="dxa"/>
                  <w:vAlign w:val="center"/>
                </w:tcPr>
                <w:p>
                  <w:pPr>
                    <w:adjustRightInd w:val="0"/>
                    <w:snapToGrid w:val="0"/>
                    <w:spacing w:line="340" w:lineRule="exact"/>
                    <w:jc w:val="center"/>
                    <w:rPr>
                      <w:szCs w:val="21"/>
                    </w:rPr>
                  </w:pPr>
                  <w:r>
                    <w:rPr>
                      <w:szCs w:val="21"/>
                    </w:rPr>
                    <w:t>1</w:t>
                  </w:r>
                </w:p>
              </w:tc>
              <w:tc>
                <w:tcPr>
                  <w:tcW w:w="1723" w:type="dxa"/>
                  <w:vAlign w:val="center"/>
                </w:tcPr>
                <w:p>
                  <w:pPr>
                    <w:adjustRightInd w:val="0"/>
                    <w:snapToGrid w:val="0"/>
                    <w:spacing w:line="340" w:lineRule="exact"/>
                    <w:jc w:val="center"/>
                    <w:rPr>
                      <w:szCs w:val="21"/>
                    </w:rPr>
                  </w:pPr>
                  <w:r>
                    <w:rPr>
                      <w:szCs w:val="21"/>
                    </w:rPr>
                    <w:t>/</w:t>
                  </w:r>
                </w:p>
              </w:tc>
              <w:tc>
                <w:tcPr>
                  <w:tcW w:w="1683" w:type="dxa"/>
                  <w:vAlign w:val="center"/>
                </w:tcPr>
                <w:p>
                  <w:pPr>
                    <w:adjustRightInd w:val="0"/>
                    <w:snapToGrid w:val="0"/>
                    <w:spacing w:line="340" w:lineRule="exact"/>
                    <w:jc w:val="center"/>
                    <w:rPr>
                      <w:szCs w:val="21"/>
                    </w:rPr>
                  </w:pPr>
                  <w:r>
                    <w:rPr>
                      <w:szCs w:val="21"/>
                    </w:rPr>
                    <w:t>不敏感</w:t>
                  </w:r>
                </w:p>
              </w:tc>
              <w:tc>
                <w:tcPr>
                  <w:tcW w:w="1165" w:type="dxa"/>
                  <w:gridSpan w:val="2"/>
                  <w:vAlign w:val="center"/>
                </w:tcPr>
                <w:p>
                  <w:pPr>
                    <w:adjustRightInd w:val="0"/>
                    <w:snapToGrid w:val="0"/>
                    <w:spacing w:line="340" w:lineRule="exact"/>
                    <w:jc w:val="center"/>
                    <w:rPr>
                      <w:szCs w:val="21"/>
                    </w:rPr>
                  </w:pPr>
                  <w:r>
                    <w:rPr>
                      <w:szCs w:val="21"/>
                    </w:rPr>
                    <w:t>/</w:t>
                  </w:r>
                </w:p>
              </w:tc>
              <w:tc>
                <w:tcPr>
                  <w:tcW w:w="1164" w:type="dxa"/>
                  <w:vAlign w:val="center"/>
                </w:tcPr>
                <w:p>
                  <w:pPr>
                    <w:adjustRightInd w:val="0"/>
                    <w:snapToGrid w:val="0"/>
                    <w:spacing w:line="340" w:lineRule="exact"/>
                    <w:jc w:val="center"/>
                    <w:rPr>
                      <w:szCs w:val="21"/>
                    </w:rPr>
                  </w:pPr>
                  <w:r>
                    <w:rPr>
                      <w:szCs w:val="21"/>
                    </w:rPr>
                    <w:t>D2</w:t>
                  </w:r>
                </w:p>
              </w:tc>
              <w:tc>
                <w:tcPr>
                  <w:tcW w:w="1295" w:type="dxa"/>
                  <w:vAlign w:val="center"/>
                </w:tcPr>
                <w:p>
                  <w:pPr>
                    <w:adjustRightInd w:val="0"/>
                    <w:snapToGrid w:val="0"/>
                    <w:spacing w:line="340" w:lineRule="exact"/>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Merge w:val="continue"/>
                  <w:vAlign w:val="center"/>
                </w:tcPr>
                <w:p>
                  <w:pPr>
                    <w:adjustRightInd w:val="0"/>
                    <w:snapToGrid w:val="0"/>
                    <w:spacing w:line="340" w:lineRule="exact"/>
                    <w:jc w:val="center"/>
                    <w:rPr>
                      <w:szCs w:val="21"/>
                    </w:rPr>
                  </w:pPr>
                </w:p>
              </w:tc>
              <w:tc>
                <w:tcPr>
                  <w:tcW w:w="6482" w:type="dxa"/>
                  <w:gridSpan w:val="6"/>
                  <w:vAlign w:val="center"/>
                </w:tcPr>
                <w:p>
                  <w:pPr>
                    <w:adjustRightInd w:val="0"/>
                    <w:snapToGrid w:val="0"/>
                    <w:spacing w:line="340" w:lineRule="exact"/>
                    <w:jc w:val="center"/>
                    <w:rPr>
                      <w:szCs w:val="21"/>
                    </w:rPr>
                  </w:pPr>
                  <w:r>
                    <w:rPr>
                      <w:szCs w:val="21"/>
                    </w:rPr>
                    <w:t>地下水环境敏感程度E值</w:t>
                  </w:r>
                </w:p>
              </w:tc>
              <w:tc>
                <w:tcPr>
                  <w:tcW w:w="1295" w:type="dxa"/>
                  <w:vAlign w:val="center"/>
                </w:tcPr>
                <w:p>
                  <w:pPr>
                    <w:adjustRightInd w:val="0"/>
                    <w:snapToGrid w:val="0"/>
                    <w:spacing w:line="340" w:lineRule="exact"/>
                    <w:jc w:val="center"/>
                    <w:rPr>
                      <w:szCs w:val="21"/>
                    </w:rPr>
                  </w:pPr>
                  <w:r>
                    <w:rPr>
                      <w:szCs w:val="21"/>
                    </w:rPr>
                    <w:t>E3</w:t>
                  </w:r>
                </w:p>
              </w:tc>
            </w:tr>
          </w:tbl>
          <w:p>
            <w:pPr>
              <w:pStyle w:val="2"/>
              <w:spacing w:before="120" w:beforeLines="50" w:line="360" w:lineRule="auto"/>
              <w:ind w:firstLine="480" w:firstLineChars="200"/>
              <w:rPr>
                <w:szCs w:val="24"/>
              </w:rPr>
            </w:pPr>
            <w:r>
              <w:rPr>
                <w:szCs w:val="24"/>
              </w:rPr>
              <w:t>（3）环境风险</w:t>
            </w:r>
            <w:r>
              <w:rPr>
                <w:rFonts w:hint="eastAsia"/>
                <w:szCs w:val="24"/>
              </w:rPr>
              <w:t>潜势初判</w:t>
            </w:r>
          </w:p>
          <w:p>
            <w:pPr>
              <w:spacing w:line="360" w:lineRule="auto"/>
              <w:ind w:firstLine="480" w:firstLineChars="200"/>
              <w:rPr>
                <w:sz w:val="24"/>
                <w:lang w:val="en-GB"/>
              </w:rPr>
            </w:pPr>
            <w:r>
              <w:rPr>
                <w:sz w:val="24"/>
                <w:lang w:val="en-GB"/>
              </w:rPr>
              <w:t>①危险物质数量与临界量比值（Q）</w:t>
            </w:r>
          </w:p>
          <w:p>
            <w:pPr>
              <w:spacing w:line="360" w:lineRule="auto"/>
              <w:ind w:firstLine="480" w:firstLineChars="200"/>
              <w:rPr>
                <w:sz w:val="24"/>
                <w:lang w:val="en-GB"/>
              </w:rPr>
            </w:pPr>
            <w:r>
              <w:rPr>
                <w:sz w:val="24"/>
                <w:lang w:val="en-GB"/>
              </w:rPr>
              <w:t>根据《建设项目环境风险评价技术导则》（H169-2018）中附录B突发事件环境风险及临界量表。根据物质不同的特性，将危险物质分为爆炸性物质、易燃物质、活性化学物质和有毒物质四大类，标准给出了物质的名称及其临界量。</w:t>
            </w:r>
          </w:p>
          <w:p>
            <w:pPr>
              <w:spacing w:line="360" w:lineRule="auto"/>
              <w:ind w:firstLine="480" w:firstLineChars="200"/>
              <w:rPr>
                <w:sz w:val="24"/>
                <w:lang w:val="en-GB"/>
              </w:rPr>
            </w:pPr>
            <w:r>
              <w:rPr>
                <w:sz w:val="24"/>
                <w:lang w:val="en-GB"/>
              </w:rPr>
              <w:t>单元内存在的危险物质为多种品种时，则按下式计算，若满足下式，则采用以下公式进行判定危险化学品重大危险源Q值：</w:t>
            </w:r>
          </w:p>
          <w:p>
            <w:pPr>
              <w:adjustRightInd w:val="0"/>
              <w:snapToGrid w:val="0"/>
              <w:jc w:val="center"/>
              <w:rPr>
                <w:spacing w:val="4"/>
                <w:kern w:val="0"/>
                <w:sz w:val="24"/>
              </w:rPr>
            </w:pPr>
            <w:r>
              <w:rPr>
                <w:kern w:val="0"/>
                <w:sz w:val="24"/>
              </w:rPr>
              <w:drawing>
                <wp:inline distT="0" distB="0" distL="114300" distR="114300">
                  <wp:extent cx="2441575" cy="617220"/>
                  <wp:effectExtent l="0" t="0" r="15875" b="1143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pic:cNvPicPr>
                        </pic:nvPicPr>
                        <pic:blipFill>
                          <a:blip r:embed="rId69"/>
                          <a:stretch>
                            <a:fillRect/>
                          </a:stretch>
                        </pic:blipFill>
                        <pic:spPr>
                          <a:xfrm>
                            <a:off x="0" y="0"/>
                            <a:ext cx="2441575" cy="617220"/>
                          </a:xfrm>
                          <a:prstGeom prst="rect">
                            <a:avLst/>
                          </a:prstGeom>
                          <a:noFill/>
                          <a:ln>
                            <a:noFill/>
                          </a:ln>
                        </pic:spPr>
                      </pic:pic>
                    </a:graphicData>
                  </a:graphic>
                </wp:inline>
              </w:drawing>
            </w:r>
          </w:p>
          <w:p>
            <w:pPr>
              <w:spacing w:line="360" w:lineRule="auto"/>
              <w:ind w:firstLine="496" w:firstLineChars="200"/>
              <w:rPr>
                <w:sz w:val="24"/>
                <w:lang w:val="en-GB"/>
              </w:rPr>
            </w:pPr>
            <w:r>
              <w:rPr>
                <w:snapToGrid w:val="0"/>
                <w:spacing w:val="4"/>
                <w:kern w:val="18"/>
                <w:sz w:val="24"/>
              </w:rPr>
              <w:t>式中：</w:t>
            </w:r>
            <w:r>
              <w:rPr>
                <w:sz w:val="24"/>
                <w:lang w:val="en-GB"/>
              </w:rPr>
              <w:t>q</w:t>
            </w:r>
            <w:r>
              <w:rPr>
                <w:sz w:val="24"/>
                <w:vertAlign w:val="subscript"/>
                <w:lang w:val="en-GB"/>
              </w:rPr>
              <w:t>1</w:t>
            </w:r>
            <w:r>
              <w:rPr>
                <w:sz w:val="24"/>
                <w:lang w:val="en-GB"/>
              </w:rPr>
              <w:t>，q</w:t>
            </w:r>
            <w:r>
              <w:rPr>
                <w:sz w:val="24"/>
                <w:vertAlign w:val="subscript"/>
                <w:lang w:val="en-GB"/>
              </w:rPr>
              <w:t>2</w:t>
            </w:r>
            <w:r>
              <w:rPr>
                <w:sz w:val="24"/>
                <w:lang w:val="en-GB"/>
              </w:rPr>
              <w:t>……q</w:t>
            </w:r>
            <w:r>
              <w:rPr>
                <w:sz w:val="24"/>
                <w:vertAlign w:val="subscript"/>
                <w:lang w:val="en-GB"/>
              </w:rPr>
              <w:t>n</w:t>
            </w:r>
            <w:r>
              <w:rPr>
                <w:sz w:val="24"/>
                <w:lang w:val="en-GB"/>
              </w:rPr>
              <w:t>——每种危险物质的最大存在总量，t。</w:t>
            </w:r>
          </w:p>
          <w:p>
            <w:pPr>
              <w:spacing w:line="360" w:lineRule="auto"/>
              <w:ind w:firstLine="1200" w:firstLineChars="500"/>
              <w:rPr>
                <w:sz w:val="24"/>
                <w:lang w:val="en-GB"/>
              </w:rPr>
            </w:pPr>
            <w:r>
              <w:rPr>
                <w:sz w:val="24"/>
                <w:lang w:val="en-GB"/>
              </w:rPr>
              <w:t>Q</w:t>
            </w:r>
            <w:r>
              <w:rPr>
                <w:sz w:val="24"/>
                <w:vertAlign w:val="subscript"/>
                <w:lang w:val="en-GB"/>
              </w:rPr>
              <w:t>1</w:t>
            </w:r>
            <w:r>
              <w:rPr>
                <w:sz w:val="24"/>
                <w:lang w:val="en-GB"/>
              </w:rPr>
              <w:t>，Q</w:t>
            </w:r>
            <w:r>
              <w:rPr>
                <w:sz w:val="24"/>
                <w:vertAlign w:val="subscript"/>
                <w:lang w:val="en-GB"/>
              </w:rPr>
              <w:t>2</w:t>
            </w:r>
            <w:r>
              <w:rPr>
                <w:sz w:val="24"/>
                <w:lang w:val="en-GB"/>
              </w:rPr>
              <w:t>……Q</w:t>
            </w:r>
            <w:r>
              <w:rPr>
                <w:sz w:val="24"/>
                <w:vertAlign w:val="subscript"/>
                <w:lang w:val="en-GB"/>
              </w:rPr>
              <w:t>n</w:t>
            </w:r>
            <w:r>
              <w:rPr>
                <w:sz w:val="24"/>
                <w:lang w:val="en-GB"/>
              </w:rPr>
              <w:t>——每种危险物质的临界量，t。</w:t>
            </w:r>
          </w:p>
          <w:p>
            <w:pPr>
              <w:spacing w:line="360" w:lineRule="auto"/>
              <w:ind w:firstLine="496" w:firstLineChars="200"/>
              <w:rPr>
                <w:snapToGrid w:val="0"/>
                <w:spacing w:val="4"/>
                <w:kern w:val="18"/>
                <w:sz w:val="24"/>
              </w:rPr>
            </w:pPr>
            <w:r>
              <w:rPr>
                <w:snapToGrid w:val="0"/>
                <w:spacing w:val="4"/>
                <w:kern w:val="18"/>
                <w:sz w:val="24"/>
              </w:rPr>
              <w:t xml:space="preserve">    </w:t>
            </w:r>
            <w:r>
              <w:rPr>
                <w:sz w:val="24"/>
                <w:lang w:val="en-GB"/>
              </w:rPr>
              <w:t>当Q＜1时，该项目环境风险潜势为Ⅰ</w:t>
            </w:r>
          </w:p>
          <w:p>
            <w:pPr>
              <w:spacing w:line="360" w:lineRule="auto"/>
              <w:ind w:firstLine="496" w:firstLineChars="200"/>
              <w:rPr>
                <w:snapToGrid w:val="0"/>
                <w:spacing w:val="4"/>
                <w:kern w:val="18"/>
                <w:sz w:val="24"/>
              </w:rPr>
            </w:pPr>
            <w:r>
              <w:rPr>
                <w:snapToGrid w:val="0"/>
                <w:spacing w:val="4"/>
                <w:kern w:val="18"/>
                <w:sz w:val="24"/>
              </w:rPr>
              <w:t xml:space="preserve">   </w:t>
            </w:r>
            <w:r>
              <w:rPr>
                <w:rFonts w:hint="eastAsia"/>
                <w:snapToGrid w:val="0"/>
                <w:spacing w:val="4"/>
                <w:kern w:val="18"/>
                <w:sz w:val="24"/>
              </w:rPr>
              <w:t xml:space="preserve"> </w:t>
            </w:r>
            <w:r>
              <w:rPr>
                <w:snapToGrid w:val="0"/>
                <w:spacing w:val="4"/>
                <w:kern w:val="18"/>
                <w:sz w:val="24"/>
              </w:rPr>
              <w:t>当Q≥1时，将Q值划分为：（1）1≤Q＜10；（2）10≤Q＜100；（3）Q≥100。</w:t>
            </w:r>
          </w:p>
          <w:p>
            <w:pPr>
              <w:spacing w:line="360" w:lineRule="auto"/>
              <w:ind w:firstLine="480" w:firstLineChars="200"/>
              <w:rPr>
                <w:sz w:val="24"/>
              </w:rPr>
            </w:pPr>
            <w:r>
              <w:rPr>
                <w:rFonts w:hint="eastAsia"/>
                <w:sz w:val="24"/>
              </w:rPr>
              <w:t>该建设项目占地长度小于500m，故厂区内各车间仓库可作为一个单元讨论。</w:t>
            </w:r>
            <w:r>
              <w:rPr>
                <w:sz w:val="24"/>
              </w:rPr>
              <w:t>根据项目风险源调查，</w:t>
            </w:r>
            <w:r>
              <w:rPr>
                <w:rFonts w:hint="eastAsia"/>
                <w:sz w:val="24"/>
              </w:rPr>
              <w:t>项目危险物质总量与其临界量比值为：</w:t>
            </w:r>
          </w:p>
          <w:p>
            <w:pPr>
              <w:spacing w:line="360" w:lineRule="auto"/>
              <w:jc w:val="center"/>
              <w:rPr>
                <w:sz w:val="24"/>
              </w:rPr>
            </w:pPr>
            <w:r>
              <w:rPr>
                <w:rFonts w:hint="eastAsia"/>
                <w:sz w:val="24"/>
              </w:rPr>
              <w:t>Q</w:t>
            </w:r>
            <w:r>
              <w:rPr>
                <w:rFonts w:hint="eastAsia"/>
                <w:sz w:val="24"/>
                <w:vertAlign w:val="subscript"/>
              </w:rPr>
              <w:t>总</w:t>
            </w:r>
            <w:r>
              <w:rPr>
                <w:rFonts w:hint="eastAsia"/>
                <w:sz w:val="24"/>
              </w:rPr>
              <w:t>=0.02238+0.0195=0.04188，小于1</w:t>
            </w:r>
          </w:p>
          <w:p>
            <w:pPr>
              <w:spacing w:line="360" w:lineRule="auto"/>
              <w:ind w:firstLine="480" w:firstLineChars="200"/>
              <w:rPr>
                <w:sz w:val="24"/>
              </w:rPr>
            </w:pPr>
            <w:r>
              <w:rPr>
                <w:sz w:val="24"/>
              </w:rPr>
              <w:t>根据《建设项目环境风险评价技术导则》（HJ 169-2018）附录C，本项目Q＜1，</w:t>
            </w:r>
            <w:r>
              <w:rPr>
                <w:rFonts w:hint="eastAsia"/>
                <w:sz w:val="24"/>
              </w:rPr>
              <w:t>因此，</w:t>
            </w:r>
            <w:r>
              <w:rPr>
                <w:sz w:val="24"/>
              </w:rPr>
              <w:t>该项目环境风险潜势为Ⅰ。</w:t>
            </w:r>
          </w:p>
          <w:p>
            <w:pPr>
              <w:spacing w:line="360" w:lineRule="auto"/>
              <w:ind w:firstLine="480" w:firstLineChars="200"/>
              <w:rPr>
                <w:sz w:val="24"/>
                <w:lang w:val="zh-CN"/>
              </w:rPr>
            </w:pPr>
            <w:r>
              <w:rPr>
                <w:sz w:val="24"/>
                <w:lang w:val="zh-CN"/>
              </w:rPr>
              <w:t>（</w:t>
            </w:r>
            <w:r>
              <w:rPr>
                <w:rFonts w:hint="eastAsia"/>
                <w:sz w:val="24"/>
              </w:rPr>
              <w:t>4</w:t>
            </w:r>
            <w:r>
              <w:rPr>
                <w:sz w:val="24"/>
                <w:lang w:val="zh-CN"/>
              </w:rPr>
              <w:t>）</w:t>
            </w:r>
            <w:r>
              <w:rPr>
                <w:sz w:val="24"/>
                <w:lang w:val="en-GB"/>
              </w:rPr>
              <w:t>环境风险评价等级</w:t>
            </w:r>
          </w:p>
          <w:p>
            <w:pPr>
              <w:spacing w:line="360" w:lineRule="auto"/>
              <w:ind w:firstLine="480" w:firstLineChars="200"/>
              <w:rPr>
                <w:sz w:val="24"/>
              </w:rPr>
            </w:pPr>
            <w:r>
              <w:rPr>
                <w:sz w:val="24"/>
              </w:rPr>
              <w:t>根据《建设项目环境风险评价技术导则》（HJ 169-2018）中评价工作等级划分，本项目环境风险评价工作等级见下表。</w:t>
            </w:r>
          </w:p>
          <w:p>
            <w:pPr>
              <w:autoSpaceDN w:val="0"/>
              <w:spacing w:before="120" w:beforeLines="50"/>
              <w:ind w:firstLine="482"/>
              <w:jc w:val="center"/>
              <w:rPr>
                <w:rFonts w:eastAsia="黑体"/>
                <w:bCs/>
                <w:spacing w:val="4"/>
                <w:sz w:val="24"/>
              </w:rPr>
            </w:pPr>
            <w:r>
              <w:rPr>
                <w:rFonts w:hint="eastAsia" w:eastAsia="黑体"/>
                <w:bCs/>
                <w:spacing w:val="4"/>
                <w:sz w:val="24"/>
              </w:rPr>
              <w:t>表4-</w:t>
            </w:r>
            <w:r>
              <w:rPr>
                <w:rFonts w:hint="eastAsia" w:eastAsia="黑体"/>
                <w:bCs/>
                <w:spacing w:val="4"/>
                <w:sz w:val="24"/>
                <w:lang w:val="en-US" w:eastAsia="zh-CN"/>
              </w:rPr>
              <w:t>38</w:t>
            </w:r>
            <w:r>
              <w:rPr>
                <w:rFonts w:hint="eastAsia" w:eastAsia="黑体"/>
                <w:bCs/>
                <w:spacing w:val="4"/>
                <w:sz w:val="24"/>
              </w:rPr>
              <w:t xml:space="preserve"> 本项目环境风险评价工作等级划分表</w:t>
            </w:r>
          </w:p>
          <w:tbl>
            <w:tblPr>
              <w:tblStyle w:val="33"/>
              <w:tblW w:w="49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Layout w:type="fixed"/>
              <w:tblCellMar>
                <w:top w:w="0" w:type="dxa"/>
                <w:left w:w="108" w:type="dxa"/>
                <w:bottom w:w="0" w:type="dxa"/>
                <w:right w:w="108" w:type="dxa"/>
              </w:tblCellMar>
            </w:tblPr>
            <w:tblGrid>
              <w:gridCol w:w="1752"/>
              <w:gridCol w:w="1584"/>
              <w:gridCol w:w="1728"/>
              <w:gridCol w:w="1728"/>
              <w:gridCol w:w="1539"/>
            </w:tblGrid>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397" w:hRule="atLeast"/>
                <w:tblHeader/>
                <w:jc w:val="center"/>
              </w:trPr>
              <w:tc>
                <w:tcPr>
                  <w:tcW w:w="1827" w:type="dxa"/>
                  <w:tcBorders>
                    <w:tl2br w:val="nil"/>
                    <w:tr2bl w:val="nil"/>
                  </w:tcBorders>
                  <w:vAlign w:val="center"/>
                </w:tcPr>
                <w:p>
                  <w:pPr>
                    <w:widowControl/>
                    <w:adjustRightInd w:val="0"/>
                    <w:snapToGrid w:val="0"/>
                    <w:spacing w:line="340" w:lineRule="exact"/>
                    <w:jc w:val="center"/>
                    <w:rPr>
                      <w:bCs/>
                    </w:rPr>
                  </w:pPr>
                  <w:bookmarkStart w:id="4" w:name="_Toc6147_WPSOffice_Level2"/>
                  <w:bookmarkStart w:id="5" w:name="_Toc28694"/>
                  <w:r>
                    <w:rPr>
                      <w:bCs/>
                    </w:rPr>
                    <w:t>环境风险潜势</w:t>
                  </w:r>
                </w:p>
              </w:tc>
              <w:tc>
                <w:tcPr>
                  <w:tcW w:w="1649" w:type="dxa"/>
                  <w:tcBorders>
                    <w:tl2br w:val="nil"/>
                    <w:tr2bl w:val="nil"/>
                  </w:tcBorders>
                  <w:vAlign w:val="center"/>
                </w:tcPr>
                <w:p>
                  <w:pPr>
                    <w:widowControl/>
                    <w:adjustRightInd w:val="0"/>
                    <w:snapToGrid w:val="0"/>
                    <w:spacing w:line="340" w:lineRule="exact"/>
                    <w:jc w:val="center"/>
                    <w:rPr>
                      <w:bCs/>
                    </w:rPr>
                  </w:pPr>
                  <w:r>
                    <w:rPr>
                      <w:bCs/>
                    </w:rPr>
                    <w:t>Ⅳ</w:t>
                  </w:r>
                  <w:r>
                    <w:rPr>
                      <w:rFonts w:eastAsia="新宋体"/>
                      <w:bCs/>
                    </w:rPr>
                    <w:t>、</w:t>
                  </w:r>
                  <w:r>
                    <w:rPr>
                      <w:bCs/>
                    </w:rPr>
                    <w:t>Ⅳ</w:t>
                  </w:r>
                  <w:r>
                    <w:rPr>
                      <w:rFonts w:eastAsia="新宋体"/>
                      <w:bCs/>
                      <w:vertAlign w:val="superscript"/>
                    </w:rPr>
                    <w:t>+</w:t>
                  </w:r>
                </w:p>
              </w:tc>
              <w:tc>
                <w:tcPr>
                  <w:tcW w:w="1800" w:type="dxa"/>
                  <w:tcBorders>
                    <w:tl2br w:val="nil"/>
                    <w:tr2bl w:val="nil"/>
                  </w:tcBorders>
                  <w:vAlign w:val="center"/>
                </w:tcPr>
                <w:p>
                  <w:pPr>
                    <w:widowControl/>
                    <w:adjustRightInd w:val="0"/>
                    <w:snapToGrid w:val="0"/>
                    <w:spacing w:line="340" w:lineRule="exact"/>
                    <w:jc w:val="center"/>
                    <w:rPr>
                      <w:bCs/>
                    </w:rPr>
                  </w:pPr>
                  <w:r>
                    <w:rPr>
                      <w:bCs/>
                    </w:rPr>
                    <w:t>Ⅲ</w:t>
                  </w:r>
                </w:p>
              </w:tc>
              <w:tc>
                <w:tcPr>
                  <w:tcW w:w="1800" w:type="dxa"/>
                  <w:tcBorders>
                    <w:tl2br w:val="nil"/>
                    <w:tr2bl w:val="nil"/>
                  </w:tcBorders>
                  <w:vAlign w:val="center"/>
                </w:tcPr>
                <w:p>
                  <w:pPr>
                    <w:widowControl/>
                    <w:adjustRightInd w:val="0"/>
                    <w:snapToGrid w:val="0"/>
                    <w:spacing w:line="340" w:lineRule="exact"/>
                    <w:jc w:val="center"/>
                    <w:rPr>
                      <w:bCs/>
                    </w:rPr>
                  </w:pPr>
                  <w:r>
                    <w:rPr>
                      <w:bCs/>
                    </w:rPr>
                    <w:t>Ⅱ</w:t>
                  </w:r>
                </w:p>
              </w:tc>
              <w:tc>
                <w:tcPr>
                  <w:tcW w:w="1602" w:type="dxa"/>
                  <w:tcBorders>
                    <w:tl2br w:val="nil"/>
                    <w:tr2bl w:val="nil"/>
                  </w:tcBorders>
                  <w:vAlign w:val="center"/>
                </w:tcPr>
                <w:p>
                  <w:pPr>
                    <w:widowControl/>
                    <w:adjustRightInd w:val="0"/>
                    <w:snapToGrid w:val="0"/>
                    <w:spacing w:line="340" w:lineRule="exact"/>
                    <w:jc w:val="center"/>
                    <w:rPr>
                      <w:bCs/>
                    </w:rPr>
                  </w:pPr>
                  <w:r>
                    <w:rPr>
                      <w:bCs/>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397" w:hRule="atLeast"/>
                <w:jc w:val="center"/>
              </w:trPr>
              <w:tc>
                <w:tcPr>
                  <w:tcW w:w="1827" w:type="dxa"/>
                  <w:tcBorders>
                    <w:tl2br w:val="nil"/>
                    <w:tr2bl w:val="nil"/>
                  </w:tcBorders>
                  <w:vAlign w:val="center"/>
                </w:tcPr>
                <w:p>
                  <w:pPr>
                    <w:widowControl/>
                    <w:adjustRightInd w:val="0"/>
                    <w:snapToGrid w:val="0"/>
                    <w:spacing w:line="340" w:lineRule="exact"/>
                    <w:jc w:val="center"/>
                    <w:rPr>
                      <w:bCs/>
                    </w:rPr>
                  </w:pPr>
                  <w:r>
                    <w:rPr>
                      <w:bCs/>
                    </w:rPr>
                    <w:t>评价工作等级</w:t>
                  </w:r>
                </w:p>
              </w:tc>
              <w:tc>
                <w:tcPr>
                  <w:tcW w:w="1649" w:type="dxa"/>
                  <w:tcBorders>
                    <w:tl2br w:val="nil"/>
                    <w:tr2bl w:val="nil"/>
                  </w:tcBorders>
                  <w:vAlign w:val="center"/>
                </w:tcPr>
                <w:p>
                  <w:pPr>
                    <w:widowControl/>
                    <w:adjustRightInd w:val="0"/>
                    <w:snapToGrid w:val="0"/>
                    <w:spacing w:line="340" w:lineRule="exact"/>
                    <w:jc w:val="center"/>
                    <w:rPr>
                      <w:bCs/>
                    </w:rPr>
                  </w:pPr>
                  <w:r>
                    <w:rPr>
                      <w:bCs/>
                    </w:rPr>
                    <w:t>一</w:t>
                  </w:r>
                </w:p>
              </w:tc>
              <w:tc>
                <w:tcPr>
                  <w:tcW w:w="1800" w:type="dxa"/>
                  <w:tcBorders>
                    <w:tl2br w:val="nil"/>
                    <w:tr2bl w:val="nil"/>
                  </w:tcBorders>
                  <w:vAlign w:val="center"/>
                </w:tcPr>
                <w:p>
                  <w:pPr>
                    <w:widowControl/>
                    <w:adjustRightInd w:val="0"/>
                    <w:snapToGrid w:val="0"/>
                    <w:spacing w:line="340" w:lineRule="exact"/>
                    <w:jc w:val="center"/>
                    <w:rPr>
                      <w:bCs/>
                    </w:rPr>
                  </w:pPr>
                  <w:r>
                    <w:rPr>
                      <w:bCs/>
                    </w:rPr>
                    <w:t>二</w:t>
                  </w:r>
                </w:p>
              </w:tc>
              <w:tc>
                <w:tcPr>
                  <w:tcW w:w="1800" w:type="dxa"/>
                  <w:tcBorders>
                    <w:tl2br w:val="nil"/>
                    <w:tr2bl w:val="nil"/>
                  </w:tcBorders>
                  <w:vAlign w:val="center"/>
                </w:tcPr>
                <w:p>
                  <w:pPr>
                    <w:widowControl/>
                    <w:adjustRightInd w:val="0"/>
                    <w:snapToGrid w:val="0"/>
                    <w:spacing w:line="340" w:lineRule="exact"/>
                    <w:jc w:val="center"/>
                    <w:rPr>
                      <w:bCs/>
                    </w:rPr>
                  </w:pPr>
                  <w:r>
                    <w:rPr>
                      <w:bCs/>
                    </w:rPr>
                    <w:t>三</w:t>
                  </w:r>
                </w:p>
              </w:tc>
              <w:tc>
                <w:tcPr>
                  <w:tcW w:w="1602" w:type="dxa"/>
                  <w:tcBorders>
                    <w:tl2br w:val="nil"/>
                    <w:tr2bl w:val="nil"/>
                  </w:tcBorders>
                  <w:vAlign w:val="center"/>
                </w:tcPr>
                <w:p>
                  <w:pPr>
                    <w:spacing w:line="340" w:lineRule="exact"/>
                    <w:jc w:val="center"/>
                    <w:rPr>
                      <w:bCs/>
                      <w:szCs w:val="20"/>
                    </w:rPr>
                  </w:pPr>
                  <w:r>
                    <w:rPr>
                      <w:bCs/>
                      <w:szCs w:val="20"/>
                    </w:rPr>
                    <w:t>简单分析</w:t>
                  </w:r>
                  <w:r>
                    <w:rPr>
                      <w:bCs/>
                      <w:szCs w:val="20"/>
                      <w:vertAlign w:val="superscript"/>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397" w:hRule="atLeast"/>
                <w:jc w:val="center"/>
              </w:trPr>
              <w:tc>
                <w:tcPr>
                  <w:tcW w:w="8678" w:type="dxa"/>
                  <w:gridSpan w:val="5"/>
                  <w:tcBorders>
                    <w:tl2br w:val="nil"/>
                    <w:tr2bl w:val="nil"/>
                  </w:tcBorders>
                  <w:vAlign w:val="center"/>
                </w:tcPr>
                <w:p>
                  <w:pPr>
                    <w:spacing w:line="340" w:lineRule="exact"/>
                    <w:jc w:val="left"/>
                    <w:rPr>
                      <w:szCs w:val="20"/>
                    </w:rPr>
                  </w:pPr>
                  <w:r>
                    <w:rPr>
                      <w:szCs w:val="20"/>
                      <w:vertAlign w:val="superscript"/>
                    </w:rPr>
                    <w:t>a</w:t>
                  </w:r>
                  <w:r>
                    <w:rPr>
                      <w:szCs w:val="20"/>
                    </w:rPr>
                    <w:t xml:space="preserve"> 是相对于详细评价工作内容而言，在描述危险物质、环境影响途径、环境危害后果、风险防范措施等方面给出定性的说明。</w:t>
                  </w:r>
                </w:p>
              </w:tc>
            </w:tr>
          </w:tbl>
          <w:p>
            <w:pPr>
              <w:spacing w:before="120" w:beforeLines="50" w:line="360" w:lineRule="auto"/>
              <w:ind w:firstLine="480" w:firstLineChars="200"/>
              <w:rPr>
                <w:spacing w:val="4"/>
                <w:kern w:val="18"/>
                <w:sz w:val="24"/>
              </w:rPr>
            </w:pPr>
            <w:r>
              <w:rPr>
                <w:rFonts w:hint="eastAsia"/>
                <w:sz w:val="24"/>
              </w:rPr>
              <w:t>本项目环境风险潜势为</w:t>
            </w:r>
            <w:r>
              <w:rPr>
                <w:sz w:val="24"/>
              </w:rPr>
              <w:t>为Ⅰ</w:t>
            </w:r>
            <w:r>
              <w:rPr>
                <w:rFonts w:hint="eastAsia"/>
                <w:sz w:val="24"/>
              </w:rPr>
              <w:t>，因此</w:t>
            </w:r>
            <w:r>
              <w:rPr>
                <w:sz w:val="24"/>
              </w:rPr>
              <w:t>，本项目大气、地表水和地下水环境风险评价工作等级均为</w:t>
            </w:r>
            <w:r>
              <w:rPr>
                <w:rFonts w:hint="eastAsia"/>
                <w:sz w:val="24"/>
              </w:rPr>
              <w:t>“</w:t>
            </w:r>
            <w:r>
              <w:rPr>
                <w:sz w:val="24"/>
              </w:rPr>
              <w:t>简单分析</w:t>
            </w:r>
            <w:r>
              <w:rPr>
                <w:rFonts w:hint="eastAsia"/>
                <w:sz w:val="24"/>
              </w:rPr>
              <w:t>”</w:t>
            </w:r>
            <w:r>
              <w:rPr>
                <w:sz w:val="24"/>
              </w:rPr>
              <w:t>。</w:t>
            </w:r>
            <w:r>
              <w:rPr>
                <w:spacing w:val="4"/>
                <w:kern w:val="18"/>
                <w:sz w:val="24"/>
              </w:rPr>
              <w:t>环境风险可进行简单分析。</w:t>
            </w:r>
          </w:p>
          <w:bookmarkEnd w:id="4"/>
          <w:bookmarkEnd w:id="5"/>
          <w:p>
            <w:pPr>
              <w:spacing w:line="360" w:lineRule="auto"/>
              <w:ind w:firstLine="480" w:firstLineChars="200"/>
              <w:rPr>
                <w:bCs/>
                <w:color w:val="000000"/>
                <w:sz w:val="24"/>
              </w:rPr>
            </w:pPr>
            <w:r>
              <w:rPr>
                <w:sz w:val="24"/>
              </w:rPr>
              <w:t>（</w:t>
            </w:r>
            <w:r>
              <w:rPr>
                <w:rFonts w:hint="eastAsia"/>
                <w:sz w:val="24"/>
              </w:rPr>
              <w:t>5</w:t>
            </w:r>
            <w:r>
              <w:rPr>
                <w:sz w:val="24"/>
              </w:rPr>
              <w:t>）</w:t>
            </w:r>
            <w:r>
              <w:rPr>
                <w:rFonts w:hint="eastAsia"/>
                <w:bCs/>
                <w:color w:val="000000"/>
                <w:sz w:val="24"/>
              </w:rPr>
              <w:t>环境</w:t>
            </w:r>
            <w:r>
              <w:rPr>
                <w:bCs/>
                <w:color w:val="000000"/>
                <w:sz w:val="24"/>
              </w:rPr>
              <w:t>风险</w:t>
            </w:r>
            <w:r>
              <w:rPr>
                <w:rFonts w:hint="eastAsia"/>
                <w:bCs/>
                <w:color w:val="000000"/>
                <w:sz w:val="24"/>
              </w:rPr>
              <w:t>识别</w:t>
            </w:r>
          </w:p>
          <w:p>
            <w:pPr>
              <w:spacing w:line="360" w:lineRule="auto"/>
              <w:ind w:firstLine="480" w:firstLineChars="200"/>
              <w:rPr>
                <w:sz w:val="24"/>
              </w:rPr>
            </w:pPr>
            <w:r>
              <w:rPr>
                <w:rFonts w:hint="eastAsia"/>
                <w:sz w:val="24"/>
              </w:rPr>
              <w:t>风险识别范围包括物质危险性识别和生产系统危险性识别。物质风险性识别包括主要原辅材料、燃料、中间产品、副产品、最终产品、污染物和爆炸伴生/次生物等。生产系统危险性识别包括主要生产装置、储运设施、公用工程和辅助生产设施，以及环境保护设施等。</w:t>
            </w:r>
          </w:p>
          <w:p>
            <w:pPr>
              <w:spacing w:line="360" w:lineRule="auto"/>
              <w:ind w:firstLine="480" w:firstLineChars="200"/>
              <w:rPr>
                <w:sz w:val="24"/>
              </w:rPr>
            </w:pPr>
            <w:r>
              <w:rPr>
                <w:rFonts w:hint="eastAsia"/>
                <w:sz w:val="24"/>
              </w:rPr>
              <w:fldChar w:fldCharType="begin"/>
            </w:r>
            <w:r>
              <w:rPr>
                <w:rFonts w:hint="eastAsia"/>
                <w:sz w:val="24"/>
              </w:rPr>
              <w:instrText xml:space="preserve"> = 1 \* GB3 </w:instrText>
            </w:r>
            <w:r>
              <w:rPr>
                <w:rFonts w:hint="eastAsia"/>
                <w:sz w:val="24"/>
              </w:rPr>
              <w:fldChar w:fldCharType="separate"/>
            </w:r>
            <w:r>
              <w:rPr>
                <w:rFonts w:hint="eastAsia"/>
                <w:sz w:val="24"/>
              </w:rPr>
              <w:t>①</w:t>
            </w:r>
            <w:r>
              <w:rPr>
                <w:rFonts w:hint="eastAsia"/>
                <w:sz w:val="24"/>
              </w:rPr>
              <w:fldChar w:fldCharType="end"/>
            </w:r>
            <w:r>
              <w:rPr>
                <w:rFonts w:hint="eastAsia"/>
                <w:sz w:val="24"/>
              </w:rPr>
              <w:t>物质风险性识别</w:t>
            </w:r>
          </w:p>
          <w:p>
            <w:pPr>
              <w:spacing w:line="360" w:lineRule="auto"/>
              <w:ind w:firstLine="480" w:firstLineChars="200"/>
              <w:rPr>
                <w:sz w:val="24"/>
              </w:rPr>
            </w:pPr>
            <w:r>
              <w:rPr>
                <w:rFonts w:hint="eastAsia"/>
                <w:sz w:val="24"/>
              </w:rPr>
              <w:t>项目使用一定量的化学原料，而且有一些有毒有害的化学品，对人体有害。在正常生产和储存条件下，必须严格管理，按操作规程操作，防止各个环节中的抛洒和泄漏，杜绝事故的发生；另外这些化学品有一部分为易燃易爆的危险品，在存贮和使用过程中都存在一定的危险性，一旦发生事故，将对人身、财产产生较大的危害。这类事件发生的可能性较小，其物料泄漏量、污染程度和范围等与多种因素有关，较难用数字准确计算，如与突发事件的大小，采取的补救措施是否快速、合理等均有关。但事故一旦发生，将会对周围生态环境及人体健康造成相当严重的影响，因此建设项目存在一定的风险，需要进行环境风险分析。</w:t>
            </w:r>
          </w:p>
          <w:p>
            <w:pPr>
              <w:spacing w:line="360" w:lineRule="auto"/>
              <w:ind w:firstLine="480" w:firstLineChars="200"/>
              <w:rPr>
                <w:sz w:val="24"/>
              </w:rPr>
            </w:pPr>
            <w:r>
              <w:rPr>
                <w:rFonts w:hint="eastAsia"/>
                <w:sz w:val="24"/>
              </w:rPr>
              <w:t>本项目可能出现的风险源大致有：</w:t>
            </w:r>
          </w:p>
          <w:p>
            <w:pPr>
              <w:spacing w:line="360" w:lineRule="auto"/>
              <w:ind w:firstLine="480" w:firstLineChars="200"/>
              <w:rPr>
                <w:sz w:val="24"/>
              </w:rPr>
            </w:pPr>
            <w:r>
              <w:rPr>
                <w:rFonts w:hint="eastAsia"/>
                <w:sz w:val="24"/>
              </w:rPr>
              <w:t>A、各类有毒有害化学品的储存及使用过程中出现的不正常跑、冒、滴、漏；有毒物质的遗失、丢失；破箱事故中有毒物质的散落、外泄；非正常状态下(火灾、洪涝灾害等)有毒有害物的外泄等。</w:t>
            </w:r>
          </w:p>
          <w:p>
            <w:pPr>
              <w:spacing w:line="360" w:lineRule="auto"/>
              <w:ind w:firstLine="480" w:firstLineChars="200"/>
              <w:rPr>
                <w:sz w:val="24"/>
              </w:rPr>
            </w:pPr>
            <w:r>
              <w:rPr>
                <w:rFonts w:hint="eastAsia"/>
                <w:sz w:val="24"/>
              </w:rPr>
              <w:t>根据污染源分析，项目使用和主要危险化学物质有：甲苯、二甲苯等。</w:t>
            </w:r>
          </w:p>
          <w:p>
            <w:pPr>
              <w:spacing w:line="360" w:lineRule="auto"/>
              <w:ind w:firstLine="480" w:firstLineChars="200"/>
              <w:rPr>
                <w:sz w:val="24"/>
              </w:rPr>
            </w:pPr>
            <w:r>
              <w:rPr>
                <w:rFonts w:hint="eastAsia"/>
                <w:sz w:val="24"/>
              </w:rPr>
              <w:t>B、生产过程中，当污染处理设施无法正常工作时的事故排放，主要是废水、废气的事故排放。</w:t>
            </w:r>
          </w:p>
          <w:p>
            <w:pPr>
              <w:spacing w:line="360" w:lineRule="auto"/>
              <w:ind w:firstLine="480" w:firstLineChars="200"/>
              <w:rPr>
                <w:sz w:val="24"/>
              </w:rPr>
            </w:pPr>
            <w:r>
              <w:rPr>
                <w:rFonts w:hint="eastAsia"/>
                <w:sz w:val="24"/>
              </w:rPr>
              <w:t>C、各类易燃气体、材料等引燃而发生的火灾。</w:t>
            </w:r>
          </w:p>
          <w:p>
            <w:pPr>
              <w:spacing w:line="360" w:lineRule="auto"/>
              <w:ind w:firstLine="480" w:firstLineChars="200"/>
              <w:rPr>
                <w:sz w:val="24"/>
              </w:rPr>
            </w:pPr>
            <w:r>
              <w:rPr>
                <w:rFonts w:hint="eastAsia"/>
                <w:sz w:val="24"/>
              </w:rPr>
              <w:t>②生产设施风险识别</w:t>
            </w:r>
          </w:p>
          <w:p>
            <w:pPr>
              <w:spacing w:line="360" w:lineRule="auto"/>
              <w:ind w:firstLine="480" w:firstLineChars="200"/>
              <w:rPr>
                <w:sz w:val="24"/>
              </w:rPr>
            </w:pPr>
            <w:r>
              <w:rPr>
                <w:rFonts w:hint="eastAsia"/>
                <w:sz w:val="24"/>
              </w:rPr>
              <w:t>该生产工艺对连续作业没有严格的限制，因此该项目的主体工程、辅助工程和公用工程在出现设备故障时生产系统可随时停产对流程中的物料加以控制。由此可见，只要管理严格，生产系统不会发生事故性排放，不存在发生严重污染环境的风险。</w:t>
            </w:r>
          </w:p>
          <w:p>
            <w:pPr>
              <w:spacing w:line="360" w:lineRule="auto"/>
              <w:ind w:firstLine="480" w:firstLineChars="200"/>
              <w:rPr>
                <w:sz w:val="24"/>
              </w:rPr>
            </w:pPr>
            <w:r>
              <w:rPr>
                <w:rFonts w:hint="eastAsia"/>
                <w:sz w:val="24"/>
              </w:rPr>
              <w:t>但环保工程的废水和废气处理设施发生故障或停用时，会导致污染物超标排放，主要有以下几种情况：</w:t>
            </w:r>
          </w:p>
          <w:p>
            <w:pPr>
              <w:spacing w:line="360" w:lineRule="auto"/>
              <w:ind w:firstLine="480" w:firstLineChars="200"/>
              <w:rPr>
                <w:sz w:val="24"/>
              </w:rPr>
            </w:pPr>
            <w:r>
              <w:rPr>
                <w:rFonts w:hint="eastAsia"/>
                <w:sz w:val="24"/>
              </w:rPr>
              <w:t>A、废水处理设施出现运行故障时，致使废水超标循环，进而使废气处理设施效率下降，导致废气超标排放。</w:t>
            </w:r>
          </w:p>
          <w:p>
            <w:pPr>
              <w:spacing w:line="360" w:lineRule="auto"/>
              <w:ind w:firstLine="480" w:firstLineChars="200"/>
              <w:rPr>
                <w:sz w:val="24"/>
              </w:rPr>
            </w:pPr>
            <w:r>
              <w:rPr>
                <w:rFonts w:hint="eastAsia"/>
                <w:sz w:val="24"/>
              </w:rPr>
              <w:t>B、废气超标排入大气，进而污染附近区域的环境空气。</w:t>
            </w:r>
          </w:p>
          <w:p>
            <w:pPr>
              <w:spacing w:line="360" w:lineRule="auto"/>
              <w:ind w:firstLine="480" w:firstLineChars="200"/>
              <w:rPr>
                <w:sz w:val="24"/>
              </w:rPr>
            </w:pPr>
            <w:r>
              <w:rPr>
                <w:rFonts w:hint="eastAsia"/>
                <w:sz w:val="24"/>
              </w:rPr>
              <w:t>C、粉尘收集系统发生故障，粉尘对周围环境造成严重的污染。</w:t>
            </w:r>
          </w:p>
          <w:p>
            <w:pPr>
              <w:spacing w:line="360" w:lineRule="auto"/>
              <w:ind w:firstLine="480" w:firstLineChars="200"/>
              <w:rPr>
                <w:sz w:val="24"/>
              </w:rPr>
            </w:pPr>
            <w:r>
              <w:rPr>
                <w:rFonts w:hint="eastAsia"/>
                <w:sz w:val="24"/>
              </w:rPr>
              <w:t>在这些情况下，都将对周围环境产生影响。</w:t>
            </w:r>
          </w:p>
          <w:p>
            <w:pPr>
              <w:spacing w:line="360" w:lineRule="auto"/>
              <w:ind w:firstLine="480" w:firstLineChars="200"/>
              <w:rPr>
                <w:sz w:val="24"/>
              </w:rPr>
            </w:pPr>
            <w:r>
              <w:rPr>
                <w:rFonts w:hint="eastAsia"/>
                <w:sz w:val="24"/>
              </w:rPr>
              <w:t>③存储风险识别</w:t>
            </w:r>
          </w:p>
          <w:p>
            <w:pPr>
              <w:spacing w:line="360" w:lineRule="auto"/>
              <w:ind w:firstLine="480" w:firstLineChars="200"/>
              <w:rPr>
                <w:color w:val="0000FF"/>
                <w:sz w:val="24"/>
              </w:rPr>
            </w:pPr>
            <w:r>
              <w:rPr>
                <w:rFonts w:hint="eastAsia"/>
                <w:color w:val="0000FF"/>
                <w:sz w:val="24"/>
              </w:rPr>
              <w:t>根据《建设项目环境风险评价技术导则》（HJ169-2018）附录A.1和《危险化学品重大危险源辨别》（GB18218-20</w:t>
            </w:r>
            <w:r>
              <w:rPr>
                <w:color w:val="0000FF"/>
                <w:sz w:val="24"/>
              </w:rPr>
              <w:t>18</w:t>
            </w:r>
            <w:r>
              <w:rPr>
                <w:rFonts w:hint="eastAsia"/>
                <w:color w:val="0000FF"/>
                <w:sz w:val="24"/>
              </w:rPr>
              <w:t>）规定，本项目在生产场所和贮存区均不构成重大危险源。</w:t>
            </w:r>
          </w:p>
          <w:p>
            <w:pPr>
              <w:spacing w:line="360" w:lineRule="auto"/>
              <w:ind w:firstLine="480" w:firstLineChars="200"/>
              <w:rPr>
                <w:sz w:val="24"/>
              </w:rPr>
            </w:pPr>
            <w:r>
              <w:rPr>
                <w:rFonts w:hint="eastAsia"/>
                <w:sz w:val="24"/>
              </w:rPr>
              <w:t>④环保工程存在的危险、有害性</w:t>
            </w:r>
          </w:p>
          <w:p>
            <w:pPr>
              <w:spacing w:line="360" w:lineRule="auto"/>
              <w:ind w:firstLine="480" w:firstLineChars="200"/>
              <w:rPr>
                <w:sz w:val="24"/>
              </w:rPr>
            </w:pPr>
            <w:r>
              <w:rPr>
                <w:rFonts w:hint="eastAsia"/>
                <w:sz w:val="24"/>
              </w:rPr>
              <w:t>废气吸收装置若出现故障，会造成废气超标排放，将对周围环境产生影响，通常出现此故障时立即关闭进料系统。</w:t>
            </w:r>
            <w:r>
              <w:rPr>
                <w:sz w:val="24"/>
              </w:rPr>
              <w:t>火灾风险分析</w:t>
            </w:r>
            <w:r>
              <w:rPr>
                <w:rFonts w:hint="eastAsia"/>
                <w:sz w:val="24"/>
              </w:rPr>
              <w:t>：</w:t>
            </w:r>
            <w:r>
              <w:rPr>
                <w:sz w:val="24"/>
              </w:rPr>
              <w:t>本项目火灾主要来源于</w:t>
            </w:r>
            <w:r>
              <w:rPr>
                <w:rFonts w:hint="eastAsia"/>
                <w:sz w:val="24"/>
              </w:rPr>
              <w:t>电器</w:t>
            </w:r>
            <w:r>
              <w:rPr>
                <w:sz w:val="24"/>
              </w:rPr>
              <w:t>火灾，</w:t>
            </w:r>
            <w:r>
              <w:rPr>
                <w:rFonts w:hint="eastAsia"/>
                <w:sz w:val="24"/>
              </w:rPr>
              <w:t>电器</w:t>
            </w:r>
            <w:r>
              <w:rPr>
                <w:sz w:val="24"/>
              </w:rPr>
              <w:t>火灾主要是由电器及线路本身老化引燃周围易燃物质。项目一旦着火则火速快、烟雾大，若是带电灭火，扑救有较大的困难。</w:t>
            </w:r>
            <w:r>
              <w:rPr>
                <w:rFonts w:hint="eastAsia"/>
                <w:sz w:val="24"/>
              </w:rPr>
              <w:t>电器</w:t>
            </w:r>
            <w:r>
              <w:rPr>
                <w:sz w:val="24"/>
              </w:rPr>
              <w:t>火灾发生后，电器设备可能因绝缘损坏而碰壳短路，电器线路可能因电线段落而接地短路，使正常时不带电的金属个构架、地面等部位带电，因此，也可能导致触电电压或跨步电压触电事故。本项目多为电器设备，</w:t>
            </w:r>
            <w:r>
              <w:rPr>
                <w:rFonts w:hint="eastAsia"/>
                <w:sz w:val="24"/>
              </w:rPr>
              <w:t>一</w:t>
            </w:r>
            <w:r>
              <w:rPr>
                <w:sz w:val="24"/>
              </w:rPr>
              <w:t>旦发生火灾会直接影响生产，火灾影响主要范围是厂区车间及全体员工。</w:t>
            </w:r>
          </w:p>
          <w:p>
            <w:pPr>
              <w:spacing w:line="360" w:lineRule="auto"/>
              <w:ind w:firstLine="480" w:firstLineChars="200"/>
              <w:rPr>
                <w:bCs/>
                <w:sz w:val="24"/>
                <w:szCs w:val="32"/>
              </w:rPr>
            </w:pPr>
            <w:r>
              <w:rPr>
                <w:rFonts w:hint="eastAsia"/>
                <w:bCs/>
                <w:sz w:val="24"/>
                <w:szCs w:val="32"/>
              </w:rPr>
              <w:t>（6）环境风险分析</w:t>
            </w:r>
          </w:p>
          <w:p>
            <w:pPr>
              <w:spacing w:line="360" w:lineRule="auto"/>
              <w:ind w:firstLine="480" w:firstLineChars="200"/>
              <w:rPr>
                <w:bCs/>
                <w:color w:val="0000FF"/>
                <w:sz w:val="24"/>
                <w:szCs w:val="32"/>
              </w:rPr>
            </w:pPr>
            <w:r>
              <w:rPr>
                <w:rFonts w:hint="eastAsia"/>
                <w:bCs/>
                <w:color w:val="0000FF"/>
                <w:sz w:val="24"/>
                <w:szCs w:val="32"/>
              </w:rPr>
              <w:t>①喷漆房、仓库火灾、爆炸事故分析</w:t>
            </w:r>
          </w:p>
          <w:p>
            <w:pPr>
              <w:spacing w:line="360" w:lineRule="auto"/>
              <w:ind w:firstLine="480" w:firstLineChars="200"/>
              <w:rPr>
                <w:bCs/>
                <w:color w:val="0000FF"/>
                <w:sz w:val="24"/>
                <w:szCs w:val="32"/>
              </w:rPr>
            </w:pPr>
            <w:r>
              <w:rPr>
                <w:rFonts w:hint="eastAsia"/>
                <w:bCs/>
                <w:color w:val="0000FF"/>
                <w:sz w:val="24"/>
                <w:szCs w:val="32"/>
              </w:rPr>
              <w:t>喷漆作业的火灾危险性分类根据所采用的涂料和种类来确定，爆炸危险区等级的划分根据生产中使用涂料的种类，产生事故的可能性和危害程度来确定的。在喷漆作业中形成的漆雾、有机废气，在喷漆车间空气中若达到一定的浓度，一遇明火甚至火花就会造成火灾和爆炸事故。考虑到本项目涂装采用漆量较小，正常情况下泄漏不容易引起火灾爆炸事故。</w:t>
            </w:r>
          </w:p>
          <w:p>
            <w:pPr>
              <w:spacing w:line="360" w:lineRule="auto"/>
              <w:ind w:firstLine="480" w:firstLineChars="200"/>
              <w:rPr>
                <w:bCs/>
                <w:color w:val="0000FF"/>
                <w:sz w:val="24"/>
                <w:szCs w:val="32"/>
              </w:rPr>
            </w:pPr>
            <w:r>
              <w:rPr>
                <w:rFonts w:hint="eastAsia"/>
                <w:bCs/>
                <w:color w:val="0000FF"/>
                <w:sz w:val="24"/>
                <w:szCs w:val="32"/>
              </w:rPr>
              <w:t>②油漆泄漏事故分析</w:t>
            </w:r>
          </w:p>
          <w:p>
            <w:pPr>
              <w:spacing w:line="360" w:lineRule="auto"/>
              <w:ind w:firstLine="480" w:firstLineChars="200"/>
              <w:rPr>
                <w:bCs/>
                <w:color w:val="0000FF"/>
                <w:sz w:val="24"/>
                <w:szCs w:val="32"/>
              </w:rPr>
            </w:pPr>
            <w:r>
              <w:rPr>
                <w:rFonts w:hint="eastAsia"/>
                <w:bCs/>
                <w:color w:val="0000FF"/>
                <w:sz w:val="24"/>
                <w:szCs w:val="32"/>
              </w:rPr>
              <w:t>由于本项目油漆采用多个桶装储存，在不发生爆炸的情况下，同时所有的油漆泄漏的概率几乎为零，其发生泄漏而不引起火灾爆炸事故时，主要影响是挥发的有机废气（TVOC）对环境空气的影响，由于单桶油漆量相对较小，其泄漏挥发的有机污染物经换气系统排放，不会对厂区大气环境造成污染。</w:t>
            </w:r>
          </w:p>
          <w:p>
            <w:pPr>
              <w:spacing w:line="360" w:lineRule="auto"/>
              <w:ind w:firstLine="480" w:firstLineChars="200"/>
              <w:rPr>
                <w:bCs/>
                <w:color w:val="0000FF"/>
                <w:sz w:val="24"/>
                <w:szCs w:val="32"/>
              </w:rPr>
            </w:pPr>
            <w:r>
              <w:rPr>
                <w:rFonts w:hint="eastAsia"/>
                <w:bCs/>
                <w:color w:val="0000FF"/>
                <w:sz w:val="24"/>
                <w:szCs w:val="32"/>
              </w:rPr>
              <w:t>③喷漆车间中毒事故分析</w:t>
            </w:r>
          </w:p>
          <w:p>
            <w:pPr>
              <w:spacing w:line="360" w:lineRule="auto"/>
              <w:ind w:firstLine="480" w:firstLineChars="200"/>
              <w:rPr>
                <w:bCs/>
                <w:color w:val="0000FF"/>
                <w:sz w:val="24"/>
                <w:szCs w:val="32"/>
              </w:rPr>
            </w:pPr>
            <w:r>
              <w:rPr>
                <w:rFonts w:hint="eastAsia"/>
                <w:bCs/>
                <w:color w:val="0000FF"/>
                <w:sz w:val="24"/>
                <w:szCs w:val="32"/>
              </w:rPr>
              <w:t>本项目所用油漆中含有的有机溶剂常含有毒性，有机溶剂由呼吸或皮肤进入到人体内，与人体发生化学作用或物理作用，对人体健康产生危害。根据其化学结构选择性蓄积原理，有机溶剂蓄存在人体内脏器官、血液、神经骨骼组织中引起神经、造血等机能障碍，有的直接刺激皮肤、刺激眼、鼻等粘膜引起疾病。当吸入量多时引起麻醉，失去知觉甚至死亡。</w:t>
            </w:r>
          </w:p>
          <w:p>
            <w:pPr>
              <w:spacing w:line="360" w:lineRule="auto"/>
              <w:ind w:firstLine="480" w:firstLineChars="200"/>
              <w:rPr>
                <w:bCs/>
                <w:color w:val="0000FF"/>
                <w:sz w:val="24"/>
                <w:szCs w:val="32"/>
              </w:rPr>
            </w:pPr>
            <w:r>
              <w:rPr>
                <w:rFonts w:hint="eastAsia"/>
                <w:bCs/>
                <w:color w:val="0000FF"/>
                <w:sz w:val="24"/>
                <w:szCs w:val="32"/>
              </w:rPr>
              <w:t>④废气事故排放分析</w:t>
            </w:r>
          </w:p>
          <w:p>
            <w:pPr>
              <w:spacing w:line="360" w:lineRule="auto"/>
              <w:ind w:firstLine="480" w:firstLineChars="200"/>
              <w:rPr>
                <w:bCs/>
                <w:color w:val="0000FF"/>
                <w:sz w:val="24"/>
                <w:szCs w:val="32"/>
              </w:rPr>
            </w:pPr>
            <w:r>
              <w:rPr>
                <w:rFonts w:hint="eastAsia"/>
                <w:bCs/>
                <w:color w:val="0000FF"/>
                <w:sz w:val="24"/>
                <w:szCs w:val="32"/>
              </w:rPr>
              <w:t>本项目废气主要为木质粉尘、喷漆废气等，造成废气处理设施器故障的原因有停电、风机故障等，一旦出现风机损坏就会发生废气“短路”，未经过处理的废气进入大气中，影响区域环境大气质量。同时，喷漆废气处理装置的多级活性炭未及时更换，会引发处理效率下降，加重区域的大气污染程度。</w:t>
            </w:r>
          </w:p>
          <w:p>
            <w:pPr>
              <w:spacing w:line="360" w:lineRule="auto"/>
              <w:ind w:firstLine="480" w:firstLineChars="200"/>
              <w:rPr>
                <w:bCs/>
                <w:color w:val="0000FF"/>
                <w:sz w:val="24"/>
                <w:szCs w:val="32"/>
              </w:rPr>
            </w:pPr>
            <w:r>
              <w:rPr>
                <w:rFonts w:hint="eastAsia"/>
                <w:bCs/>
                <w:color w:val="0000FF"/>
                <w:sz w:val="24"/>
                <w:szCs w:val="32"/>
              </w:rPr>
              <w:t>⑤危废库危废泄漏事故分析</w:t>
            </w:r>
          </w:p>
          <w:p>
            <w:pPr>
              <w:spacing w:line="360" w:lineRule="auto"/>
              <w:ind w:firstLine="480" w:firstLineChars="200"/>
              <w:rPr>
                <w:bCs/>
                <w:color w:val="0000FF"/>
                <w:sz w:val="24"/>
                <w:szCs w:val="32"/>
              </w:rPr>
            </w:pPr>
            <w:r>
              <w:rPr>
                <w:rFonts w:hint="eastAsia"/>
                <w:bCs/>
                <w:color w:val="0000FF"/>
                <w:sz w:val="24"/>
                <w:szCs w:val="32"/>
              </w:rPr>
              <w:t>项目危废若未及时处置，储存不当或者容器损坏、破裂，可能造成危废泄漏等事故。</w:t>
            </w:r>
          </w:p>
          <w:p>
            <w:pPr>
              <w:spacing w:line="360" w:lineRule="auto"/>
              <w:ind w:firstLine="480" w:firstLineChars="200"/>
              <w:rPr>
                <w:bCs/>
                <w:color w:val="0000FF"/>
                <w:sz w:val="24"/>
                <w:szCs w:val="32"/>
              </w:rPr>
            </w:pPr>
            <w:r>
              <w:rPr>
                <w:rFonts w:hint="eastAsia"/>
                <w:bCs/>
                <w:color w:val="0000FF"/>
                <w:sz w:val="24"/>
                <w:szCs w:val="32"/>
              </w:rPr>
              <w:t>（7）环境风险防范措施</w:t>
            </w:r>
          </w:p>
          <w:p>
            <w:pPr>
              <w:spacing w:line="360" w:lineRule="auto"/>
              <w:ind w:firstLine="480" w:firstLineChars="200"/>
              <w:rPr>
                <w:bCs/>
                <w:color w:val="0000FF"/>
                <w:sz w:val="24"/>
                <w:szCs w:val="32"/>
              </w:rPr>
            </w:pPr>
            <w:r>
              <w:rPr>
                <w:rFonts w:hint="eastAsia"/>
                <w:bCs/>
                <w:color w:val="0000FF"/>
                <w:sz w:val="24"/>
                <w:szCs w:val="32"/>
              </w:rPr>
              <w:t>为使环境风险减小到最低限度，必须加强劳动安全卫生管理，制定完备、有效的安全防范措施，尽可能降低该项目环境风险事故发生的概率。</w:t>
            </w:r>
          </w:p>
          <w:p>
            <w:pPr>
              <w:spacing w:line="360" w:lineRule="auto"/>
              <w:ind w:firstLine="480" w:firstLineChars="200"/>
              <w:rPr>
                <w:bCs/>
                <w:color w:val="0000FF"/>
                <w:sz w:val="24"/>
                <w:szCs w:val="32"/>
              </w:rPr>
            </w:pPr>
            <w:r>
              <w:rPr>
                <w:rFonts w:hint="eastAsia"/>
                <w:bCs/>
                <w:color w:val="0000FF"/>
                <w:sz w:val="24"/>
                <w:szCs w:val="32"/>
              </w:rPr>
              <w:t>①油漆的使用安全防范措施</w:t>
            </w:r>
          </w:p>
          <w:p>
            <w:pPr>
              <w:spacing w:line="360" w:lineRule="auto"/>
              <w:ind w:firstLine="480" w:firstLineChars="200"/>
              <w:rPr>
                <w:bCs/>
                <w:color w:val="0000FF"/>
                <w:sz w:val="24"/>
                <w:szCs w:val="32"/>
              </w:rPr>
            </w:pPr>
            <w:r>
              <w:rPr>
                <w:rFonts w:hint="eastAsia"/>
                <w:bCs/>
                <w:color w:val="0000FF"/>
                <w:sz w:val="24"/>
                <w:szCs w:val="32"/>
              </w:rPr>
              <w:t>油漆为易燃品，其燃烧后将对环境空气和周围的人群造成一定的污染和危害，因此，本评价仅对油漆的使用安全防范措施提出要求：</w:t>
            </w:r>
          </w:p>
          <w:p>
            <w:pPr>
              <w:numPr>
                <w:ilvl w:val="0"/>
                <w:numId w:val="7"/>
              </w:numPr>
              <w:spacing w:line="360" w:lineRule="auto"/>
              <w:ind w:firstLine="480" w:firstLineChars="200"/>
              <w:rPr>
                <w:rFonts w:hint="eastAsia"/>
                <w:bCs/>
                <w:color w:val="0000FF"/>
                <w:sz w:val="24"/>
                <w:szCs w:val="32"/>
              </w:rPr>
            </w:pPr>
            <w:r>
              <w:rPr>
                <w:rFonts w:hint="eastAsia"/>
                <w:bCs/>
                <w:color w:val="0000FF"/>
                <w:sz w:val="24"/>
                <w:szCs w:val="32"/>
              </w:rPr>
              <w:t>油漆堆放点要求设置围堰，围堰作好防渗、防漏处理，围堰的大小应大于油漆的最大储存量，在存放油漆的仓库内设置引流沟至事故池，以防油漆发生泄漏污染地表水；</w:t>
            </w:r>
          </w:p>
          <w:p>
            <w:pPr>
              <w:numPr>
                <w:ilvl w:val="0"/>
                <w:numId w:val="0"/>
              </w:numPr>
              <w:spacing w:line="360" w:lineRule="auto"/>
              <w:ind w:firstLine="480" w:firstLineChars="200"/>
              <w:rPr>
                <w:bCs/>
                <w:color w:val="0000FF"/>
                <w:sz w:val="24"/>
                <w:szCs w:val="32"/>
              </w:rPr>
            </w:pPr>
            <w:r>
              <w:rPr>
                <w:rFonts w:hint="eastAsia"/>
                <w:bCs/>
                <w:color w:val="0000FF"/>
                <w:sz w:val="24"/>
                <w:szCs w:val="32"/>
              </w:rPr>
              <w:t>B、油漆堆放点设置安全警示标示，禁止明火；</w:t>
            </w:r>
          </w:p>
          <w:p>
            <w:pPr>
              <w:spacing w:line="360" w:lineRule="auto"/>
              <w:ind w:firstLine="480" w:firstLineChars="200"/>
              <w:rPr>
                <w:bCs/>
                <w:color w:val="0000FF"/>
                <w:sz w:val="24"/>
                <w:szCs w:val="32"/>
              </w:rPr>
            </w:pPr>
            <w:r>
              <w:rPr>
                <w:rFonts w:hint="eastAsia"/>
                <w:bCs/>
                <w:color w:val="0000FF"/>
                <w:sz w:val="24"/>
                <w:szCs w:val="32"/>
              </w:rPr>
              <w:t>C、厂区设置风向标，一旦发生油漆燃烧，可根据风向标判断疏散下风向人群；</w:t>
            </w:r>
          </w:p>
          <w:p>
            <w:pPr>
              <w:spacing w:line="360" w:lineRule="auto"/>
              <w:ind w:firstLine="480" w:firstLineChars="200"/>
              <w:rPr>
                <w:bCs/>
                <w:color w:val="0000FF"/>
                <w:sz w:val="24"/>
                <w:szCs w:val="32"/>
              </w:rPr>
            </w:pPr>
            <w:r>
              <w:rPr>
                <w:rFonts w:hint="eastAsia"/>
                <w:bCs/>
                <w:color w:val="0000FF"/>
                <w:sz w:val="24"/>
                <w:szCs w:val="32"/>
              </w:rPr>
              <w:t>D、厂区雨、污总排口分别设置紧急闸栏，一旦发生油漆燃烧事故，立即放下闸栏，避免消防灭火水流入厂外地表水中而造成二次污染；</w:t>
            </w:r>
          </w:p>
          <w:p>
            <w:pPr>
              <w:spacing w:line="360" w:lineRule="auto"/>
              <w:ind w:firstLine="480" w:firstLineChars="200"/>
              <w:rPr>
                <w:bCs/>
                <w:color w:val="0000FF"/>
                <w:sz w:val="24"/>
                <w:szCs w:val="32"/>
              </w:rPr>
            </w:pPr>
            <w:r>
              <w:rPr>
                <w:rFonts w:hint="eastAsia"/>
                <w:bCs/>
                <w:color w:val="0000FF"/>
                <w:sz w:val="24"/>
                <w:szCs w:val="32"/>
              </w:rPr>
              <w:t>E、油漆堆放点的储存量不易过大；</w:t>
            </w:r>
          </w:p>
          <w:p>
            <w:pPr>
              <w:spacing w:line="360" w:lineRule="auto"/>
              <w:ind w:firstLine="480" w:firstLineChars="200"/>
              <w:rPr>
                <w:bCs/>
                <w:color w:val="0000FF"/>
                <w:sz w:val="24"/>
                <w:szCs w:val="32"/>
              </w:rPr>
            </w:pPr>
            <w:r>
              <w:rPr>
                <w:rFonts w:hint="eastAsia"/>
                <w:bCs/>
                <w:color w:val="0000FF"/>
                <w:sz w:val="24"/>
                <w:szCs w:val="32"/>
              </w:rPr>
              <w:t>F、加强日常管理，建立应急救援预案，提供给有关安全、环保等部门进行备案；</w:t>
            </w:r>
          </w:p>
          <w:p>
            <w:pPr>
              <w:spacing w:line="360" w:lineRule="auto"/>
              <w:ind w:firstLine="480" w:firstLineChars="200"/>
              <w:rPr>
                <w:bCs/>
                <w:color w:val="0000FF"/>
                <w:sz w:val="24"/>
                <w:szCs w:val="32"/>
              </w:rPr>
            </w:pPr>
            <w:r>
              <w:rPr>
                <w:rFonts w:hint="eastAsia"/>
                <w:bCs/>
                <w:color w:val="0000FF"/>
                <w:sz w:val="24"/>
                <w:szCs w:val="32"/>
              </w:rPr>
              <w:t>G、厂区、车间和仓库区电器必须采用防爆型，并采取相应的防火措施；</w:t>
            </w:r>
          </w:p>
          <w:p>
            <w:pPr>
              <w:spacing w:line="360" w:lineRule="auto"/>
              <w:ind w:firstLine="480" w:firstLineChars="200"/>
              <w:rPr>
                <w:bCs/>
                <w:color w:val="0000FF"/>
                <w:sz w:val="24"/>
                <w:szCs w:val="32"/>
              </w:rPr>
            </w:pPr>
            <w:r>
              <w:rPr>
                <w:rFonts w:hint="eastAsia"/>
                <w:bCs/>
                <w:color w:val="0000FF"/>
                <w:sz w:val="24"/>
                <w:szCs w:val="32"/>
              </w:rPr>
              <w:t>H、地面防渗漏措施及要求：基础必须防渗，防渗楼至少为1m厚粘土楼（防渗系数≤10</w:t>
            </w:r>
            <w:r>
              <w:rPr>
                <w:rFonts w:hint="eastAsia"/>
                <w:bCs/>
                <w:color w:val="0000FF"/>
                <w:sz w:val="24"/>
                <w:szCs w:val="32"/>
                <w:vertAlign w:val="superscript"/>
              </w:rPr>
              <w:t>-7</w:t>
            </w:r>
            <w:r>
              <w:rPr>
                <w:rFonts w:hint="eastAsia"/>
                <w:bCs/>
                <w:color w:val="0000FF"/>
                <w:sz w:val="24"/>
                <w:szCs w:val="32"/>
              </w:rPr>
              <w:t>cm/s），或2mm厚高密度聚乙烯，或至少2mm厚的其他人工材料，渗透系数≤10</w:t>
            </w:r>
            <w:r>
              <w:rPr>
                <w:rFonts w:hint="eastAsia"/>
                <w:bCs/>
                <w:color w:val="0000FF"/>
                <w:sz w:val="24"/>
                <w:szCs w:val="32"/>
                <w:vertAlign w:val="superscript"/>
              </w:rPr>
              <w:t>-10</w:t>
            </w:r>
            <w:r>
              <w:rPr>
                <w:rFonts w:hint="eastAsia"/>
                <w:bCs/>
                <w:color w:val="0000FF"/>
                <w:sz w:val="24"/>
                <w:szCs w:val="32"/>
              </w:rPr>
              <w:t>cm/s。</w:t>
            </w:r>
          </w:p>
          <w:p>
            <w:pPr>
              <w:spacing w:line="360" w:lineRule="auto"/>
              <w:ind w:firstLine="480" w:firstLineChars="200"/>
              <w:rPr>
                <w:bCs/>
                <w:color w:val="0000FF"/>
                <w:sz w:val="24"/>
                <w:szCs w:val="32"/>
              </w:rPr>
            </w:pPr>
            <w:r>
              <w:rPr>
                <w:rFonts w:hint="eastAsia"/>
                <w:bCs/>
                <w:color w:val="0000FF"/>
                <w:sz w:val="24"/>
                <w:szCs w:val="32"/>
              </w:rPr>
              <w:t>②生产过程风险防范措施</w:t>
            </w:r>
          </w:p>
          <w:p>
            <w:pPr>
              <w:spacing w:line="360" w:lineRule="auto"/>
              <w:ind w:firstLine="480" w:firstLineChars="200"/>
              <w:rPr>
                <w:bCs/>
                <w:color w:val="0000FF"/>
                <w:sz w:val="24"/>
                <w:szCs w:val="32"/>
              </w:rPr>
            </w:pPr>
            <w:r>
              <w:rPr>
                <w:rFonts w:hint="eastAsia"/>
                <w:bCs/>
                <w:color w:val="0000FF"/>
                <w:sz w:val="24"/>
                <w:szCs w:val="32"/>
              </w:rPr>
              <w:t>生产操作过程中，必须加强安全管理，提高事故防范措施。突发性污染事故特别是项目中的腐蚀性化学品的重大事故将对事故现场人员的生命和健康造成严重危害，此外还将造成直接或间接的巨大经济损失，以及造成社会不安定因素同时对生态环境也会造成严重的破坏。因此，做好突发性环境污染事故的预防提高对突发性污染事故的应急处理和处置能力，对企业具有重要的意义。</w:t>
            </w:r>
          </w:p>
          <w:p>
            <w:pPr>
              <w:spacing w:line="360" w:lineRule="auto"/>
              <w:ind w:firstLine="480" w:firstLineChars="200"/>
              <w:rPr>
                <w:bCs/>
                <w:color w:val="0000FF"/>
                <w:sz w:val="24"/>
                <w:szCs w:val="32"/>
              </w:rPr>
            </w:pPr>
            <w:r>
              <w:rPr>
                <w:rFonts w:hint="eastAsia"/>
                <w:bCs/>
                <w:color w:val="0000FF"/>
                <w:sz w:val="24"/>
                <w:szCs w:val="32"/>
              </w:rPr>
              <w:t>发生突发性污染事故的诱发因素很多，其中被认为重要的因素有以下几个方面：</w:t>
            </w:r>
          </w:p>
          <w:p>
            <w:pPr>
              <w:spacing w:line="360" w:lineRule="auto"/>
              <w:ind w:firstLine="480" w:firstLineChars="200"/>
              <w:rPr>
                <w:bCs/>
                <w:color w:val="0000FF"/>
                <w:sz w:val="24"/>
                <w:szCs w:val="32"/>
              </w:rPr>
            </w:pPr>
            <w:r>
              <w:rPr>
                <w:rFonts w:hint="eastAsia"/>
                <w:bCs/>
                <w:color w:val="0000FF"/>
                <w:sz w:val="24"/>
                <w:szCs w:val="32"/>
              </w:rPr>
              <w:t>A、设计上存在缺陷；B、设备质量差，或因无判废标准（或因不执行判废标准）而过度超时、超负荷运转；C、管理或指挥失误；D、违章操作。</w:t>
            </w:r>
          </w:p>
          <w:p>
            <w:pPr>
              <w:spacing w:line="360" w:lineRule="auto"/>
              <w:ind w:firstLine="480" w:firstLineChars="200"/>
              <w:rPr>
                <w:bCs/>
                <w:color w:val="0000FF"/>
                <w:sz w:val="24"/>
                <w:szCs w:val="32"/>
              </w:rPr>
            </w:pPr>
            <w:r>
              <w:rPr>
                <w:rFonts w:hint="eastAsia"/>
                <w:bCs/>
                <w:color w:val="0000FF"/>
                <w:sz w:val="24"/>
                <w:szCs w:val="32"/>
              </w:rPr>
              <w:t>因此，对突发性污染事故的防治对策，除科学合理的厂址选择外，还应从以上几点严格控制和管理，加强事故措施和事故应急处理的技能，懂得紧急救援的知识。“安全第一，预防为主”是减少事故发生、降低污染事故损害的主要保障。针对该项目特点，本评价建议在营运阶段应考虑下列安全防范措施，以避免事故的发生。</w:t>
            </w:r>
          </w:p>
          <w:p>
            <w:pPr>
              <w:spacing w:line="360" w:lineRule="auto"/>
              <w:ind w:firstLine="480" w:firstLineChars="200"/>
              <w:rPr>
                <w:bCs/>
                <w:color w:val="0000FF"/>
                <w:sz w:val="24"/>
                <w:szCs w:val="32"/>
              </w:rPr>
            </w:pPr>
            <w:r>
              <w:rPr>
                <w:rFonts w:hint="eastAsia"/>
                <w:bCs/>
                <w:color w:val="0000FF"/>
                <w:sz w:val="24"/>
                <w:szCs w:val="32"/>
              </w:rPr>
              <w:t>A、设计中严格执行国家、行业有关劳动安全卫生的法规和标准规范；</w:t>
            </w:r>
          </w:p>
          <w:p>
            <w:pPr>
              <w:spacing w:line="360" w:lineRule="auto"/>
              <w:ind w:firstLine="480" w:firstLineChars="200"/>
              <w:rPr>
                <w:bCs/>
                <w:color w:val="0000FF"/>
                <w:sz w:val="24"/>
                <w:szCs w:val="32"/>
              </w:rPr>
            </w:pPr>
            <w:r>
              <w:rPr>
                <w:rFonts w:hint="eastAsia"/>
                <w:bCs/>
                <w:color w:val="0000FF"/>
                <w:sz w:val="24"/>
                <w:szCs w:val="32"/>
              </w:rPr>
              <w:t>B、厂房内设备布置严格执行国家有关防火防爆的规范、规定，设备之间保证有足够的安全距离，并按要求设计消防通道；</w:t>
            </w:r>
          </w:p>
          <w:p>
            <w:pPr>
              <w:spacing w:line="360" w:lineRule="auto"/>
              <w:ind w:firstLine="480" w:firstLineChars="200"/>
              <w:rPr>
                <w:bCs/>
                <w:color w:val="0000FF"/>
                <w:sz w:val="24"/>
                <w:szCs w:val="32"/>
              </w:rPr>
            </w:pPr>
            <w:r>
              <w:rPr>
                <w:rFonts w:hint="eastAsia"/>
                <w:bCs/>
                <w:color w:val="0000FF"/>
                <w:sz w:val="24"/>
                <w:szCs w:val="32"/>
              </w:rPr>
              <w:t>C、尽量采用技术先进和安全可靠的设备，并按国家有关规定在车间内设置必要的安全卫生设施；</w:t>
            </w:r>
          </w:p>
          <w:p>
            <w:pPr>
              <w:spacing w:line="360" w:lineRule="auto"/>
              <w:ind w:firstLine="480" w:firstLineChars="200"/>
              <w:rPr>
                <w:bCs/>
                <w:color w:val="0000FF"/>
                <w:sz w:val="24"/>
                <w:szCs w:val="32"/>
              </w:rPr>
            </w:pPr>
            <w:r>
              <w:rPr>
                <w:rFonts w:hint="eastAsia"/>
                <w:bCs/>
                <w:color w:val="0000FF"/>
                <w:sz w:val="24"/>
                <w:szCs w:val="32"/>
              </w:rPr>
              <w:t>D、设备、管道、管件等均采用可靠的密封技术，使储存和反应过程都在密闭的情况下进行，防止腐蚀性物料泄漏；</w:t>
            </w:r>
          </w:p>
          <w:p>
            <w:pPr>
              <w:spacing w:line="360" w:lineRule="auto"/>
              <w:ind w:firstLine="480" w:firstLineChars="200"/>
              <w:rPr>
                <w:bCs/>
                <w:color w:val="0000FF"/>
                <w:sz w:val="24"/>
                <w:szCs w:val="32"/>
              </w:rPr>
            </w:pPr>
            <w:r>
              <w:rPr>
                <w:rFonts w:hint="eastAsia"/>
                <w:bCs/>
                <w:color w:val="0000FF"/>
                <w:sz w:val="24"/>
                <w:szCs w:val="32"/>
              </w:rPr>
              <w:t>E、仓库必须采取妥善的防雷措施，以防止直接雷击和雷电感应。为防止直接雷击，一般在库房周围须装设避雷针，仓库各部分必须完全位于避雷针的保护范围以内；</w:t>
            </w:r>
          </w:p>
          <w:p>
            <w:pPr>
              <w:spacing w:line="360" w:lineRule="auto"/>
              <w:ind w:firstLine="480" w:firstLineChars="200"/>
              <w:rPr>
                <w:bCs/>
                <w:color w:val="0000FF"/>
                <w:sz w:val="24"/>
                <w:szCs w:val="32"/>
              </w:rPr>
            </w:pPr>
            <w:r>
              <w:rPr>
                <w:rFonts w:hint="eastAsia"/>
                <w:bCs/>
                <w:color w:val="0000FF"/>
                <w:sz w:val="24"/>
                <w:szCs w:val="32"/>
              </w:rPr>
              <w:t>F、按区域分类有关规范在厂房内划分危险区。危险区内安装的电器设备应按照相应的区域等级采用防爆级，所有的电气设备均应接地；</w:t>
            </w:r>
          </w:p>
          <w:p>
            <w:pPr>
              <w:spacing w:line="360" w:lineRule="auto"/>
              <w:ind w:firstLine="480" w:firstLineChars="200"/>
              <w:rPr>
                <w:bCs/>
                <w:color w:val="0000FF"/>
                <w:sz w:val="24"/>
                <w:szCs w:val="32"/>
              </w:rPr>
            </w:pPr>
            <w:r>
              <w:rPr>
                <w:rFonts w:hint="eastAsia"/>
                <w:bCs/>
                <w:color w:val="0000FF"/>
                <w:sz w:val="24"/>
                <w:szCs w:val="32"/>
              </w:rPr>
              <w:t>G、在厂房内可能有气体泄漏或聚集危险的关键地点装设检测器。在有可能着火的设施附近，设置感温感烟火灾报警器，报警信号送到控制室和消防部门；</w:t>
            </w:r>
          </w:p>
          <w:p>
            <w:pPr>
              <w:spacing w:line="360" w:lineRule="auto"/>
              <w:ind w:firstLine="480" w:firstLineChars="200"/>
              <w:rPr>
                <w:bCs/>
                <w:color w:val="0000FF"/>
                <w:sz w:val="24"/>
                <w:szCs w:val="32"/>
              </w:rPr>
            </w:pPr>
            <w:r>
              <w:rPr>
                <w:rFonts w:hint="eastAsia"/>
                <w:bCs/>
                <w:color w:val="0000FF"/>
                <w:sz w:val="24"/>
                <w:szCs w:val="32"/>
              </w:rPr>
              <w:t>H、对爆炸、火灾危害场所内可能产生静电危害的物体采取工业静电防范处理措施；</w:t>
            </w:r>
          </w:p>
          <w:p>
            <w:pPr>
              <w:spacing w:line="360" w:lineRule="auto"/>
              <w:ind w:firstLine="480" w:firstLineChars="200"/>
              <w:rPr>
                <w:bCs/>
                <w:color w:val="0000FF"/>
                <w:sz w:val="24"/>
                <w:szCs w:val="32"/>
              </w:rPr>
            </w:pPr>
            <w:r>
              <w:rPr>
                <w:rFonts w:hint="eastAsia"/>
                <w:bCs/>
                <w:color w:val="0000FF"/>
                <w:sz w:val="24"/>
                <w:szCs w:val="32"/>
              </w:rPr>
              <w:t>I、应设有火警专线电话，以确保紧急情况下通讯畅通；</w:t>
            </w:r>
          </w:p>
          <w:p>
            <w:pPr>
              <w:spacing w:line="360" w:lineRule="auto"/>
              <w:ind w:firstLine="480" w:firstLineChars="200"/>
              <w:rPr>
                <w:bCs/>
                <w:color w:val="0000FF"/>
                <w:sz w:val="24"/>
                <w:szCs w:val="32"/>
              </w:rPr>
            </w:pPr>
            <w:r>
              <w:rPr>
                <w:rFonts w:hint="eastAsia"/>
                <w:bCs/>
                <w:color w:val="0000FF"/>
                <w:sz w:val="24"/>
                <w:szCs w:val="32"/>
              </w:rPr>
              <w:t>J、在生产岗位设置事故柜和急救器材、救生器防护面罩、护目镜、胶皮手套、耳塞等防护、急救用具、用品；</w:t>
            </w:r>
          </w:p>
          <w:p>
            <w:pPr>
              <w:spacing w:line="360" w:lineRule="auto"/>
              <w:ind w:firstLine="480" w:firstLineChars="200"/>
              <w:rPr>
                <w:bCs/>
                <w:color w:val="0000FF"/>
                <w:sz w:val="24"/>
                <w:szCs w:val="32"/>
              </w:rPr>
            </w:pPr>
            <w:r>
              <w:rPr>
                <w:rFonts w:hint="eastAsia"/>
                <w:bCs/>
                <w:color w:val="0000FF"/>
                <w:sz w:val="24"/>
                <w:szCs w:val="32"/>
              </w:rPr>
              <w:t>K、设备应按工艺流程做好标号，并在部分易发事故的设备、岗位按标准加涂安全色，设置安全标签。对原有设备、管道重新检修、防腐，杜绝跑、冒、滴、漏；</w:t>
            </w:r>
          </w:p>
          <w:p>
            <w:pPr>
              <w:spacing w:line="360" w:lineRule="auto"/>
              <w:ind w:firstLine="480" w:firstLineChars="200"/>
              <w:rPr>
                <w:bCs/>
                <w:color w:val="0000FF"/>
                <w:sz w:val="24"/>
                <w:szCs w:val="32"/>
              </w:rPr>
            </w:pPr>
            <w:r>
              <w:rPr>
                <w:rFonts w:hint="eastAsia"/>
                <w:bCs/>
                <w:color w:val="0000FF"/>
                <w:sz w:val="24"/>
                <w:szCs w:val="32"/>
              </w:rPr>
              <w:t>L、生产车间设置安全标志和应急疏散标志，生产岗位加贴物料周知卡和岗位操作规程；</w:t>
            </w:r>
          </w:p>
          <w:p>
            <w:pPr>
              <w:spacing w:line="360" w:lineRule="auto"/>
              <w:ind w:firstLine="480" w:firstLineChars="200"/>
              <w:rPr>
                <w:bCs/>
                <w:color w:val="0000FF"/>
                <w:sz w:val="24"/>
                <w:szCs w:val="32"/>
              </w:rPr>
            </w:pPr>
            <w:r>
              <w:rPr>
                <w:rFonts w:hint="eastAsia"/>
                <w:bCs/>
                <w:color w:val="0000FF"/>
                <w:sz w:val="24"/>
                <w:szCs w:val="32"/>
              </w:rPr>
              <w:t>M、仓库内物料摆放应整齐、条理、分类储放，性质相抵触、灭火方法不同的物料不能同库存放。</w:t>
            </w:r>
          </w:p>
          <w:p>
            <w:pPr>
              <w:spacing w:line="360" w:lineRule="auto"/>
              <w:ind w:firstLine="480" w:firstLineChars="200"/>
              <w:rPr>
                <w:bCs/>
                <w:color w:val="0000FF"/>
                <w:sz w:val="24"/>
                <w:szCs w:val="32"/>
              </w:rPr>
            </w:pPr>
            <w:r>
              <w:rPr>
                <w:rFonts w:hint="eastAsia"/>
                <w:bCs/>
                <w:color w:val="0000FF"/>
                <w:sz w:val="24"/>
                <w:szCs w:val="32"/>
              </w:rPr>
              <w:t>企业领导应该提高对突发性事故的警觉和认识，作到警钟常鸣。建议企业建立安全与环保科，并由企业领导直接领导，全权负责。主要负责、检查和监督全厂的安全生产和环保设施的正常运转情况。对安全和环保应建立严格的防范措施，制定严格的管理规章制度，列出潜在危险的过程、设备等清单，严格执行设备检验和报废制度。</w:t>
            </w:r>
          </w:p>
          <w:p>
            <w:pPr>
              <w:spacing w:line="360" w:lineRule="auto"/>
              <w:ind w:firstLine="480" w:firstLineChars="200"/>
              <w:rPr>
                <w:bCs/>
                <w:color w:val="0000FF"/>
                <w:sz w:val="24"/>
                <w:szCs w:val="32"/>
              </w:rPr>
            </w:pPr>
            <w:r>
              <w:rPr>
                <w:rFonts w:hint="eastAsia"/>
                <w:bCs/>
                <w:color w:val="0000FF"/>
                <w:sz w:val="24"/>
                <w:szCs w:val="32"/>
              </w:rPr>
              <w:t>职工安全生产的经验不足，一定程度上会增加事故发生的概率，因此企业对生产操作工人必须进行上岗前专业技术培训，严格管理，提高职工安全环保意识。</w:t>
            </w:r>
          </w:p>
          <w:p>
            <w:pPr>
              <w:spacing w:line="360" w:lineRule="auto"/>
              <w:ind w:firstLine="480" w:firstLineChars="200"/>
              <w:rPr>
                <w:bCs/>
                <w:color w:val="0000FF"/>
                <w:sz w:val="24"/>
                <w:szCs w:val="32"/>
              </w:rPr>
            </w:pPr>
            <w:r>
              <w:rPr>
                <w:rFonts w:hint="eastAsia"/>
                <w:bCs/>
                <w:color w:val="0000FF"/>
                <w:sz w:val="24"/>
                <w:szCs w:val="32"/>
              </w:rPr>
              <w:t>企业对具有高危害设备设置保险措施，对危险车间可设置消防装置等必备设施，并辅以适当的通讯工具，定期进行安全环保宣传教育以及紧急事故模拟演习，提高事故应变能力。</w:t>
            </w:r>
          </w:p>
          <w:p>
            <w:pPr>
              <w:spacing w:line="360" w:lineRule="auto"/>
              <w:ind w:firstLine="480" w:firstLineChars="200"/>
              <w:rPr>
                <w:bCs/>
                <w:color w:val="0000FF"/>
                <w:sz w:val="24"/>
                <w:szCs w:val="32"/>
              </w:rPr>
            </w:pPr>
            <w:r>
              <w:rPr>
                <w:rFonts w:hint="eastAsia"/>
                <w:bCs/>
                <w:color w:val="0000FF"/>
                <w:sz w:val="24"/>
                <w:szCs w:val="32"/>
              </w:rPr>
              <w:t>③存贮过程中的安全防范措施</w:t>
            </w:r>
          </w:p>
          <w:p>
            <w:pPr>
              <w:spacing w:line="360" w:lineRule="auto"/>
              <w:ind w:firstLine="480" w:firstLineChars="200"/>
              <w:rPr>
                <w:bCs/>
                <w:color w:val="0000FF"/>
                <w:sz w:val="24"/>
                <w:szCs w:val="32"/>
              </w:rPr>
            </w:pPr>
            <w:r>
              <w:rPr>
                <w:rFonts w:hint="eastAsia"/>
                <w:bCs/>
                <w:color w:val="0000FF"/>
                <w:sz w:val="24"/>
                <w:szCs w:val="32"/>
              </w:rPr>
              <w:t>A、全面实施《危险化学品安全管理条例》及《实施细则》，上述危险化学品的贮运、使用均必须在劳动安全监督、公安、消防等有关部门办理相关手续，项目竣工时必须通过劳动安全监督、公安、消防部门的专项竣工验收才能投产；</w:t>
            </w:r>
          </w:p>
          <w:p>
            <w:pPr>
              <w:spacing w:line="360" w:lineRule="auto"/>
              <w:ind w:firstLine="480" w:firstLineChars="200"/>
              <w:rPr>
                <w:bCs/>
                <w:color w:val="0000FF"/>
                <w:sz w:val="24"/>
                <w:szCs w:val="32"/>
              </w:rPr>
            </w:pPr>
            <w:r>
              <w:rPr>
                <w:rFonts w:hint="eastAsia"/>
                <w:bCs/>
                <w:color w:val="0000FF"/>
                <w:sz w:val="24"/>
                <w:szCs w:val="32"/>
              </w:rPr>
              <w:t>B、危险化学品必须按《常用危险化学品的分类及标志》（GB13690-92）中规定进行分类，并掌握其危害性，以便按规范采取相应防范措施；</w:t>
            </w:r>
          </w:p>
          <w:p>
            <w:pPr>
              <w:spacing w:line="360" w:lineRule="auto"/>
              <w:ind w:firstLine="480" w:firstLineChars="200"/>
              <w:rPr>
                <w:bCs/>
                <w:color w:val="0000FF"/>
                <w:sz w:val="24"/>
                <w:szCs w:val="32"/>
              </w:rPr>
            </w:pPr>
            <w:r>
              <w:rPr>
                <w:rFonts w:hint="eastAsia"/>
                <w:bCs/>
                <w:color w:val="0000FF"/>
                <w:sz w:val="24"/>
                <w:szCs w:val="32"/>
              </w:rPr>
              <w:t>C、油漆的贮运应采用专门储运设备；运输工具必须设立标志；贮运均按国家有关规范进行；</w:t>
            </w:r>
          </w:p>
          <w:p>
            <w:pPr>
              <w:spacing w:line="360" w:lineRule="auto"/>
              <w:ind w:firstLine="480" w:firstLineChars="200"/>
              <w:rPr>
                <w:bCs/>
                <w:color w:val="0000FF"/>
                <w:sz w:val="24"/>
                <w:szCs w:val="32"/>
              </w:rPr>
            </w:pPr>
            <w:r>
              <w:rPr>
                <w:rFonts w:hint="eastAsia"/>
                <w:bCs/>
                <w:color w:val="0000FF"/>
                <w:sz w:val="24"/>
                <w:szCs w:val="32"/>
              </w:rPr>
              <w:t>D、厂区安全防火装置内设消火栓，水泵接合器、灭火器，防水栓由给水管网直接供水，厂区和车间内显眼位置设立防火、防触电安全警示、标志。厂区、车间和仓库区电器必须采用防爆型，并采取相应的防火措施。仓库区根据危险品特性及仓库条件，必须配置相应的消防设备、设施和灭火药剂；</w:t>
            </w:r>
          </w:p>
          <w:p>
            <w:pPr>
              <w:spacing w:line="360" w:lineRule="auto"/>
              <w:ind w:firstLine="480" w:firstLineChars="200"/>
              <w:rPr>
                <w:bCs/>
                <w:color w:val="0000FF"/>
                <w:sz w:val="24"/>
                <w:szCs w:val="32"/>
              </w:rPr>
            </w:pPr>
            <w:r>
              <w:rPr>
                <w:rFonts w:hint="eastAsia"/>
                <w:bCs/>
                <w:color w:val="0000FF"/>
                <w:sz w:val="24"/>
                <w:szCs w:val="32"/>
              </w:rPr>
              <w:t>E、化学原料必须存在专用房间内。远离火种、热源。设备及仓库保证良好接地，杜绝静电火花的产生；相关建筑均必须安装避雷设备；</w:t>
            </w:r>
          </w:p>
          <w:p>
            <w:pPr>
              <w:spacing w:line="360" w:lineRule="auto"/>
              <w:ind w:firstLine="480" w:firstLineChars="200"/>
              <w:rPr>
                <w:bCs/>
                <w:color w:val="0000FF"/>
                <w:sz w:val="24"/>
                <w:szCs w:val="32"/>
              </w:rPr>
            </w:pPr>
            <w:r>
              <w:rPr>
                <w:rFonts w:hint="eastAsia"/>
                <w:bCs/>
                <w:color w:val="0000FF"/>
                <w:sz w:val="24"/>
                <w:szCs w:val="32"/>
              </w:rPr>
              <w:t>F、定期检查及维护消防器材、贮罐，及危险化学品输送的相关管道、管件及泵类；</w:t>
            </w:r>
          </w:p>
          <w:p>
            <w:pPr>
              <w:spacing w:line="360" w:lineRule="auto"/>
              <w:ind w:firstLine="480" w:firstLineChars="200"/>
              <w:rPr>
                <w:bCs/>
                <w:color w:val="0000FF"/>
                <w:sz w:val="24"/>
                <w:szCs w:val="32"/>
              </w:rPr>
            </w:pPr>
            <w:r>
              <w:rPr>
                <w:rFonts w:hint="eastAsia"/>
                <w:bCs/>
                <w:color w:val="0000FF"/>
                <w:sz w:val="24"/>
                <w:szCs w:val="32"/>
              </w:rPr>
              <w:t>G、危险品的储运用要防止跑、冒事故，运输工具及仓库必须有防静电及阻火装置，严格按有关规章制度进行装卸操作，不得违章作业。</w:t>
            </w:r>
          </w:p>
          <w:p>
            <w:pPr>
              <w:spacing w:line="360" w:lineRule="auto"/>
              <w:ind w:firstLine="480" w:firstLineChars="200"/>
              <w:rPr>
                <w:bCs/>
                <w:color w:val="0000FF"/>
                <w:sz w:val="24"/>
                <w:szCs w:val="32"/>
              </w:rPr>
            </w:pPr>
            <w:r>
              <w:rPr>
                <w:rFonts w:hint="eastAsia"/>
                <w:bCs/>
                <w:color w:val="0000FF"/>
                <w:sz w:val="24"/>
                <w:szCs w:val="32"/>
              </w:rPr>
              <w:t>④粉尘危害及火灾爆炸事故风险防范措施</w:t>
            </w:r>
          </w:p>
          <w:p>
            <w:pPr>
              <w:spacing w:line="360" w:lineRule="auto"/>
              <w:ind w:firstLine="480" w:firstLineChars="200"/>
              <w:rPr>
                <w:bCs/>
                <w:color w:val="0000FF"/>
                <w:sz w:val="24"/>
                <w:szCs w:val="32"/>
              </w:rPr>
            </w:pPr>
            <w:r>
              <w:rPr>
                <w:rFonts w:hint="eastAsia"/>
                <w:bCs/>
                <w:color w:val="0000FF"/>
                <w:sz w:val="24"/>
                <w:szCs w:val="32"/>
              </w:rPr>
              <w:t>粉尘危害的防范措施主要如下：</w:t>
            </w:r>
          </w:p>
          <w:p>
            <w:pPr>
              <w:spacing w:line="360" w:lineRule="auto"/>
              <w:ind w:firstLine="480" w:firstLineChars="200"/>
              <w:rPr>
                <w:bCs/>
                <w:color w:val="0000FF"/>
                <w:sz w:val="24"/>
                <w:szCs w:val="32"/>
              </w:rPr>
            </w:pPr>
            <w:r>
              <w:rPr>
                <w:rFonts w:hint="eastAsia"/>
                <w:bCs/>
                <w:color w:val="0000FF"/>
                <w:sz w:val="24"/>
                <w:szCs w:val="32"/>
              </w:rPr>
              <w:t>A、减少原料中含粉尘量，或以不含粉尘的材料代替；</w:t>
            </w:r>
          </w:p>
          <w:p>
            <w:pPr>
              <w:spacing w:line="360" w:lineRule="auto"/>
              <w:ind w:firstLine="480" w:firstLineChars="200"/>
              <w:rPr>
                <w:bCs/>
                <w:color w:val="0000FF"/>
                <w:sz w:val="24"/>
                <w:szCs w:val="32"/>
              </w:rPr>
            </w:pPr>
            <w:r>
              <w:rPr>
                <w:rFonts w:hint="eastAsia"/>
                <w:bCs/>
                <w:color w:val="0000FF"/>
                <w:sz w:val="24"/>
                <w:szCs w:val="32"/>
              </w:rPr>
              <w:t>B、生产机械化、连续化、自动化，以减少尘源。为密闭尘源采取通风除尘措施创造条件；</w:t>
            </w:r>
          </w:p>
          <w:p>
            <w:pPr>
              <w:spacing w:line="360" w:lineRule="auto"/>
              <w:ind w:firstLine="480" w:firstLineChars="200"/>
              <w:rPr>
                <w:bCs/>
                <w:color w:val="0000FF"/>
                <w:sz w:val="24"/>
                <w:szCs w:val="32"/>
              </w:rPr>
            </w:pPr>
            <w:r>
              <w:rPr>
                <w:rFonts w:hint="eastAsia"/>
                <w:bCs/>
                <w:color w:val="0000FF"/>
                <w:sz w:val="24"/>
                <w:szCs w:val="32"/>
              </w:rPr>
              <w:t>C、减轻体力劳动，减少粉尘飞扬；</w:t>
            </w:r>
          </w:p>
          <w:p>
            <w:pPr>
              <w:spacing w:line="360" w:lineRule="auto"/>
              <w:ind w:firstLine="480" w:firstLineChars="200"/>
              <w:rPr>
                <w:bCs/>
                <w:color w:val="0000FF"/>
                <w:sz w:val="24"/>
                <w:szCs w:val="32"/>
              </w:rPr>
            </w:pPr>
            <w:r>
              <w:rPr>
                <w:rFonts w:hint="eastAsia"/>
                <w:bCs/>
                <w:color w:val="0000FF"/>
                <w:sz w:val="24"/>
                <w:szCs w:val="32"/>
              </w:rPr>
              <w:t>D、减少工人与粉尘的接触时间；</w:t>
            </w:r>
          </w:p>
          <w:p>
            <w:pPr>
              <w:spacing w:line="360" w:lineRule="auto"/>
              <w:ind w:firstLine="480" w:firstLineChars="200"/>
              <w:rPr>
                <w:bCs/>
                <w:color w:val="0000FF"/>
                <w:sz w:val="24"/>
                <w:szCs w:val="32"/>
              </w:rPr>
            </w:pPr>
            <w:r>
              <w:rPr>
                <w:rFonts w:hint="eastAsia"/>
                <w:bCs/>
                <w:color w:val="0000FF"/>
                <w:sz w:val="24"/>
                <w:szCs w:val="32"/>
              </w:rPr>
              <w:t>E、定期清扫及喷洒水，可防止粉尘飞扬，降低环境粉尘浓度；</w:t>
            </w:r>
          </w:p>
          <w:p>
            <w:pPr>
              <w:spacing w:line="360" w:lineRule="auto"/>
              <w:ind w:firstLine="480" w:firstLineChars="200"/>
              <w:rPr>
                <w:bCs/>
                <w:color w:val="0000FF"/>
                <w:sz w:val="24"/>
                <w:szCs w:val="32"/>
              </w:rPr>
            </w:pPr>
            <w:r>
              <w:rPr>
                <w:rFonts w:hint="eastAsia"/>
                <w:bCs/>
                <w:color w:val="0000FF"/>
                <w:sz w:val="24"/>
                <w:szCs w:val="32"/>
              </w:rPr>
              <w:t>F、加强通风及抽风措施，在密闭、半密闭发尘源的基础上，采用局部抽出式机械通风，将工作面的含尘空气抽出，并可同时采用局部送入式机械通风；</w:t>
            </w:r>
          </w:p>
          <w:p>
            <w:pPr>
              <w:spacing w:line="360" w:lineRule="auto"/>
              <w:ind w:firstLine="480" w:firstLineChars="200"/>
              <w:rPr>
                <w:bCs/>
                <w:color w:val="0000FF"/>
                <w:sz w:val="24"/>
                <w:szCs w:val="32"/>
              </w:rPr>
            </w:pPr>
            <w:r>
              <w:rPr>
                <w:rFonts w:hint="eastAsia"/>
                <w:bCs/>
                <w:color w:val="0000FF"/>
                <w:sz w:val="24"/>
                <w:szCs w:val="32"/>
              </w:rPr>
              <w:t>G、将发尘源密闭，对产生粉尘的设备，尽可能在通风罩中密闭，并与排风结合，经除尘处理后再排入大气；</w:t>
            </w:r>
          </w:p>
          <w:p>
            <w:pPr>
              <w:spacing w:line="360" w:lineRule="auto"/>
              <w:ind w:firstLine="480" w:firstLineChars="200"/>
              <w:rPr>
                <w:bCs/>
                <w:color w:val="0000FF"/>
                <w:sz w:val="24"/>
                <w:szCs w:val="32"/>
              </w:rPr>
            </w:pPr>
            <w:r>
              <w:rPr>
                <w:rFonts w:hint="eastAsia"/>
                <w:bCs/>
                <w:color w:val="0000FF"/>
                <w:sz w:val="24"/>
                <w:szCs w:val="32"/>
              </w:rPr>
              <w:t>H、加强个体防护，在技术措施未能达到的地方必不可少。如佩戴防尘口罩、防尘安全帽、隔绝式压风呼吸器、防尘服，使用护肤霜和皮肤清洗液；不在工作场所进食吸烟，注意个人卫生；回家前将工作服换下彻底洗净。吃食物前一定先洗干净手；</w:t>
            </w:r>
          </w:p>
          <w:p>
            <w:pPr>
              <w:spacing w:line="360" w:lineRule="auto"/>
              <w:ind w:firstLine="480" w:firstLineChars="200"/>
              <w:rPr>
                <w:bCs/>
                <w:color w:val="0000FF"/>
                <w:sz w:val="24"/>
                <w:szCs w:val="32"/>
              </w:rPr>
            </w:pPr>
            <w:r>
              <w:rPr>
                <w:rFonts w:hint="eastAsia"/>
                <w:bCs/>
                <w:color w:val="0000FF"/>
                <w:sz w:val="24"/>
                <w:szCs w:val="32"/>
              </w:rPr>
              <w:t>I、经常性地维修和管理工作，严防粉尘积聚，不定时的清除作业场所产生的粉尘；</w:t>
            </w:r>
          </w:p>
          <w:p>
            <w:pPr>
              <w:spacing w:line="360" w:lineRule="auto"/>
              <w:ind w:firstLine="480" w:firstLineChars="200"/>
              <w:rPr>
                <w:bCs/>
                <w:color w:val="0000FF"/>
                <w:sz w:val="24"/>
                <w:szCs w:val="32"/>
              </w:rPr>
            </w:pPr>
            <w:r>
              <w:rPr>
                <w:rFonts w:hint="eastAsia"/>
                <w:bCs/>
                <w:color w:val="0000FF"/>
                <w:sz w:val="24"/>
                <w:szCs w:val="32"/>
              </w:rPr>
              <w:t>J、加强粉尘危害的宣传教育，严格按照安全管理制度、操作规程作业；</w:t>
            </w:r>
          </w:p>
          <w:p>
            <w:pPr>
              <w:spacing w:line="360" w:lineRule="auto"/>
              <w:ind w:firstLine="480" w:firstLineChars="200"/>
              <w:rPr>
                <w:bCs/>
                <w:color w:val="0000FF"/>
                <w:sz w:val="24"/>
                <w:szCs w:val="32"/>
              </w:rPr>
            </w:pPr>
            <w:r>
              <w:rPr>
                <w:rFonts w:hint="eastAsia"/>
                <w:bCs/>
                <w:color w:val="0000FF"/>
                <w:sz w:val="24"/>
                <w:szCs w:val="32"/>
              </w:rPr>
              <w:t>K、定期检查环境空气中粉尘和接触者的定期体格检查。</w:t>
            </w:r>
          </w:p>
          <w:p>
            <w:pPr>
              <w:spacing w:line="360" w:lineRule="auto"/>
              <w:ind w:firstLine="480" w:firstLineChars="200"/>
              <w:rPr>
                <w:bCs/>
                <w:color w:val="0000FF"/>
                <w:sz w:val="24"/>
                <w:szCs w:val="32"/>
              </w:rPr>
            </w:pPr>
            <w:r>
              <w:rPr>
                <w:rFonts w:hint="eastAsia"/>
                <w:bCs/>
                <w:color w:val="0000FF"/>
                <w:sz w:val="24"/>
                <w:szCs w:val="32"/>
              </w:rPr>
              <w:t>⑤火灾安全防范措施</w:t>
            </w:r>
          </w:p>
          <w:p>
            <w:pPr>
              <w:spacing w:line="360" w:lineRule="auto"/>
              <w:ind w:firstLine="480" w:firstLineChars="200"/>
              <w:rPr>
                <w:bCs/>
                <w:color w:val="0000FF"/>
                <w:sz w:val="24"/>
                <w:szCs w:val="32"/>
              </w:rPr>
            </w:pPr>
            <w:r>
              <w:rPr>
                <w:rFonts w:hint="eastAsia"/>
                <w:bCs/>
                <w:color w:val="0000FF"/>
                <w:sz w:val="24"/>
                <w:szCs w:val="32"/>
              </w:rPr>
              <w:t>A、消防设计必须经当地消防部门批准。选用的消防器材，必须是经过国家鉴定合格的产品，消防泵房应符合《建筑设计防火规范》GB50016等规范；</w:t>
            </w:r>
          </w:p>
          <w:p>
            <w:pPr>
              <w:spacing w:line="360" w:lineRule="auto"/>
              <w:ind w:firstLine="480" w:firstLineChars="200"/>
              <w:rPr>
                <w:bCs/>
                <w:color w:val="0000FF"/>
                <w:sz w:val="24"/>
                <w:szCs w:val="32"/>
              </w:rPr>
            </w:pPr>
            <w:r>
              <w:rPr>
                <w:rFonts w:hint="eastAsia"/>
                <w:bCs/>
                <w:color w:val="0000FF"/>
                <w:sz w:val="24"/>
                <w:szCs w:val="32"/>
              </w:rPr>
              <w:t>B、合理布置消防水管网与消火栓。并保证足够水量与水压。地下油库和液压站，应有自动灭火报警装置和固定式灭火设施。地上油罐区应设围堤，且穿过围堤的管道应有防火措施；</w:t>
            </w:r>
          </w:p>
          <w:p>
            <w:pPr>
              <w:spacing w:line="360" w:lineRule="auto"/>
              <w:ind w:firstLine="480" w:firstLineChars="200"/>
              <w:rPr>
                <w:bCs/>
                <w:color w:val="0000FF"/>
                <w:sz w:val="24"/>
                <w:szCs w:val="32"/>
              </w:rPr>
            </w:pPr>
            <w:r>
              <w:rPr>
                <w:rFonts w:hint="eastAsia"/>
                <w:bCs/>
                <w:color w:val="0000FF"/>
                <w:sz w:val="24"/>
                <w:szCs w:val="32"/>
              </w:rPr>
              <w:t>C、有爆炸和火灾危险性的物料、设备及其厂房或周围区域，应设立明显的禁火标志，并建立严格的防火防爆管理制度；</w:t>
            </w:r>
          </w:p>
          <w:p>
            <w:pPr>
              <w:spacing w:line="360" w:lineRule="auto"/>
              <w:ind w:firstLine="480" w:firstLineChars="200"/>
              <w:rPr>
                <w:bCs/>
                <w:color w:val="0000FF"/>
                <w:sz w:val="24"/>
                <w:szCs w:val="32"/>
              </w:rPr>
            </w:pPr>
            <w:r>
              <w:rPr>
                <w:rFonts w:hint="eastAsia"/>
                <w:bCs/>
                <w:color w:val="0000FF"/>
                <w:sz w:val="24"/>
                <w:szCs w:val="32"/>
              </w:rPr>
              <w:t>D、应尽量控制生产工艺中淀粉粉尘的飞扬。室内墙面应平滑，地面应平整，使之不易积尘；</w:t>
            </w:r>
          </w:p>
          <w:p>
            <w:pPr>
              <w:spacing w:line="360" w:lineRule="auto"/>
              <w:ind w:firstLine="480" w:firstLineChars="200"/>
              <w:rPr>
                <w:bCs/>
                <w:color w:val="0000FF"/>
                <w:sz w:val="24"/>
                <w:szCs w:val="32"/>
              </w:rPr>
            </w:pPr>
            <w:r>
              <w:rPr>
                <w:rFonts w:hint="eastAsia"/>
                <w:bCs/>
                <w:color w:val="0000FF"/>
                <w:sz w:val="24"/>
                <w:szCs w:val="32"/>
              </w:rPr>
              <w:t>E、各系统设备、管道的保温满足相应的工艺要求，应采用阻燃材料或难燃材料。</w:t>
            </w:r>
          </w:p>
          <w:p>
            <w:pPr>
              <w:spacing w:line="360" w:lineRule="auto"/>
              <w:ind w:firstLine="480" w:firstLineChars="200"/>
              <w:rPr>
                <w:bCs/>
                <w:color w:val="0000FF"/>
                <w:sz w:val="24"/>
                <w:szCs w:val="32"/>
              </w:rPr>
            </w:pPr>
            <w:r>
              <w:rPr>
                <w:rFonts w:hint="eastAsia"/>
                <w:bCs/>
                <w:color w:val="0000FF"/>
                <w:sz w:val="24"/>
                <w:szCs w:val="32"/>
              </w:rPr>
              <w:t>⑥家具火灾事故预防措施</w:t>
            </w:r>
          </w:p>
          <w:p>
            <w:pPr>
              <w:spacing w:line="360" w:lineRule="auto"/>
              <w:ind w:firstLine="480" w:firstLineChars="200"/>
              <w:rPr>
                <w:bCs/>
                <w:color w:val="0000FF"/>
                <w:sz w:val="24"/>
                <w:szCs w:val="32"/>
              </w:rPr>
            </w:pPr>
            <w:r>
              <w:rPr>
                <w:rFonts w:hint="eastAsia"/>
                <w:bCs/>
                <w:color w:val="0000FF"/>
                <w:sz w:val="24"/>
                <w:szCs w:val="32"/>
              </w:rPr>
              <w:t>A、车间内堆放的木材量要严格控制，不得存放过多，加工的成品要及时运走。通道、门口、机器设备和电气设备周围不得堆放原料和成品；</w:t>
            </w:r>
          </w:p>
          <w:p>
            <w:pPr>
              <w:spacing w:line="360" w:lineRule="auto"/>
              <w:ind w:firstLine="480" w:firstLineChars="200"/>
              <w:rPr>
                <w:bCs/>
                <w:color w:val="0000FF"/>
                <w:sz w:val="24"/>
                <w:szCs w:val="32"/>
              </w:rPr>
            </w:pPr>
            <w:r>
              <w:rPr>
                <w:rFonts w:hint="eastAsia"/>
                <w:bCs/>
                <w:color w:val="0000FF"/>
                <w:sz w:val="24"/>
                <w:szCs w:val="32"/>
              </w:rPr>
              <w:t>B、企业要加强消防安全管理，开展好消防安全检查和消防安全宣传教育，加强消防安全培训，建立健全各项消防安全制度，落实消防安全责任，提高职工的消防素质，按规范配置灭火器材和消防装备。</w:t>
            </w:r>
          </w:p>
          <w:p>
            <w:pPr>
              <w:spacing w:line="360" w:lineRule="auto"/>
              <w:ind w:firstLine="480" w:firstLineChars="200"/>
              <w:rPr>
                <w:bCs/>
                <w:color w:val="0000FF"/>
                <w:sz w:val="24"/>
                <w:szCs w:val="32"/>
              </w:rPr>
            </w:pPr>
            <w:r>
              <w:rPr>
                <w:rFonts w:hint="eastAsia"/>
                <w:bCs/>
                <w:color w:val="0000FF"/>
                <w:sz w:val="24"/>
                <w:szCs w:val="32"/>
              </w:rPr>
              <w:t>⑦废水事故预防措施</w:t>
            </w:r>
          </w:p>
          <w:p>
            <w:pPr>
              <w:spacing w:line="360" w:lineRule="auto"/>
              <w:ind w:firstLine="480" w:firstLineChars="200"/>
              <w:rPr>
                <w:bCs/>
                <w:color w:val="0000FF"/>
                <w:sz w:val="24"/>
                <w:szCs w:val="32"/>
              </w:rPr>
            </w:pPr>
            <w:r>
              <w:rPr>
                <w:rFonts w:hint="eastAsia"/>
                <w:bCs/>
                <w:color w:val="0000FF"/>
                <w:sz w:val="24"/>
                <w:szCs w:val="32"/>
              </w:rPr>
              <w:t>废水治理设施在设计、施工时，应严格按照工程设计规范要求进行，选用标准管材，进行防腐、防渗处理。加强治理设施的运行管理和日常维护，发现异常应及时查明原因和维修。防止污废水泄漏造成的环境污染事故，项目需要设置事故池，切断污染物与外部的通道，使污染物导入污水处理系统，将污染控制在厂内。项目废水排入自建污水处理站处理达标后排入工业园污水管网，不直接进入水域，由污水处理站进入水域前建终端事故池作为事故状态下储存与调控手段的预防控制措施，防止生产事故泄漏废水和污染消防水造成的环境污染。</w:t>
            </w:r>
          </w:p>
          <w:p>
            <w:pPr>
              <w:spacing w:line="360" w:lineRule="auto"/>
              <w:ind w:firstLine="480" w:firstLineChars="200"/>
              <w:rPr>
                <w:bCs/>
                <w:color w:val="0000FF"/>
                <w:sz w:val="24"/>
                <w:szCs w:val="32"/>
              </w:rPr>
            </w:pPr>
            <w:r>
              <w:rPr>
                <w:rFonts w:hint="eastAsia"/>
                <w:bCs/>
                <w:color w:val="0000FF"/>
                <w:sz w:val="24"/>
                <w:szCs w:val="32"/>
              </w:rPr>
              <w:t>本项目设置消防尾水排水收集池、管网、切换阀和监控池等，使消防排水处于监控状态，降低对周围水环境造成的污染风险。</w:t>
            </w:r>
          </w:p>
          <w:p>
            <w:pPr>
              <w:spacing w:line="360" w:lineRule="auto"/>
              <w:ind w:firstLine="480" w:firstLineChars="200"/>
              <w:rPr>
                <w:bCs/>
                <w:color w:val="0000FF"/>
                <w:sz w:val="24"/>
                <w:szCs w:val="32"/>
              </w:rPr>
            </w:pPr>
            <w:r>
              <w:rPr>
                <w:rFonts w:hint="eastAsia"/>
                <w:bCs/>
                <w:color w:val="0000FF"/>
                <w:sz w:val="24"/>
                <w:szCs w:val="32"/>
              </w:rPr>
              <w:t>建设单位应从防止事故状态污染物向水环境转移的控制要求进行设计，制定相应防控措施。应在污水、雨水排水系统等排出装置前设立闸门，对雨水排水管设立切换装置，事故时及时切换至收集、处理设施。</w:t>
            </w:r>
          </w:p>
          <w:p>
            <w:pPr>
              <w:spacing w:line="360" w:lineRule="auto"/>
              <w:ind w:firstLine="480" w:firstLineChars="200"/>
              <w:rPr>
                <w:bCs/>
                <w:color w:val="0000FF"/>
                <w:sz w:val="24"/>
                <w:szCs w:val="32"/>
              </w:rPr>
            </w:pPr>
            <w:r>
              <w:rPr>
                <w:rFonts w:hint="eastAsia"/>
                <w:bCs/>
                <w:color w:val="0000FF"/>
                <w:sz w:val="24"/>
                <w:szCs w:val="32"/>
              </w:rPr>
              <w:t>本项目生产中发生事故时，为防止被污染废水等通过厂区雨水管道等途径进入周围地表水体，拟采取以下措施予以防范：</w:t>
            </w:r>
          </w:p>
          <w:p>
            <w:pPr>
              <w:spacing w:line="360" w:lineRule="auto"/>
              <w:ind w:firstLine="480" w:firstLineChars="200"/>
              <w:rPr>
                <w:bCs/>
                <w:color w:val="0000FF"/>
                <w:sz w:val="24"/>
                <w:szCs w:val="32"/>
              </w:rPr>
            </w:pPr>
            <w:r>
              <w:rPr>
                <w:rFonts w:hint="eastAsia"/>
                <w:bCs/>
                <w:color w:val="0000FF"/>
                <w:sz w:val="24"/>
                <w:szCs w:val="32"/>
              </w:rPr>
              <w:t>A、厂区所有雨水管道的进口均设置封闭阀，能够及时阻断被污染的消防水或其它废水进入雨水道；</w:t>
            </w:r>
          </w:p>
          <w:p>
            <w:pPr>
              <w:spacing w:line="360" w:lineRule="auto"/>
              <w:ind w:firstLine="480" w:firstLineChars="200"/>
              <w:rPr>
                <w:bCs/>
                <w:color w:val="0000FF"/>
                <w:sz w:val="24"/>
                <w:szCs w:val="32"/>
              </w:rPr>
            </w:pPr>
            <w:r>
              <w:rPr>
                <w:rFonts w:hint="eastAsia"/>
                <w:bCs/>
                <w:color w:val="0000FF"/>
                <w:sz w:val="24"/>
                <w:szCs w:val="32"/>
              </w:rPr>
              <w:t>B、车间四周均应设置地沟，对泄漏出来的物料和事故废水进行围堵和收集；</w:t>
            </w:r>
          </w:p>
          <w:p>
            <w:pPr>
              <w:spacing w:line="360" w:lineRule="auto"/>
              <w:ind w:firstLine="480" w:firstLineChars="200"/>
              <w:rPr>
                <w:rFonts w:hint="eastAsia" w:eastAsia="宋体"/>
                <w:bCs/>
                <w:color w:val="0000FF"/>
                <w:sz w:val="24"/>
                <w:szCs w:val="32"/>
                <w:lang w:eastAsia="zh-CN"/>
              </w:rPr>
            </w:pPr>
            <w:r>
              <w:rPr>
                <w:rFonts w:hint="eastAsia"/>
                <w:bCs/>
                <w:color w:val="0000FF"/>
                <w:sz w:val="24"/>
                <w:szCs w:val="32"/>
              </w:rPr>
              <w:t>C、厂区实行严格的“清污分流、雨污分流”，设置切换阀，在紧急状态下及时全部切换至废水处理站</w:t>
            </w:r>
            <w:r>
              <w:rPr>
                <w:rFonts w:hint="eastAsia"/>
                <w:bCs/>
                <w:color w:val="0000FF"/>
                <w:sz w:val="24"/>
                <w:szCs w:val="32"/>
                <w:lang w:eastAsia="zh-CN"/>
              </w:rPr>
              <w:t>。</w:t>
            </w:r>
          </w:p>
          <w:p>
            <w:pPr>
              <w:spacing w:line="360" w:lineRule="auto"/>
              <w:ind w:firstLine="480" w:firstLineChars="200"/>
              <w:rPr>
                <w:bCs/>
                <w:color w:val="0000FF"/>
                <w:sz w:val="24"/>
                <w:szCs w:val="32"/>
              </w:rPr>
            </w:pPr>
            <w:r>
              <w:rPr>
                <w:rFonts w:hint="eastAsia"/>
                <w:bCs/>
                <w:color w:val="0000FF"/>
                <w:sz w:val="24"/>
                <w:szCs w:val="32"/>
              </w:rPr>
              <w:t>（8）风险</w:t>
            </w:r>
            <w:bookmarkStart w:id="6" w:name="_Toc5290"/>
            <w:r>
              <w:rPr>
                <w:rFonts w:hint="eastAsia"/>
                <w:bCs/>
                <w:color w:val="0000FF"/>
                <w:sz w:val="24"/>
                <w:szCs w:val="32"/>
              </w:rPr>
              <w:t>应急预案</w:t>
            </w:r>
          </w:p>
          <w:p>
            <w:pPr>
              <w:spacing w:line="360" w:lineRule="auto"/>
              <w:ind w:firstLine="480" w:firstLineChars="200"/>
              <w:jc w:val="left"/>
              <w:rPr>
                <w:color w:val="0000FF"/>
                <w:sz w:val="24"/>
              </w:rPr>
            </w:pPr>
            <w:r>
              <w:rPr>
                <w:rFonts w:hint="eastAsia"/>
                <w:color w:val="0000FF"/>
                <w:sz w:val="24"/>
              </w:rPr>
              <w:t>厂房</w:t>
            </w:r>
            <w:r>
              <w:rPr>
                <w:color w:val="0000FF"/>
                <w:sz w:val="24"/>
              </w:rPr>
              <w:t>的</w:t>
            </w:r>
            <w:bookmarkEnd w:id="6"/>
            <w:r>
              <w:rPr>
                <w:color w:val="0000FF"/>
                <w:sz w:val="24"/>
              </w:rPr>
              <w:t>建设伴随潜在危险，如防范措施水平高，则是事故的概率会降低，但仍然存在事故发生的可能性，需制</w:t>
            </w:r>
            <w:r>
              <w:rPr>
                <w:rFonts w:hint="eastAsia"/>
                <w:color w:val="0000FF"/>
                <w:sz w:val="24"/>
                <w:lang w:eastAsia="zh-CN"/>
              </w:rPr>
              <w:t>定</w:t>
            </w:r>
            <w:r>
              <w:rPr>
                <w:color w:val="0000FF"/>
                <w:sz w:val="24"/>
              </w:rPr>
              <w:t>应急预案，一旦发生风险事故，及时启动风险应急预案，控制和减小事故危害。</w:t>
            </w:r>
          </w:p>
          <w:p>
            <w:pPr>
              <w:spacing w:line="360" w:lineRule="auto"/>
              <w:ind w:firstLine="480" w:firstLineChars="200"/>
              <w:jc w:val="left"/>
              <w:rPr>
                <w:color w:val="0000FF"/>
                <w:sz w:val="24"/>
              </w:rPr>
            </w:pPr>
            <w:r>
              <w:rPr>
                <w:rFonts w:hint="eastAsia"/>
                <w:color w:val="0000FF"/>
                <w:sz w:val="24"/>
              </w:rPr>
              <w:t>①</w:t>
            </w:r>
            <w:r>
              <w:rPr>
                <w:color w:val="0000FF"/>
                <w:sz w:val="24"/>
              </w:rPr>
              <w:t>应急救援保障措施</w:t>
            </w:r>
          </w:p>
          <w:p>
            <w:pPr>
              <w:spacing w:line="360" w:lineRule="auto"/>
              <w:ind w:firstLine="480" w:firstLineChars="200"/>
              <w:jc w:val="left"/>
              <w:rPr>
                <w:color w:val="0000FF"/>
                <w:sz w:val="24"/>
              </w:rPr>
            </w:pPr>
            <w:r>
              <w:rPr>
                <w:color w:val="0000FF"/>
                <w:sz w:val="24"/>
              </w:rPr>
              <w:t>主要包括消火栓、灭火器、溢油控制应急设备和器材。</w:t>
            </w:r>
          </w:p>
          <w:p>
            <w:pPr>
              <w:spacing w:line="360" w:lineRule="auto"/>
              <w:ind w:firstLine="480" w:firstLineChars="200"/>
              <w:jc w:val="left"/>
              <w:rPr>
                <w:color w:val="0000FF"/>
                <w:sz w:val="24"/>
              </w:rPr>
            </w:pPr>
            <w:r>
              <w:rPr>
                <w:rFonts w:hint="eastAsia"/>
                <w:color w:val="0000FF"/>
                <w:sz w:val="24"/>
              </w:rPr>
              <w:t>②</w:t>
            </w:r>
            <w:r>
              <w:rPr>
                <w:color w:val="0000FF"/>
                <w:sz w:val="24"/>
              </w:rPr>
              <w:t>报警、通讯联系方式</w:t>
            </w:r>
          </w:p>
          <w:p>
            <w:pPr>
              <w:spacing w:line="360" w:lineRule="auto"/>
              <w:ind w:firstLine="480" w:firstLineChars="200"/>
              <w:jc w:val="left"/>
              <w:rPr>
                <w:color w:val="0000FF"/>
                <w:sz w:val="24"/>
              </w:rPr>
            </w:pPr>
            <w:r>
              <w:rPr>
                <w:color w:val="0000FF"/>
                <w:sz w:val="24"/>
              </w:rPr>
              <w:t>设置火灾报警器，事故发生时及时上报。</w:t>
            </w:r>
          </w:p>
          <w:p>
            <w:pPr>
              <w:spacing w:line="360" w:lineRule="auto"/>
              <w:ind w:firstLine="480" w:firstLineChars="200"/>
              <w:jc w:val="left"/>
              <w:rPr>
                <w:color w:val="0000FF"/>
                <w:sz w:val="24"/>
              </w:rPr>
            </w:pPr>
            <w:r>
              <w:rPr>
                <w:color w:val="0000FF"/>
                <w:sz w:val="24"/>
              </w:rPr>
              <w:t>消防支队联系电话：119</w:t>
            </w:r>
          </w:p>
          <w:p>
            <w:pPr>
              <w:spacing w:line="360" w:lineRule="auto"/>
              <w:ind w:firstLine="480" w:firstLineChars="200"/>
              <w:jc w:val="left"/>
              <w:rPr>
                <w:color w:val="0000FF"/>
                <w:sz w:val="24"/>
              </w:rPr>
            </w:pPr>
            <w:r>
              <w:rPr>
                <w:color w:val="0000FF"/>
                <w:sz w:val="24"/>
              </w:rPr>
              <w:t>医疗救急单位的电话：120</w:t>
            </w:r>
          </w:p>
          <w:p>
            <w:pPr>
              <w:spacing w:line="360" w:lineRule="auto"/>
              <w:ind w:firstLine="480" w:firstLineChars="200"/>
              <w:jc w:val="left"/>
              <w:rPr>
                <w:color w:val="0000FF"/>
                <w:sz w:val="24"/>
              </w:rPr>
            </w:pPr>
            <w:r>
              <w:rPr>
                <w:rFonts w:hint="eastAsia"/>
                <w:color w:val="0000FF"/>
                <w:sz w:val="24"/>
              </w:rPr>
              <w:t>③</w:t>
            </w:r>
            <w:r>
              <w:rPr>
                <w:color w:val="0000FF"/>
                <w:sz w:val="24"/>
              </w:rPr>
              <w:t>应急监测、救援及控制措施</w:t>
            </w:r>
          </w:p>
          <w:p>
            <w:pPr>
              <w:spacing w:line="360" w:lineRule="auto"/>
              <w:ind w:firstLine="480" w:firstLineChars="200"/>
              <w:jc w:val="left"/>
              <w:rPr>
                <w:color w:val="0000FF"/>
                <w:sz w:val="24"/>
              </w:rPr>
            </w:pPr>
            <w:r>
              <w:rPr>
                <w:color w:val="0000FF"/>
                <w:sz w:val="24"/>
              </w:rPr>
              <w:t>监测组负责人带领环境监测人员及应急查询资料到达现场，对是事故原性质进行初步分析、取样、送样、并做好快速监测工作，及时提供监测数据、污染物种类、性质、控制方法及防护、处理意见，并发布应急监测报告，对事故出现后周围的安全防护距离、应急人员进出现场要求、群众疏散范围和路线提供科学依据，确保群众和救援人员安全防护。</w:t>
            </w:r>
          </w:p>
          <w:p>
            <w:pPr>
              <w:spacing w:line="360" w:lineRule="auto"/>
              <w:ind w:firstLine="480" w:firstLineChars="200"/>
              <w:jc w:val="left"/>
              <w:rPr>
                <w:color w:val="0000FF"/>
                <w:sz w:val="24"/>
              </w:rPr>
            </w:pPr>
            <w:r>
              <w:rPr>
                <w:rFonts w:hint="eastAsia"/>
                <w:color w:val="0000FF"/>
                <w:sz w:val="24"/>
              </w:rPr>
              <w:t>④</w:t>
            </w:r>
            <w:r>
              <w:rPr>
                <w:color w:val="0000FF"/>
                <w:sz w:val="24"/>
              </w:rPr>
              <w:t>应急防护措施</w:t>
            </w:r>
          </w:p>
          <w:p>
            <w:pPr>
              <w:spacing w:line="360" w:lineRule="auto"/>
              <w:ind w:firstLine="480" w:firstLineChars="200"/>
              <w:jc w:val="left"/>
              <w:rPr>
                <w:color w:val="0000FF"/>
                <w:sz w:val="24"/>
              </w:rPr>
            </w:pPr>
            <w:r>
              <w:rPr>
                <w:color w:val="0000FF"/>
                <w:sz w:val="24"/>
              </w:rPr>
              <w:t>危险源控制和消防组对事故现场进行调查取证，对事故类型、发生时间、污染源、主要污染物、影响范围和影响程度进行调查分析，形成初步意见，反馈现场和应急领导机构。</w:t>
            </w:r>
          </w:p>
          <w:p>
            <w:pPr>
              <w:spacing w:line="360" w:lineRule="auto"/>
              <w:ind w:firstLine="480" w:firstLineChars="200"/>
              <w:rPr>
                <w:color w:val="0000FF"/>
                <w:sz w:val="24"/>
              </w:rPr>
            </w:pPr>
            <w:r>
              <w:rPr>
                <w:rFonts w:hint="eastAsia"/>
                <w:color w:val="0000FF"/>
                <w:sz w:val="24"/>
              </w:rPr>
              <w:t>⑤</w:t>
            </w:r>
            <w:r>
              <w:rPr>
                <w:color w:val="0000FF"/>
                <w:sz w:val="24"/>
              </w:rPr>
              <w:t>人员疏散、撤离组织计划</w:t>
            </w:r>
          </w:p>
          <w:p>
            <w:pPr>
              <w:spacing w:line="360" w:lineRule="auto"/>
              <w:ind w:firstLine="480" w:firstLineChars="200"/>
              <w:rPr>
                <w:color w:val="0000FF"/>
                <w:sz w:val="24"/>
              </w:rPr>
            </w:pPr>
            <w:r>
              <w:rPr>
                <w:color w:val="0000FF"/>
                <w:sz w:val="24"/>
              </w:rPr>
              <w:t>受灾区域被困人员由安全疏散组织搜救，</w:t>
            </w:r>
            <w:r>
              <w:rPr>
                <w:color w:val="0000FF"/>
                <w:sz w:val="24"/>
                <w:shd w:val="clear" w:color="auto" w:fill="FFFFFF"/>
              </w:rPr>
              <w:t>由该专业组统一组织指挥人员应急疏散撤离行动。有关部门按照各自职责和分工，密切配合，共同实施应急疏散撤离行动。</w:t>
            </w:r>
          </w:p>
          <w:p>
            <w:pPr>
              <w:spacing w:line="360" w:lineRule="auto"/>
              <w:ind w:firstLine="480" w:firstLineChars="200"/>
              <w:rPr>
                <w:color w:val="0000FF"/>
                <w:sz w:val="24"/>
              </w:rPr>
            </w:pPr>
            <w:r>
              <w:rPr>
                <w:rFonts w:hint="eastAsia"/>
                <w:color w:val="0000FF"/>
                <w:sz w:val="24"/>
              </w:rPr>
              <w:t>⑥</w:t>
            </w:r>
            <w:r>
              <w:rPr>
                <w:color w:val="0000FF"/>
                <w:sz w:val="24"/>
              </w:rPr>
              <w:t>应急救援关闭程序与恢复措施</w:t>
            </w:r>
          </w:p>
          <w:p>
            <w:pPr>
              <w:spacing w:line="360" w:lineRule="auto"/>
              <w:ind w:firstLine="480" w:firstLineChars="200"/>
              <w:rPr>
                <w:color w:val="0000FF"/>
                <w:sz w:val="24"/>
              </w:rPr>
            </w:pPr>
            <w:r>
              <w:rPr>
                <w:color w:val="0000FF"/>
                <w:sz w:val="24"/>
              </w:rPr>
              <w:t>整个应急处置和救援工作完成后，即事件现场得到控制，事件条件已经消除，污染源的泄漏已经降到固定限制以内，事件以造成的危害已经被彻底消除，无续发可能，现场指挥提议、领导小组比准，有现场指挥宣布解除应急状态，并发布有关信息，建设单位协同有关部门做好现场的清洁与清理，消除危害因素。</w:t>
            </w:r>
          </w:p>
          <w:p>
            <w:pPr>
              <w:spacing w:line="360" w:lineRule="auto"/>
              <w:ind w:firstLine="480" w:firstLineChars="200"/>
              <w:rPr>
                <w:color w:val="0000FF"/>
                <w:sz w:val="24"/>
              </w:rPr>
            </w:pPr>
            <w:r>
              <w:rPr>
                <w:rFonts w:hint="eastAsia"/>
                <w:color w:val="0000FF"/>
                <w:sz w:val="24"/>
              </w:rPr>
              <w:t>（9）风险评价结论</w:t>
            </w:r>
          </w:p>
          <w:p>
            <w:pPr>
              <w:spacing w:line="360" w:lineRule="auto"/>
              <w:ind w:firstLine="480" w:firstLineChars="200"/>
              <w:rPr>
                <w:sz w:val="24"/>
              </w:rPr>
            </w:pPr>
            <w:r>
              <w:rPr>
                <w:rFonts w:hint="eastAsia"/>
                <w:color w:val="0000FF"/>
                <w:sz w:val="24"/>
              </w:rPr>
              <w:t>通过以上分析</w:t>
            </w:r>
            <w:r>
              <w:rPr>
                <w:color w:val="0000FF"/>
                <w:sz w:val="24"/>
              </w:rPr>
              <w:t>，项目评价等级属于简单分析，结合本项目的具体情况做好预防措施发生环境风险的可能性较小。并且一旦发生，按照制定的发生事故时的应急措施，对周围环境的安全应该是可以保证的，对周围环境影响很小。因而从风险角度而言是可以接受的。</w:t>
            </w:r>
          </w:p>
          <w:p>
            <w:pPr>
              <w:widowControl/>
              <w:snapToGrid w:val="0"/>
              <w:spacing w:line="360" w:lineRule="auto"/>
              <w:ind w:firstLine="482" w:firstLineChars="200"/>
              <w:jc w:val="left"/>
              <w:outlineLvl w:val="2"/>
              <w:rPr>
                <w:b/>
                <w:bCs/>
                <w:color w:val="000000"/>
                <w:sz w:val="24"/>
              </w:rPr>
            </w:pPr>
            <w:r>
              <w:rPr>
                <w:rFonts w:hint="eastAsia"/>
                <w:b/>
                <w:bCs/>
                <w:color w:val="000000"/>
                <w:sz w:val="24"/>
              </w:rPr>
              <w:t>7、环境管理与环境监测</w:t>
            </w:r>
          </w:p>
          <w:p>
            <w:pPr>
              <w:pStyle w:val="137"/>
              <w:spacing w:line="360" w:lineRule="auto"/>
              <w:ind w:firstLine="480"/>
              <w:rPr>
                <w:rFonts w:ascii="Times New Roman" w:hAnsi="Times New Roman" w:cs="Arial"/>
                <w:color w:val="000000"/>
                <w:kern w:val="2"/>
              </w:rPr>
            </w:pPr>
            <w:r>
              <w:rPr>
                <w:rFonts w:ascii="Times New Roman" w:hAnsi="Times New Roman" w:cs="Arial"/>
                <w:color w:val="000000"/>
                <w:kern w:val="2"/>
              </w:rPr>
              <w:t>1)管理机构</w:t>
            </w:r>
          </w:p>
          <w:p>
            <w:pPr>
              <w:pStyle w:val="137"/>
              <w:spacing w:line="360" w:lineRule="auto"/>
              <w:ind w:firstLine="480"/>
              <w:rPr>
                <w:rFonts w:ascii="Times New Roman" w:hAnsi="Times New Roman" w:cs="Arial"/>
                <w:color w:val="000000"/>
                <w:kern w:val="2"/>
              </w:rPr>
            </w:pPr>
            <w:r>
              <w:rPr>
                <w:rFonts w:ascii="Times New Roman" w:hAnsi="Times New Roman" w:cs="Arial"/>
                <w:color w:val="000000"/>
                <w:kern w:val="2"/>
              </w:rPr>
              <w:t>本项目应成立专门的环境管理机构，并设专职环保管理人员</w:t>
            </w:r>
            <w:r>
              <w:rPr>
                <w:rFonts w:hint="eastAsia" w:ascii="Times New Roman" w:hAnsi="Times New Roman" w:cs="Arial"/>
                <w:color w:val="000000"/>
                <w:kern w:val="2"/>
              </w:rPr>
              <w:t>1</w:t>
            </w:r>
            <w:r>
              <w:rPr>
                <w:rFonts w:ascii="Times New Roman" w:hAnsi="Times New Roman" w:cs="Arial"/>
                <w:color w:val="000000"/>
                <w:kern w:val="2"/>
              </w:rPr>
              <w:t>名，负责厂区的环境管理（包括清洁生产）工作。主要职责：（1）贯彻执行环境保护有关法规和标准；（2）制定本厂环境保护规划和管理规章制度并监督实施；（3）组织协调环境监测工作；（4）检查和监督环保设施运行情况；（5）推广应用环境保护先进技术和经验；（6）组织开展环保专业技术培训和技术交流等。</w:t>
            </w:r>
          </w:p>
          <w:p>
            <w:pPr>
              <w:pStyle w:val="137"/>
              <w:spacing w:line="360" w:lineRule="auto"/>
              <w:ind w:firstLine="480"/>
              <w:rPr>
                <w:rFonts w:ascii="Times New Roman" w:hAnsi="Times New Roman" w:cs="Arial"/>
                <w:color w:val="000000"/>
                <w:kern w:val="2"/>
              </w:rPr>
            </w:pPr>
            <w:r>
              <w:rPr>
                <w:rFonts w:ascii="Times New Roman" w:hAnsi="Times New Roman" w:cs="Arial"/>
                <w:color w:val="000000"/>
                <w:kern w:val="2"/>
              </w:rPr>
              <w:t>2)环境管理计划</w:t>
            </w:r>
          </w:p>
          <w:p>
            <w:pPr>
              <w:pStyle w:val="137"/>
              <w:spacing w:line="360" w:lineRule="auto"/>
              <w:ind w:firstLine="480"/>
              <w:rPr>
                <w:rFonts w:ascii="Times New Roman" w:hAnsi="Times New Roman" w:cs="Arial"/>
                <w:color w:val="000000"/>
                <w:kern w:val="2"/>
              </w:rPr>
            </w:pPr>
            <w:r>
              <w:rPr>
                <w:rFonts w:ascii="Times New Roman" w:hAnsi="Times New Roman" w:cs="Arial"/>
                <w:color w:val="000000"/>
                <w:kern w:val="2"/>
              </w:rPr>
              <w:t>根据项目的具体情况，本环评对建设项目的环境保护管理计划和主要环境管理方案提出以下建议。</w:t>
            </w:r>
          </w:p>
          <w:p>
            <w:pPr>
              <w:autoSpaceDN w:val="0"/>
              <w:spacing w:before="120" w:beforeLines="50"/>
              <w:ind w:firstLine="482"/>
              <w:jc w:val="center"/>
              <w:rPr>
                <w:rFonts w:eastAsia="黑体"/>
                <w:bCs/>
                <w:color w:val="000000"/>
                <w:spacing w:val="4"/>
                <w:sz w:val="24"/>
              </w:rPr>
            </w:pPr>
            <w:r>
              <w:rPr>
                <w:rFonts w:eastAsia="黑体"/>
                <w:bCs/>
                <w:color w:val="000000"/>
                <w:spacing w:val="4"/>
                <w:sz w:val="24"/>
              </w:rPr>
              <w:t>表</w:t>
            </w:r>
            <w:r>
              <w:rPr>
                <w:rFonts w:hint="eastAsia" w:eastAsia="黑体"/>
                <w:bCs/>
                <w:color w:val="000000"/>
                <w:spacing w:val="4"/>
                <w:sz w:val="24"/>
              </w:rPr>
              <w:t>4-</w:t>
            </w:r>
            <w:r>
              <w:rPr>
                <w:rFonts w:hint="eastAsia" w:eastAsia="黑体"/>
                <w:bCs/>
                <w:color w:val="000000"/>
                <w:spacing w:val="4"/>
                <w:sz w:val="24"/>
                <w:lang w:val="en-US" w:eastAsia="zh-CN"/>
              </w:rPr>
              <w:t>39</w:t>
            </w:r>
            <w:r>
              <w:rPr>
                <w:rFonts w:eastAsia="黑体"/>
                <w:bCs/>
                <w:color w:val="000000"/>
                <w:spacing w:val="4"/>
                <w:sz w:val="24"/>
              </w:rPr>
              <w:t xml:space="preserve">  环境管理工作计划一览表</w:t>
            </w:r>
          </w:p>
          <w:tbl>
            <w:tblPr>
              <w:tblStyle w:val="33"/>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8"/>
              <w:gridCol w:w="7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restart"/>
                  <w:vAlign w:val="center"/>
                </w:tcPr>
                <w:p>
                  <w:pPr>
                    <w:pStyle w:val="137"/>
                    <w:spacing w:line="360" w:lineRule="auto"/>
                    <w:ind w:firstLine="0" w:firstLineChars="0"/>
                    <w:rPr>
                      <w:rFonts w:ascii="Times New Roman" w:hAnsi="Times New Roman" w:cs="Arial"/>
                      <w:color w:val="000000"/>
                      <w:kern w:val="2"/>
                      <w:sz w:val="21"/>
                      <w:szCs w:val="21"/>
                    </w:rPr>
                  </w:pPr>
                  <w:r>
                    <w:rPr>
                      <w:rFonts w:ascii="Times New Roman" w:hAnsi="Times New Roman" w:cs="Arial"/>
                      <w:color w:val="000000"/>
                      <w:kern w:val="2"/>
                      <w:sz w:val="21"/>
                      <w:szCs w:val="21"/>
                    </w:rPr>
                    <w:t>企业环境管理总要求</w:t>
                  </w:r>
                </w:p>
              </w:tc>
              <w:tc>
                <w:tcPr>
                  <w:tcW w:w="7514" w:type="dxa"/>
                </w:tcPr>
                <w:p>
                  <w:pPr>
                    <w:pStyle w:val="137"/>
                    <w:spacing w:line="360" w:lineRule="auto"/>
                    <w:ind w:firstLine="420"/>
                    <w:rPr>
                      <w:rFonts w:ascii="Times New Roman" w:hAnsi="Times New Roman" w:cs="Arial"/>
                      <w:color w:val="000000"/>
                      <w:kern w:val="2"/>
                      <w:sz w:val="21"/>
                      <w:szCs w:val="21"/>
                    </w:rPr>
                  </w:pPr>
                  <w:r>
                    <w:rPr>
                      <w:rFonts w:ascii="Times New Roman" w:hAnsi="Times New Roman" w:cs="Arial"/>
                      <w:color w:val="000000"/>
                      <w:kern w:val="2"/>
                      <w:sz w:val="21"/>
                      <w:szCs w:val="21"/>
                    </w:rPr>
                    <w:t>根据国家建设项目环境保护管理规定，认真落实各项环保手续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vAlign w:val="center"/>
                </w:tcPr>
                <w:p>
                  <w:pPr>
                    <w:pStyle w:val="137"/>
                    <w:spacing w:line="360" w:lineRule="auto"/>
                    <w:ind w:firstLine="420"/>
                    <w:rPr>
                      <w:rFonts w:ascii="Times New Roman" w:hAnsi="Times New Roman" w:cs="Arial"/>
                      <w:color w:val="000000"/>
                      <w:kern w:val="2"/>
                      <w:sz w:val="21"/>
                      <w:szCs w:val="21"/>
                    </w:rPr>
                  </w:pPr>
                </w:p>
              </w:tc>
              <w:tc>
                <w:tcPr>
                  <w:tcW w:w="7514" w:type="dxa"/>
                </w:tcPr>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⑴</w:t>
                  </w:r>
                  <w:r>
                    <w:rPr>
                      <w:rFonts w:ascii="Times New Roman" w:hAnsi="Times New Roman" w:cs="Arial"/>
                      <w:color w:val="000000"/>
                      <w:kern w:val="2"/>
                      <w:sz w:val="21"/>
                      <w:szCs w:val="21"/>
                    </w:rPr>
                    <w:t>可研阶段，委托评价单位编制环境影响报告</w:t>
                  </w:r>
                  <w:r>
                    <w:rPr>
                      <w:rFonts w:hint="eastAsia" w:ascii="Times New Roman" w:hAnsi="Times New Roman" w:cs="Arial"/>
                      <w:color w:val="000000"/>
                      <w:kern w:val="2"/>
                      <w:sz w:val="21"/>
                      <w:szCs w:val="21"/>
                    </w:rPr>
                    <w:t>表</w:t>
                  </w:r>
                  <w:r>
                    <w:rPr>
                      <w:rFonts w:ascii="Times New Roman" w:hAnsi="Times New Roman" w:cs="Arial"/>
                      <w:color w:val="000000"/>
                      <w:kern w:val="2"/>
                      <w:sz w:val="21"/>
                      <w:szCs w:val="21"/>
                    </w:rPr>
                    <w:t>；</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⑵</w:t>
                  </w:r>
                  <w:r>
                    <w:rPr>
                      <w:rFonts w:ascii="Times New Roman" w:hAnsi="Times New Roman" w:cs="Arial"/>
                      <w:color w:val="000000"/>
                      <w:kern w:val="2"/>
                      <w:sz w:val="21"/>
                      <w:szCs w:val="21"/>
                    </w:rPr>
                    <w:t>开工前，履行“三同时”手续；</w:t>
                  </w:r>
                </w:p>
                <w:p>
                  <w:pPr>
                    <w:pStyle w:val="137"/>
                    <w:spacing w:line="360" w:lineRule="auto"/>
                    <w:ind w:firstLine="420"/>
                    <w:rPr>
                      <w:rFonts w:ascii="Times New Roman" w:hAnsi="Times New Roman" w:cs="Arial"/>
                      <w:color w:val="000000"/>
                      <w:kern w:val="2"/>
                      <w:sz w:val="21"/>
                      <w:szCs w:val="21"/>
                    </w:rPr>
                  </w:pPr>
                  <w:r>
                    <w:rPr>
                      <w:rFonts w:ascii="Times New Roman" w:hAnsi="Times New Roman" w:cs="Arial"/>
                      <w:color w:val="000000"/>
                      <w:kern w:val="2"/>
                      <w:sz w:val="21"/>
                      <w:szCs w:val="21"/>
                    </w:rPr>
                    <mc:AlternateContent>
                      <mc:Choice Requires="wps">
                        <w:drawing>
                          <wp:anchor distT="0" distB="0" distL="114300" distR="114300" simplePos="0" relativeHeight="251659264" behindDoc="1" locked="0" layoutInCell="1" allowOverlap="1">
                            <wp:simplePos x="0" y="0"/>
                            <wp:positionH relativeFrom="page">
                              <wp:posOffset>6474460</wp:posOffset>
                            </wp:positionH>
                            <wp:positionV relativeFrom="paragraph">
                              <wp:posOffset>927100</wp:posOffset>
                            </wp:positionV>
                            <wp:extent cx="19050" cy="9525"/>
                            <wp:effectExtent l="0" t="0" r="0" b="0"/>
                            <wp:wrapNone/>
                            <wp:docPr id="5" name="矩形 5"/>
                            <wp:cNvGraphicFramePr/>
                            <a:graphic xmlns:a="http://schemas.openxmlformats.org/drawingml/2006/main">
                              <a:graphicData uri="http://schemas.microsoft.com/office/word/2010/wordprocessingShape">
                                <wps:wsp>
                                  <wps:cNvSpPr/>
                                  <wps:spPr>
                                    <a:xfrm>
                                      <a:off x="0" y="0"/>
                                      <a:ext cx="19050" cy="9525"/>
                                    </a:xfrm>
                                    <a:prstGeom prst="rect">
                                      <a:avLst/>
                                    </a:prstGeom>
                                    <a:solidFill>
                                      <a:srgbClr val="000000"/>
                                    </a:solidFill>
                                    <a:ln w="9525">
                                      <a:noFill/>
                                    </a:ln>
                                    <a:effectLst/>
                                  </wps:spPr>
                                  <wps:bodyPr upright="1"/>
                                </wps:wsp>
                              </a:graphicData>
                            </a:graphic>
                          </wp:anchor>
                        </w:drawing>
                      </mc:Choice>
                      <mc:Fallback>
                        <w:pict>
                          <v:rect id="_x0000_s1026" o:spid="_x0000_s1026" o:spt="1" style="position:absolute;left:0pt;margin-left:509.8pt;margin-top:73pt;height:0.75pt;width:1.5pt;mso-position-horizontal-relative:page;z-index:-251657216;mso-width-relative:page;mso-height-relative:page;" fillcolor="#000000" filled="t" stroked="f" coordsize="21600,21600" o:gfxdata="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fKwSPYAAAADQEAAA8AAAAAAAAAAQAgAAAAIgAAAGRycy9kb3ducmV2LnhtbFBLAQIUABQA&#10;AAAIAIdO4kCyG2fEtwEAAHIDAAAOAAAAAAAAAAEAIAAAACcBAABkcnMvZTJvRG9jLnhtbFBLBQYA&#10;AAAABgAGAFkBAABQBQAAAAA=&#10;">
                            <v:fill on="t" focussize="0,0"/>
                            <v:stroke on="f"/>
                            <v:imagedata o:title=""/>
                            <o:lock v:ext="edit" aspectratio="f"/>
                          </v:rect>
                        </w:pict>
                      </mc:Fallback>
                    </mc:AlternateContent>
                  </w:r>
                  <w:r>
                    <w:rPr>
                      <w:rFonts w:hint="eastAsia" w:ascii="Times New Roman" w:hAnsi="Times New Roman" w:cs="Arial"/>
                      <w:color w:val="000000"/>
                      <w:kern w:val="2"/>
                      <w:sz w:val="21"/>
                      <w:szCs w:val="21"/>
                    </w:rPr>
                    <w:t>⑶</w:t>
                  </w:r>
                  <w:r>
                    <w:rPr>
                      <w:rFonts w:ascii="Times New Roman" w:hAnsi="Times New Roman" w:cs="Arial"/>
                      <w:color w:val="000000"/>
                      <w:kern w:val="2"/>
                      <w:sz w:val="21"/>
                      <w:szCs w:val="21"/>
                    </w:rPr>
                    <w:t>严把施工质量关，严格按照设计要求和施工验收规范质量要求执行；</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⑷</w:t>
                  </w:r>
                  <w:r>
                    <w:rPr>
                      <w:rFonts w:ascii="Times New Roman" w:hAnsi="Times New Roman" w:cs="Arial"/>
                      <w:color w:val="000000"/>
                      <w:kern w:val="2"/>
                      <w:sz w:val="21"/>
                      <w:szCs w:val="21"/>
                    </w:rPr>
                    <w:t>生产运行中，定期进行例行环境监测工作，同时请当地环保部门监督、检查、协助主管部门做好环境管理工作，对不达标装置及时整顿；</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⑸</w:t>
                  </w:r>
                  <w:r>
                    <w:rPr>
                      <w:rFonts w:ascii="Times New Roman" w:hAnsi="Times New Roman" w:cs="Arial"/>
                      <w:color w:val="000000"/>
                      <w:kern w:val="2"/>
                      <w:sz w:val="21"/>
                      <w:szCs w:val="21"/>
                    </w:rPr>
                    <w:t>配合</w:t>
                  </w:r>
                  <w:r>
                    <w:rPr>
                      <w:rFonts w:hint="eastAsia" w:ascii="Times New Roman" w:hAnsi="Times New Roman" w:cs="Arial"/>
                      <w:color w:val="000000"/>
                      <w:kern w:val="2"/>
                      <w:sz w:val="21"/>
                      <w:szCs w:val="21"/>
                      <w:lang w:eastAsia="zh-CN"/>
                    </w:rPr>
                    <w:t>第三方监测机构</w:t>
                  </w:r>
                  <w:r>
                    <w:rPr>
                      <w:rFonts w:ascii="Times New Roman" w:hAnsi="Times New Roman" w:cs="Arial"/>
                      <w:color w:val="000000"/>
                      <w:kern w:val="2"/>
                      <w:sz w:val="21"/>
                      <w:szCs w:val="21"/>
                    </w:rPr>
                    <w:t>搞好例行监测工作。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1008" w:type="dxa"/>
                  <w:vMerge w:val="restart"/>
                  <w:vAlign w:val="center"/>
                </w:tcPr>
                <w:p>
                  <w:pPr>
                    <w:pStyle w:val="137"/>
                    <w:spacing w:line="360" w:lineRule="auto"/>
                    <w:ind w:firstLine="0" w:firstLineChars="0"/>
                    <w:rPr>
                      <w:rFonts w:ascii="Times New Roman" w:hAnsi="Times New Roman" w:cs="Arial"/>
                      <w:color w:val="000000"/>
                      <w:kern w:val="2"/>
                      <w:sz w:val="21"/>
                      <w:szCs w:val="21"/>
                    </w:rPr>
                  </w:pPr>
                  <w:r>
                    <w:rPr>
                      <w:rFonts w:ascii="Times New Roman" w:hAnsi="Times New Roman" w:cs="Arial"/>
                      <w:color w:val="000000"/>
                      <w:kern w:val="2"/>
                      <w:sz w:val="21"/>
                      <w:szCs w:val="21"/>
                    </w:rPr>
                    <w:t>生产阶段环境 管理</w:t>
                  </w:r>
                </w:p>
              </w:tc>
              <w:tc>
                <w:tcPr>
                  <w:tcW w:w="7514" w:type="dxa"/>
                </w:tcPr>
                <w:p>
                  <w:pPr>
                    <w:pStyle w:val="137"/>
                    <w:spacing w:line="360" w:lineRule="auto"/>
                    <w:ind w:firstLine="420"/>
                    <w:rPr>
                      <w:rFonts w:ascii="Times New Roman" w:hAnsi="Times New Roman" w:cs="Arial"/>
                      <w:color w:val="000000"/>
                      <w:kern w:val="2"/>
                      <w:sz w:val="21"/>
                      <w:szCs w:val="21"/>
                    </w:rPr>
                  </w:pPr>
                  <w:r>
                    <w:rPr>
                      <w:rFonts w:ascii="Times New Roman" w:hAnsi="Times New Roman" w:cs="Arial"/>
                      <w:color w:val="000000"/>
                      <w:kern w:val="2"/>
                      <w:sz w:val="21"/>
                      <w:szCs w:val="21"/>
                    </w:rPr>
                    <w:t>加强环保设备运行检查，确保达产达标、力求降低排污水平；杜绝安全隐患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vAlign w:val="center"/>
                </w:tcPr>
                <w:p>
                  <w:pPr>
                    <w:pStyle w:val="137"/>
                    <w:spacing w:line="360" w:lineRule="auto"/>
                    <w:ind w:firstLine="420"/>
                    <w:rPr>
                      <w:rFonts w:ascii="Times New Roman" w:hAnsi="Times New Roman" w:cs="Arial"/>
                      <w:color w:val="000000"/>
                      <w:kern w:val="2"/>
                      <w:sz w:val="21"/>
                      <w:szCs w:val="21"/>
                    </w:rPr>
                  </w:pPr>
                </w:p>
              </w:tc>
              <w:tc>
                <w:tcPr>
                  <w:tcW w:w="7514" w:type="dxa"/>
                </w:tcPr>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⑴</w:t>
                  </w:r>
                  <w:r>
                    <w:rPr>
                      <w:rFonts w:ascii="Times New Roman" w:hAnsi="Times New Roman" w:cs="Arial"/>
                      <w:color w:val="000000"/>
                      <w:kern w:val="2"/>
                      <w:sz w:val="21"/>
                      <w:szCs w:val="21"/>
                    </w:rPr>
                    <w:t>明确专人负责厂内环保设施的管理；</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⑵</w:t>
                  </w:r>
                  <w:r>
                    <w:rPr>
                      <w:rFonts w:ascii="Times New Roman" w:hAnsi="Times New Roman" w:cs="Arial"/>
                      <w:color w:val="000000"/>
                      <w:kern w:val="2"/>
                      <w:sz w:val="21"/>
                      <w:szCs w:val="21"/>
                    </w:rPr>
                    <w:t>对各项环保设施操作、维护定量考核，建立环保设施运行档案；</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⑶</w:t>
                  </w:r>
                  <w:r>
                    <w:rPr>
                      <w:rFonts w:ascii="Times New Roman" w:hAnsi="Times New Roman" w:cs="Arial"/>
                      <w:color w:val="000000"/>
                      <w:kern w:val="2"/>
                      <w:sz w:val="21"/>
                      <w:szCs w:val="21"/>
                    </w:rPr>
                    <w:t>合理利用能源、资源、节水、节能；</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⑷</w:t>
                  </w:r>
                  <w:r>
                    <w:rPr>
                      <w:rFonts w:ascii="Times New Roman" w:hAnsi="Times New Roman" w:cs="Arial"/>
                      <w:color w:val="000000"/>
                      <w:kern w:val="2"/>
                      <w:sz w:val="21"/>
                      <w:szCs w:val="21"/>
                    </w:rPr>
                    <w:t>监督物料运输和堆存过程中的环境保护工作；</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⑸</w:t>
                  </w:r>
                  <w:r>
                    <w:rPr>
                      <w:rFonts w:ascii="Times New Roman" w:hAnsi="Times New Roman" w:cs="Arial"/>
                      <w:color w:val="000000"/>
                      <w:kern w:val="2"/>
                      <w:sz w:val="21"/>
                      <w:szCs w:val="21"/>
                    </w:rPr>
                    <w:t>定期组织污染源和厂区环境监测。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restart"/>
                  <w:vAlign w:val="center"/>
                </w:tcPr>
                <w:p>
                  <w:pPr>
                    <w:pStyle w:val="137"/>
                    <w:spacing w:line="360" w:lineRule="auto"/>
                    <w:ind w:firstLine="0" w:firstLineChars="0"/>
                    <w:rPr>
                      <w:rFonts w:ascii="Times New Roman" w:hAnsi="Times New Roman" w:cs="Arial"/>
                      <w:color w:val="000000"/>
                      <w:kern w:val="2"/>
                      <w:sz w:val="21"/>
                      <w:szCs w:val="21"/>
                    </w:rPr>
                  </w:pPr>
                  <w:r>
                    <w:rPr>
                      <w:rFonts w:ascii="Times New Roman" w:hAnsi="Times New Roman" w:cs="Arial"/>
                      <w:color w:val="000000"/>
                      <w:kern w:val="2"/>
                      <w:sz w:val="21"/>
                      <w:szCs w:val="21"/>
                    </w:rPr>
                    <w:t>信息反馈和群众监督</w:t>
                  </w:r>
                </w:p>
              </w:tc>
              <w:tc>
                <w:tcPr>
                  <w:tcW w:w="7514" w:type="dxa"/>
                </w:tcPr>
                <w:p>
                  <w:pPr>
                    <w:pStyle w:val="137"/>
                    <w:spacing w:line="360" w:lineRule="auto"/>
                    <w:ind w:firstLine="420"/>
                    <w:rPr>
                      <w:rFonts w:ascii="Times New Roman" w:hAnsi="Times New Roman" w:cs="Arial"/>
                      <w:color w:val="000000"/>
                      <w:kern w:val="2"/>
                      <w:sz w:val="21"/>
                      <w:szCs w:val="21"/>
                    </w:rPr>
                  </w:pPr>
                  <w:r>
                    <w:rPr>
                      <w:rFonts w:ascii="Times New Roman" w:hAnsi="Times New Roman" w:cs="Arial"/>
                      <w:color w:val="000000"/>
                      <w:kern w:val="2"/>
                      <w:sz w:val="21"/>
                      <w:szCs w:val="21"/>
                    </w:rPr>
                    <w:t>反馈监督数据，加强群众监督，改进污染治理工作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vAlign w:val="center"/>
                </w:tcPr>
                <w:p>
                  <w:pPr>
                    <w:pStyle w:val="137"/>
                    <w:spacing w:line="360" w:lineRule="auto"/>
                    <w:ind w:firstLine="420"/>
                    <w:rPr>
                      <w:rFonts w:ascii="Times New Roman" w:hAnsi="Times New Roman" w:cs="Arial"/>
                      <w:color w:val="000000"/>
                      <w:kern w:val="2"/>
                      <w:sz w:val="21"/>
                      <w:szCs w:val="21"/>
                    </w:rPr>
                  </w:pPr>
                </w:p>
              </w:tc>
              <w:tc>
                <w:tcPr>
                  <w:tcW w:w="7514" w:type="dxa"/>
                </w:tcPr>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⑴</w:t>
                  </w:r>
                  <w:r>
                    <w:rPr>
                      <w:rFonts w:ascii="Times New Roman" w:hAnsi="Times New Roman" w:cs="Arial"/>
                      <w:color w:val="000000"/>
                      <w:kern w:val="2"/>
                      <w:sz w:val="21"/>
                      <w:szCs w:val="21"/>
                    </w:rPr>
                    <w:t>建立奖惩制度，保证环保设施正常运转；</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⑵</w:t>
                  </w:r>
                  <w:r>
                    <w:rPr>
                      <w:rFonts w:ascii="Times New Roman" w:hAnsi="Times New Roman" w:cs="Arial"/>
                      <w:color w:val="000000"/>
                      <w:kern w:val="2"/>
                      <w:sz w:val="21"/>
                      <w:szCs w:val="21"/>
                    </w:rPr>
                    <w:t>归纳整理监督数据，技术部门配合进行工艺改进；</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⑶</w:t>
                  </w:r>
                  <w:r>
                    <w:rPr>
                      <w:rFonts w:ascii="Times New Roman" w:hAnsi="Times New Roman" w:cs="Arial"/>
                      <w:color w:val="000000"/>
                      <w:kern w:val="2"/>
                      <w:sz w:val="21"/>
                      <w:szCs w:val="21"/>
                    </w:rPr>
                    <w:t>聘请附近职工为监督员，听取其意见；</w:t>
                  </w:r>
                </w:p>
                <w:p>
                  <w:pPr>
                    <w:pStyle w:val="137"/>
                    <w:spacing w:line="360" w:lineRule="auto"/>
                    <w:ind w:firstLine="420"/>
                    <w:rPr>
                      <w:rFonts w:ascii="Times New Roman" w:hAnsi="Times New Roman" w:cs="Arial"/>
                      <w:color w:val="000000"/>
                      <w:kern w:val="2"/>
                      <w:sz w:val="21"/>
                      <w:szCs w:val="21"/>
                    </w:rPr>
                  </w:pPr>
                  <w:r>
                    <w:rPr>
                      <w:rFonts w:hint="eastAsia" w:ascii="Times New Roman" w:hAnsi="Times New Roman" w:cs="Arial"/>
                      <w:color w:val="000000"/>
                      <w:kern w:val="2"/>
                      <w:sz w:val="21"/>
                      <w:szCs w:val="21"/>
                    </w:rPr>
                    <w:t>⑷</w:t>
                  </w:r>
                  <w:r>
                    <w:rPr>
                      <w:rFonts w:ascii="Times New Roman" w:hAnsi="Times New Roman" w:cs="Arial"/>
                      <w:color w:val="000000"/>
                      <w:kern w:val="2"/>
                      <w:sz w:val="21"/>
                      <w:szCs w:val="21"/>
                    </w:rPr>
                    <w:t>配合</w:t>
                  </w:r>
                  <w:r>
                    <w:rPr>
                      <w:rFonts w:hint="eastAsia" w:ascii="Times New Roman" w:hAnsi="Times New Roman" w:cs="Arial"/>
                      <w:color w:val="000000"/>
                      <w:kern w:val="2"/>
                      <w:sz w:val="21"/>
                      <w:szCs w:val="21"/>
                    </w:rPr>
                    <w:t>生态环境</w:t>
                  </w:r>
                  <w:r>
                    <w:rPr>
                      <w:rFonts w:ascii="Times New Roman" w:hAnsi="Times New Roman" w:cs="Arial"/>
                      <w:color w:val="000000"/>
                      <w:kern w:val="2"/>
                      <w:sz w:val="21"/>
                      <w:szCs w:val="21"/>
                    </w:rPr>
                    <w:t>部门的检查验收。</w:t>
                  </w:r>
                </w:p>
              </w:tc>
            </w:tr>
          </w:tbl>
          <w:p>
            <w:pPr>
              <w:adjustRightInd w:val="0"/>
              <w:snapToGrid w:val="0"/>
              <w:spacing w:line="360" w:lineRule="auto"/>
              <w:ind w:firstLine="482" w:firstLineChars="200"/>
              <w:rPr>
                <w:rFonts w:hint="eastAsia"/>
                <w:b/>
                <w:bCs/>
                <w:color w:val="000000"/>
                <w:sz w:val="24"/>
              </w:rPr>
            </w:pPr>
            <w:r>
              <w:rPr>
                <w:rFonts w:hint="eastAsia"/>
                <w:b/>
                <w:bCs/>
                <w:color w:val="000000"/>
                <w:sz w:val="24"/>
                <w:lang w:val="en-US" w:eastAsia="zh-CN"/>
              </w:rPr>
              <w:t>8</w:t>
            </w:r>
            <w:r>
              <w:rPr>
                <w:rFonts w:hint="eastAsia"/>
                <w:b/>
                <w:bCs/>
                <w:color w:val="000000"/>
                <w:sz w:val="24"/>
              </w:rPr>
              <w:t>、环保投资</w:t>
            </w:r>
          </w:p>
          <w:p>
            <w:pPr>
              <w:widowControl/>
              <w:adjustRightInd w:val="0"/>
              <w:snapToGrid w:val="0"/>
              <w:spacing w:line="360" w:lineRule="auto"/>
              <w:ind w:firstLine="480" w:firstLineChars="200"/>
              <w:rPr>
                <w:rFonts w:hint="eastAsia" w:ascii="宋体" w:hAnsi="宋体" w:cs="宋体"/>
                <w:color w:val="0000FF"/>
                <w:sz w:val="24"/>
              </w:rPr>
            </w:pPr>
            <w:r>
              <w:rPr>
                <w:color w:val="0000FF"/>
                <w:sz w:val="24"/>
              </w:rPr>
              <w:t>本项目总投资</w:t>
            </w:r>
            <w:r>
              <w:rPr>
                <w:rFonts w:hint="eastAsia"/>
                <w:color w:val="0000FF"/>
                <w:sz w:val="24"/>
                <w:lang w:val="en-US" w:eastAsia="zh-CN"/>
              </w:rPr>
              <w:t>1200</w:t>
            </w:r>
            <w:r>
              <w:rPr>
                <w:color w:val="0000FF"/>
                <w:sz w:val="24"/>
              </w:rPr>
              <w:t>万元，环保投资为</w:t>
            </w:r>
            <w:r>
              <w:rPr>
                <w:rFonts w:hint="eastAsia"/>
                <w:color w:val="0000FF"/>
                <w:sz w:val="24"/>
                <w:lang w:val="en-US" w:eastAsia="zh-CN"/>
              </w:rPr>
              <w:t>80</w:t>
            </w:r>
            <w:r>
              <w:rPr>
                <w:rFonts w:hint="eastAsia"/>
                <w:color w:val="0000FF"/>
                <w:sz w:val="24"/>
              </w:rPr>
              <w:t>万元</w:t>
            </w:r>
            <w:r>
              <w:rPr>
                <w:color w:val="0000FF"/>
                <w:sz w:val="24"/>
              </w:rPr>
              <w:t>，</w:t>
            </w:r>
            <w:r>
              <w:rPr>
                <w:rFonts w:hint="eastAsia"/>
                <w:color w:val="0000FF"/>
                <w:sz w:val="24"/>
              </w:rPr>
              <w:t>约</w:t>
            </w:r>
            <w:r>
              <w:rPr>
                <w:color w:val="0000FF"/>
                <w:sz w:val="24"/>
              </w:rPr>
              <w:t>占总投资的</w:t>
            </w:r>
            <w:r>
              <w:rPr>
                <w:rFonts w:hint="eastAsia"/>
                <w:color w:val="0000FF"/>
                <w:sz w:val="24"/>
                <w:lang w:val="en-US" w:eastAsia="zh-CN"/>
              </w:rPr>
              <w:t>6.67</w:t>
            </w:r>
            <w:r>
              <w:rPr>
                <w:color w:val="0000FF"/>
                <w:sz w:val="24"/>
              </w:rPr>
              <w:t>%。具体环保投资情况见表</w:t>
            </w:r>
            <w:r>
              <w:rPr>
                <w:rFonts w:hint="eastAsia"/>
                <w:color w:val="0000FF"/>
                <w:sz w:val="24"/>
              </w:rPr>
              <w:t>4-</w:t>
            </w:r>
            <w:r>
              <w:rPr>
                <w:rFonts w:hint="eastAsia"/>
                <w:color w:val="0000FF"/>
                <w:sz w:val="24"/>
                <w:lang w:val="en-US" w:eastAsia="zh-CN"/>
              </w:rPr>
              <w:t>40</w:t>
            </w:r>
            <w:r>
              <w:rPr>
                <w:color w:val="0000FF"/>
                <w:sz w:val="24"/>
              </w:rPr>
              <w:t>。</w:t>
            </w:r>
          </w:p>
          <w:p>
            <w:pPr>
              <w:spacing w:before="120" w:beforeLines="50"/>
              <w:jc w:val="center"/>
              <w:rPr>
                <w:rFonts w:hint="eastAsia" w:ascii="宋体" w:hAnsi="宋体" w:cs="宋体"/>
                <w:color w:val="0000FF"/>
                <w:sz w:val="24"/>
              </w:rPr>
            </w:pPr>
          </w:p>
          <w:p>
            <w:pPr>
              <w:spacing w:before="120" w:beforeLines="50"/>
              <w:jc w:val="center"/>
              <w:rPr>
                <w:rFonts w:hint="eastAsia" w:ascii="宋体" w:hAnsi="宋体" w:cs="宋体"/>
                <w:color w:val="0000FF"/>
                <w:sz w:val="24"/>
              </w:rPr>
            </w:pPr>
            <w:r>
              <w:rPr>
                <w:rFonts w:hint="eastAsia" w:ascii="宋体" w:hAnsi="宋体" w:cs="宋体"/>
                <w:color w:val="0000FF"/>
                <w:sz w:val="24"/>
              </w:rPr>
              <w:t>表</w:t>
            </w:r>
            <w:r>
              <w:rPr>
                <w:color w:val="0000FF"/>
                <w:sz w:val="24"/>
              </w:rPr>
              <w:t>4-</w:t>
            </w:r>
            <w:r>
              <w:rPr>
                <w:rFonts w:hint="eastAsia"/>
                <w:color w:val="0000FF"/>
                <w:sz w:val="24"/>
                <w:lang w:val="en-US" w:eastAsia="zh-CN"/>
              </w:rPr>
              <w:t>40</w:t>
            </w:r>
            <w:r>
              <w:rPr>
                <w:rFonts w:hint="eastAsia" w:ascii="宋体" w:hAnsi="宋体" w:cs="宋体"/>
                <w:color w:val="0000FF"/>
                <w:sz w:val="24"/>
              </w:rPr>
              <w:t xml:space="preserve">  项目环保投资一览表</w:t>
            </w:r>
          </w:p>
          <w:tbl>
            <w:tblPr>
              <w:tblStyle w:val="33"/>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679"/>
              <w:gridCol w:w="4003"/>
              <w:gridCol w:w="21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7" w:type="pct"/>
                  <w:tcBorders>
                    <w:top w:val="single" w:color="auto" w:sz="12" w:space="0"/>
                    <w:bottom w:val="single" w:color="auto" w:sz="4" w:space="0"/>
                  </w:tcBorders>
                  <w:noWrap w:val="0"/>
                  <w:vAlign w:val="center"/>
                </w:tcPr>
                <w:p>
                  <w:pPr>
                    <w:adjustRightInd w:val="0"/>
                    <w:snapToGrid w:val="0"/>
                    <w:spacing w:line="340" w:lineRule="exact"/>
                    <w:jc w:val="center"/>
                    <w:rPr>
                      <w:color w:val="0000FF"/>
                    </w:rPr>
                  </w:pPr>
                  <w:r>
                    <w:rPr>
                      <w:color w:val="0000FF"/>
                    </w:rPr>
                    <w:t>序号</w:t>
                  </w:r>
                </w:p>
              </w:tc>
              <w:tc>
                <w:tcPr>
                  <w:tcW w:w="988" w:type="pct"/>
                  <w:tcBorders>
                    <w:top w:val="single" w:color="auto" w:sz="12" w:space="0"/>
                    <w:bottom w:val="single" w:color="auto" w:sz="4" w:space="0"/>
                  </w:tcBorders>
                  <w:noWrap w:val="0"/>
                  <w:vAlign w:val="center"/>
                </w:tcPr>
                <w:p>
                  <w:pPr>
                    <w:adjustRightInd w:val="0"/>
                    <w:snapToGrid w:val="0"/>
                    <w:spacing w:line="340" w:lineRule="exact"/>
                    <w:jc w:val="center"/>
                    <w:rPr>
                      <w:color w:val="0000FF"/>
                    </w:rPr>
                  </w:pPr>
                  <w:r>
                    <w:rPr>
                      <w:color w:val="0000FF"/>
                    </w:rPr>
                    <w:t>项  目</w:t>
                  </w:r>
                </w:p>
              </w:tc>
              <w:tc>
                <w:tcPr>
                  <w:tcW w:w="2355" w:type="pct"/>
                  <w:tcBorders>
                    <w:top w:val="single" w:color="auto" w:sz="12" w:space="0"/>
                    <w:bottom w:val="single" w:color="auto" w:sz="4" w:space="0"/>
                  </w:tcBorders>
                  <w:noWrap w:val="0"/>
                  <w:vAlign w:val="center"/>
                </w:tcPr>
                <w:p>
                  <w:pPr>
                    <w:adjustRightInd w:val="0"/>
                    <w:snapToGrid w:val="0"/>
                    <w:spacing w:line="340" w:lineRule="exact"/>
                    <w:jc w:val="center"/>
                    <w:rPr>
                      <w:color w:val="0000FF"/>
                    </w:rPr>
                  </w:pPr>
                  <w:r>
                    <w:rPr>
                      <w:color w:val="0000FF"/>
                    </w:rPr>
                    <w:t>环保建设规模</w:t>
                  </w:r>
                </w:p>
              </w:tc>
              <w:tc>
                <w:tcPr>
                  <w:tcW w:w="1249" w:type="pct"/>
                  <w:tcBorders>
                    <w:top w:val="single" w:color="auto" w:sz="12" w:space="0"/>
                    <w:bottom w:val="single" w:color="auto" w:sz="4" w:space="0"/>
                  </w:tcBorders>
                  <w:noWrap w:val="0"/>
                  <w:vAlign w:val="center"/>
                </w:tcPr>
                <w:p>
                  <w:pPr>
                    <w:adjustRightInd w:val="0"/>
                    <w:snapToGrid w:val="0"/>
                    <w:spacing w:line="340" w:lineRule="exact"/>
                    <w:jc w:val="center"/>
                    <w:rPr>
                      <w:color w:val="0000FF"/>
                    </w:rPr>
                  </w:pPr>
                  <w:r>
                    <w:rPr>
                      <w:color w:val="0000FF"/>
                    </w:rPr>
                    <w:t>投资额（万元）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7" w:type="pct"/>
                  <w:tcBorders>
                    <w:top w:val="single" w:color="auto" w:sz="4" w:space="0"/>
                  </w:tcBorders>
                  <w:noWrap w:val="0"/>
                  <w:vAlign w:val="center"/>
                </w:tcPr>
                <w:p>
                  <w:pPr>
                    <w:adjustRightInd w:val="0"/>
                    <w:snapToGrid w:val="0"/>
                    <w:spacing w:line="340" w:lineRule="exact"/>
                    <w:jc w:val="center"/>
                    <w:rPr>
                      <w:color w:val="0000FF"/>
                    </w:rPr>
                  </w:pPr>
                  <w:r>
                    <w:rPr>
                      <w:color w:val="0000FF"/>
                    </w:rPr>
                    <w:t>1</w:t>
                  </w:r>
                </w:p>
              </w:tc>
              <w:tc>
                <w:tcPr>
                  <w:tcW w:w="988" w:type="pct"/>
                  <w:tcBorders>
                    <w:top w:val="single" w:color="auto" w:sz="4" w:space="0"/>
                  </w:tcBorders>
                  <w:noWrap w:val="0"/>
                  <w:vAlign w:val="center"/>
                </w:tcPr>
                <w:p>
                  <w:pPr>
                    <w:adjustRightInd w:val="0"/>
                    <w:snapToGrid w:val="0"/>
                    <w:spacing w:line="340" w:lineRule="exact"/>
                    <w:jc w:val="center"/>
                    <w:rPr>
                      <w:color w:val="0000FF"/>
                    </w:rPr>
                  </w:pPr>
                  <w:r>
                    <w:rPr>
                      <w:color w:val="0000FF"/>
                    </w:rPr>
                    <w:t>废气处理设施</w:t>
                  </w:r>
                </w:p>
              </w:tc>
              <w:tc>
                <w:tcPr>
                  <w:tcW w:w="2355" w:type="pct"/>
                  <w:tcBorders>
                    <w:top w:val="single" w:color="auto" w:sz="4" w:space="0"/>
                  </w:tcBorders>
                  <w:noWrap w:val="0"/>
                  <w:vAlign w:val="center"/>
                </w:tcPr>
                <w:p>
                  <w:pPr>
                    <w:adjustRightInd w:val="0"/>
                    <w:snapToGrid w:val="0"/>
                    <w:jc w:val="center"/>
                    <w:rPr>
                      <w:color w:val="0000FF"/>
                    </w:rPr>
                  </w:pPr>
                  <w:r>
                    <w:rPr>
                      <w:rFonts w:hint="eastAsia"/>
                      <w:color w:val="0000FF"/>
                    </w:rPr>
                    <w:t>3套</w:t>
                  </w:r>
                  <w:r>
                    <w:rPr>
                      <w:rFonts w:hint="eastAsia"/>
                      <w:color w:val="0000FF"/>
                      <w:kern w:val="0"/>
                      <w:szCs w:val="21"/>
                    </w:rPr>
                    <w:t>水帘柜+二级活性炭吸附装置</w:t>
                  </w:r>
                  <w:r>
                    <w:rPr>
                      <w:color w:val="0000FF"/>
                      <w:kern w:val="0"/>
                      <w:szCs w:val="21"/>
                    </w:rPr>
                    <w:t>+</w:t>
                  </w:r>
                  <w:r>
                    <w:rPr>
                      <w:rFonts w:hint="eastAsia"/>
                      <w:color w:val="0000FF"/>
                      <w:kern w:val="0"/>
                      <w:szCs w:val="21"/>
                    </w:rPr>
                    <w:t>1</w:t>
                  </w:r>
                  <w:r>
                    <w:rPr>
                      <w:color w:val="0000FF"/>
                      <w:kern w:val="0"/>
                      <w:szCs w:val="21"/>
                    </w:rPr>
                    <w:t>5m高排气筒</w:t>
                  </w:r>
                  <w:r>
                    <w:rPr>
                      <w:rFonts w:hint="eastAsia"/>
                      <w:color w:val="0000FF"/>
                    </w:rPr>
                    <w:t>；</w:t>
                  </w:r>
                  <w:r>
                    <w:rPr>
                      <w:rFonts w:hint="eastAsia"/>
                      <w:color w:val="0000FF"/>
                      <w:lang w:val="en-US" w:eastAsia="zh-CN"/>
                    </w:rPr>
                    <w:t>2</w:t>
                  </w:r>
                  <w:r>
                    <w:rPr>
                      <w:rFonts w:hint="eastAsia"/>
                      <w:color w:val="0000FF"/>
                    </w:rPr>
                    <w:t>套集气罩+</w:t>
                  </w:r>
                  <w:r>
                    <w:rPr>
                      <w:rFonts w:hint="eastAsia"/>
                      <w:color w:val="0000FF"/>
                      <w:lang w:eastAsia="zh-CN"/>
                    </w:rPr>
                    <w:t>中央除尘器</w:t>
                  </w:r>
                  <w:r>
                    <w:rPr>
                      <w:rFonts w:hint="eastAsia"/>
                      <w:color w:val="0000FF"/>
                    </w:rPr>
                    <w:t>+15m高排气筒</w:t>
                  </w:r>
                </w:p>
              </w:tc>
              <w:tc>
                <w:tcPr>
                  <w:tcW w:w="1249" w:type="pct"/>
                  <w:tcBorders>
                    <w:top w:val="single" w:color="auto" w:sz="4" w:space="0"/>
                  </w:tcBorders>
                  <w:noWrap w:val="0"/>
                  <w:vAlign w:val="center"/>
                </w:tcPr>
                <w:p>
                  <w:pPr>
                    <w:adjustRightInd w:val="0"/>
                    <w:snapToGrid w:val="0"/>
                    <w:spacing w:line="340" w:lineRule="exact"/>
                    <w:jc w:val="center"/>
                    <w:rPr>
                      <w:rFonts w:hint="default" w:eastAsia="宋体"/>
                      <w:color w:val="0000FF"/>
                      <w:lang w:val="en-US" w:eastAsia="zh-CN"/>
                    </w:rPr>
                  </w:pPr>
                  <w:r>
                    <w:rPr>
                      <w:rFonts w:hint="eastAsia"/>
                      <w:color w:val="0000FF"/>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7" w:type="pct"/>
                  <w:tcBorders>
                    <w:top w:val="single" w:color="auto" w:sz="4" w:space="0"/>
                  </w:tcBorders>
                  <w:noWrap w:val="0"/>
                  <w:vAlign w:val="center"/>
                </w:tcPr>
                <w:p>
                  <w:pPr>
                    <w:adjustRightInd w:val="0"/>
                    <w:snapToGrid w:val="0"/>
                    <w:spacing w:line="340" w:lineRule="exact"/>
                    <w:jc w:val="center"/>
                    <w:rPr>
                      <w:color w:val="0000FF"/>
                    </w:rPr>
                  </w:pPr>
                  <w:r>
                    <w:rPr>
                      <w:color w:val="0000FF"/>
                    </w:rPr>
                    <w:t>2</w:t>
                  </w:r>
                </w:p>
              </w:tc>
              <w:tc>
                <w:tcPr>
                  <w:tcW w:w="988" w:type="pct"/>
                  <w:tcBorders>
                    <w:top w:val="single" w:color="auto" w:sz="4" w:space="0"/>
                  </w:tcBorders>
                  <w:noWrap w:val="0"/>
                  <w:vAlign w:val="center"/>
                </w:tcPr>
                <w:p>
                  <w:pPr>
                    <w:adjustRightInd w:val="0"/>
                    <w:snapToGrid w:val="0"/>
                    <w:spacing w:line="340" w:lineRule="exact"/>
                    <w:jc w:val="center"/>
                    <w:rPr>
                      <w:color w:val="0000FF"/>
                    </w:rPr>
                  </w:pPr>
                  <w:r>
                    <w:rPr>
                      <w:color w:val="0000FF"/>
                    </w:rPr>
                    <w:t>废水处理设施</w:t>
                  </w:r>
                </w:p>
              </w:tc>
              <w:tc>
                <w:tcPr>
                  <w:tcW w:w="2355" w:type="pct"/>
                  <w:tcBorders>
                    <w:top w:val="single" w:color="auto" w:sz="4" w:space="0"/>
                  </w:tcBorders>
                  <w:noWrap w:val="0"/>
                  <w:vAlign w:val="center"/>
                </w:tcPr>
                <w:p>
                  <w:pPr>
                    <w:adjustRightInd w:val="0"/>
                    <w:snapToGrid w:val="0"/>
                    <w:spacing w:line="340" w:lineRule="exact"/>
                    <w:jc w:val="center"/>
                    <w:rPr>
                      <w:rFonts w:hint="eastAsia"/>
                      <w:color w:val="0000FF"/>
                    </w:rPr>
                  </w:pPr>
                  <w:r>
                    <w:rPr>
                      <w:color w:val="0000FF"/>
                    </w:rPr>
                    <w:t>化粪池</w:t>
                  </w:r>
                  <w:r>
                    <w:rPr>
                      <w:rFonts w:hint="eastAsia"/>
                      <w:color w:val="0000FF"/>
                    </w:rPr>
                    <w:t>（依托现有）</w:t>
                  </w:r>
                </w:p>
              </w:tc>
              <w:tc>
                <w:tcPr>
                  <w:tcW w:w="1249" w:type="pct"/>
                  <w:tcBorders>
                    <w:top w:val="single" w:color="auto" w:sz="4" w:space="0"/>
                  </w:tcBorders>
                  <w:noWrap w:val="0"/>
                  <w:vAlign w:val="center"/>
                </w:tcPr>
                <w:p>
                  <w:pPr>
                    <w:adjustRightInd w:val="0"/>
                    <w:snapToGrid w:val="0"/>
                    <w:spacing w:line="340" w:lineRule="exact"/>
                    <w:jc w:val="center"/>
                    <w:rPr>
                      <w:rFonts w:hint="eastAsia" w:eastAsia="宋体"/>
                      <w:color w:val="0000FF"/>
                      <w:lang w:eastAsia="zh-CN"/>
                    </w:rPr>
                  </w:pPr>
                  <w:r>
                    <w:rPr>
                      <w:rFonts w:hint="eastAsia"/>
                      <w:color w:val="0000FF"/>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7" w:type="pct"/>
                  <w:noWrap w:val="0"/>
                  <w:vAlign w:val="center"/>
                </w:tcPr>
                <w:p>
                  <w:pPr>
                    <w:adjustRightInd w:val="0"/>
                    <w:snapToGrid w:val="0"/>
                    <w:spacing w:line="340" w:lineRule="exact"/>
                    <w:jc w:val="center"/>
                    <w:rPr>
                      <w:color w:val="0000FF"/>
                    </w:rPr>
                  </w:pPr>
                  <w:r>
                    <w:rPr>
                      <w:color w:val="0000FF"/>
                    </w:rPr>
                    <w:t>3</w:t>
                  </w:r>
                </w:p>
              </w:tc>
              <w:tc>
                <w:tcPr>
                  <w:tcW w:w="988" w:type="pct"/>
                  <w:noWrap w:val="0"/>
                  <w:vAlign w:val="center"/>
                </w:tcPr>
                <w:p>
                  <w:pPr>
                    <w:adjustRightInd w:val="0"/>
                    <w:snapToGrid w:val="0"/>
                    <w:spacing w:line="340" w:lineRule="exact"/>
                    <w:jc w:val="center"/>
                    <w:rPr>
                      <w:color w:val="0000FF"/>
                    </w:rPr>
                  </w:pPr>
                  <w:r>
                    <w:rPr>
                      <w:color w:val="0000FF"/>
                    </w:rPr>
                    <w:t>固体废物处置</w:t>
                  </w:r>
                </w:p>
              </w:tc>
              <w:tc>
                <w:tcPr>
                  <w:tcW w:w="2355" w:type="pct"/>
                  <w:noWrap w:val="0"/>
                  <w:vAlign w:val="center"/>
                </w:tcPr>
                <w:p>
                  <w:pPr>
                    <w:adjustRightInd w:val="0"/>
                    <w:snapToGrid w:val="0"/>
                    <w:spacing w:line="340" w:lineRule="exact"/>
                    <w:jc w:val="center"/>
                    <w:rPr>
                      <w:rFonts w:hint="eastAsia"/>
                      <w:color w:val="0000FF"/>
                    </w:rPr>
                  </w:pPr>
                  <w:r>
                    <w:rPr>
                      <w:rFonts w:hint="eastAsia"/>
                      <w:color w:val="0000FF"/>
                    </w:rPr>
                    <w:t>危废暂存间、一般固废暂存间、垃圾桶</w:t>
                  </w:r>
                </w:p>
              </w:tc>
              <w:tc>
                <w:tcPr>
                  <w:tcW w:w="1249" w:type="pct"/>
                  <w:noWrap w:val="0"/>
                  <w:vAlign w:val="center"/>
                </w:tcPr>
                <w:p>
                  <w:pPr>
                    <w:adjustRightInd w:val="0"/>
                    <w:snapToGrid w:val="0"/>
                    <w:spacing w:line="340" w:lineRule="exact"/>
                    <w:jc w:val="center"/>
                    <w:rPr>
                      <w:rFonts w:hint="eastAsia"/>
                      <w:color w:val="0000FF"/>
                    </w:rPr>
                  </w:pPr>
                  <w:r>
                    <w:rPr>
                      <w:rFonts w:hint="eastAsia"/>
                      <w:color w:val="0000FF"/>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7" w:type="pct"/>
                  <w:noWrap w:val="0"/>
                  <w:vAlign w:val="center"/>
                </w:tcPr>
                <w:p>
                  <w:pPr>
                    <w:adjustRightInd w:val="0"/>
                    <w:snapToGrid w:val="0"/>
                    <w:spacing w:line="340" w:lineRule="exact"/>
                    <w:jc w:val="center"/>
                    <w:rPr>
                      <w:color w:val="0000FF"/>
                    </w:rPr>
                  </w:pPr>
                  <w:r>
                    <w:rPr>
                      <w:color w:val="0000FF"/>
                    </w:rPr>
                    <w:t>4</w:t>
                  </w:r>
                </w:p>
              </w:tc>
              <w:tc>
                <w:tcPr>
                  <w:tcW w:w="988" w:type="pct"/>
                  <w:noWrap w:val="0"/>
                  <w:vAlign w:val="center"/>
                </w:tcPr>
                <w:p>
                  <w:pPr>
                    <w:adjustRightInd w:val="0"/>
                    <w:snapToGrid w:val="0"/>
                    <w:spacing w:line="340" w:lineRule="exact"/>
                    <w:jc w:val="center"/>
                    <w:rPr>
                      <w:color w:val="0000FF"/>
                    </w:rPr>
                  </w:pPr>
                  <w:r>
                    <w:rPr>
                      <w:color w:val="0000FF"/>
                    </w:rPr>
                    <w:t>噪声防治措施</w:t>
                  </w:r>
                </w:p>
              </w:tc>
              <w:tc>
                <w:tcPr>
                  <w:tcW w:w="2355" w:type="pct"/>
                  <w:noWrap w:val="0"/>
                  <w:vAlign w:val="center"/>
                </w:tcPr>
                <w:p>
                  <w:pPr>
                    <w:adjustRightInd w:val="0"/>
                    <w:snapToGrid w:val="0"/>
                    <w:spacing w:line="340" w:lineRule="exact"/>
                    <w:jc w:val="center"/>
                    <w:rPr>
                      <w:color w:val="0000FF"/>
                    </w:rPr>
                  </w:pPr>
                  <w:r>
                    <w:rPr>
                      <w:color w:val="0000FF"/>
                    </w:rPr>
                    <w:t>减振基础、消声器等降噪措施</w:t>
                  </w:r>
                </w:p>
              </w:tc>
              <w:tc>
                <w:tcPr>
                  <w:tcW w:w="1249" w:type="pct"/>
                  <w:noWrap w:val="0"/>
                  <w:vAlign w:val="center"/>
                </w:tcPr>
                <w:p>
                  <w:pPr>
                    <w:adjustRightInd w:val="0"/>
                    <w:snapToGrid w:val="0"/>
                    <w:spacing w:line="340" w:lineRule="exact"/>
                    <w:jc w:val="center"/>
                    <w:rPr>
                      <w:color w:val="0000FF"/>
                    </w:rPr>
                  </w:pPr>
                  <w:r>
                    <w:rPr>
                      <w:rFonts w:hint="eastAsia"/>
                      <w:color w:val="0000FF"/>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7" w:type="pct"/>
                  <w:noWrap w:val="0"/>
                  <w:vAlign w:val="center"/>
                </w:tcPr>
                <w:p>
                  <w:pPr>
                    <w:adjustRightInd w:val="0"/>
                    <w:snapToGrid w:val="0"/>
                    <w:spacing w:line="340" w:lineRule="exact"/>
                    <w:jc w:val="center"/>
                    <w:rPr>
                      <w:color w:val="0000FF"/>
                    </w:rPr>
                  </w:pPr>
                  <w:r>
                    <w:rPr>
                      <w:color w:val="0000FF"/>
                    </w:rPr>
                    <w:t>5</w:t>
                  </w:r>
                </w:p>
              </w:tc>
              <w:tc>
                <w:tcPr>
                  <w:tcW w:w="988" w:type="pct"/>
                  <w:noWrap w:val="0"/>
                  <w:vAlign w:val="center"/>
                </w:tcPr>
                <w:p>
                  <w:pPr>
                    <w:adjustRightInd w:val="0"/>
                    <w:snapToGrid w:val="0"/>
                    <w:spacing w:line="340" w:lineRule="exact"/>
                    <w:jc w:val="center"/>
                    <w:rPr>
                      <w:color w:val="0000FF"/>
                    </w:rPr>
                  </w:pPr>
                  <w:r>
                    <w:rPr>
                      <w:color w:val="0000FF"/>
                    </w:rPr>
                    <w:t>合   计</w:t>
                  </w:r>
                </w:p>
              </w:tc>
              <w:tc>
                <w:tcPr>
                  <w:tcW w:w="2355" w:type="pct"/>
                  <w:noWrap w:val="0"/>
                  <w:vAlign w:val="center"/>
                </w:tcPr>
                <w:p>
                  <w:pPr>
                    <w:adjustRightInd w:val="0"/>
                    <w:snapToGrid w:val="0"/>
                    <w:spacing w:line="340" w:lineRule="exact"/>
                    <w:jc w:val="center"/>
                    <w:rPr>
                      <w:color w:val="0000FF"/>
                    </w:rPr>
                  </w:pPr>
                  <w:r>
                    <w:rPr>
                      <w:color w:val="0000FF"/>
                    </w:rPr>
                    <w:t>/</w:t>
                  </w:r>
                </w:p>
              </w:tc>
              <w:tc>
                <w:tcPr>
                  <w:tcW w:w="1249" w:type="pct"/>
                  <w:noWrap w:val="0"/>
                  <w:vAlign w:val="center"/>
                </w:tcPr>
                <w:p>
                  <w:pPr>
                    <w:adjustRightInd w:val="0"/>
                    <w:snapToGrid w:val="0"/>
                    <w:spacing w:line="340" w:lineRule="exact"/>
                    <w:jc w:val="center"/>
                    <w:rPr>
                      <w:rFonts w:hint="default" w:eastAsia="宋体"/>
                      <w:color w:val="0000FF"/>
                      <w:lang w:val="en-US" w:eastAsia="zh-CN"/>
                    </w:rPr>
                  </w:pPr>
                  <w:r>
                    <w:rPr>
                      <w:rFonts w:hint="eastAsia"/>
                      <w:color w:val="0000FF"/>
                      <w:lang w:val="en-US" w:eastAsia="zh-CN"/>
                    </w:rPr>
                    <w:t>80</w:t>
                  </w:r>
                </w:p>
              </w:tc>
            </w:tr>
          </w:tbl>
          <w:p>
            <w:pPr>
              <w:widowControl/>
              <w:snapToGrid w:val="0"/>
              <w:spacing w:line="360" w:lineRule="auto"/>
              <w:ind w:firstLine="482" w:firstLineChars="200"/>
              <w:jc w:val="left"/>
              <w:outlineLvl w:val="2"/>
              <w:rPr>
                <w:b/>
                <w:bCs/>
                <w:color w:val="000000"/>
                <w:sz w:val="24"/>
              </w:rPr>
            </w:pPr>
            <w:r>
              <w:rPr>
                <w:rFonts w:hint="eastAsia"/>
                <w:b/>
                <w:bCs/>
                <w:color w:val="000000"/>
                <w:sz w:val="24"/>
                <w:lang w:val="en-US" w:eastAsia="zh-CN"/>
              </w:rPr>
              <w:t>9</w:t>
            </w:r>
            <w:r>
              <w:rPr>
                <w:rFonts w:hint="eastAsia"/>
                <w:b/>
                <w:bCs/>
                <w:color w:val="000000"/>
                <w:sz w:val="24"/>
              </w:rPr>
              <w:t>、</w:t>
            </w:r>
            <w:r>
              <w:rPr>
                <w:b/>
                <w:bCs/>
                <w:color w:val="000000"/>
                <w:sz w:val="24"/>
              </w:rPr>
              <w:t>排污口的规范化</w:t>
            </w:r>
          </w:p>
          <w:p>
            <w:pPr>
              <w:widowControl/>
              <w:snapToGrid w:val="0"/>
              <w:spacing w:line="360" w:lineRule="auto"/>
              <w:ind w:firstLine="480" w:firstLineChars="200"/>
              <w:jc w:val="left"/>
              <w:outlineLvl w:val="2"/>
              <w:rPr>
                <w:sz w:val="24"/>
              </w:rPr>
            </w:pPr>
            <w:r>
              <w:rPr>
                <w:sz w:val="24"/>
              </w:rPr>
              <w:t>根据《关于开展排放口规范化整治工作的通知》国家环境保护总局环发</w:t>
            </w:r>
            <w:r>
              <w:rPr>
                <w:rFonts w:hint="eastAsia" w:ascii="宋体" w:hAnsi="宋体"/>
                <w:sz w:val="24"/>
              </w:rPr>
              <w:t>〔</w:t>
            </w:r>
            <w:r>
              <w:rPr>
                <w:sz w:val="24"/>
              </w:rPr>
              <w:t>1999</w:t>
            </w:r>
            <w:r>
              <w:rPr>
                <w:rFonts w:hint="eastAsia" w:ascii="宋体" w:hAnsi="宋体"/>
                <w:sz w:val="24"/>
              </w:rPr>
              <w:t>〕</w:t>
            </w:r>
            <w:r>
              <w:rPr>
                <w:sz w:val="24"/>
              </w:rPr>
              <w:t>24号文件的要求，一切新建、改建的排污单位以及限期治理的排污单位，必须在建设污染治理设施的同时，建设规范化排污口。因此，建设单位在投产时，各类排污口必须规范化建设和管理，而且规范化工作应于污染治理同步实施，即治理设施完工时，规范化工作必须同时完成，并列入污染物治理设施的验收内容。</w:t>
            </w:r>
          </w:p>
          <w:p>
            <w:pPr>
              <w:snapToGrid w:val="0"/>
              <w:spacing w:line="360" w:lineRule="auto"/>
              <w:ind w:firstLine="480" w:firstLineChars="200"/>
              <w:rPr>
                <w:sz w:val="24"/>
              </w:rPr>
            </w:pPr>
            <w:r>
              <w:rPr>
                <w:rFonts w:hint="eastAsia"/>
                <w:sz w:val="24"/>
              </w:rPr>
              <w:t>（1）</w:t>
            </w:r>
            <w:r>
              <w:rPr>
                <w:sz w:val="24"/>
              </w:rPr>
              <w:t>排污口图形标志</w:t>
            </w:r>
          </w:p>
          <w:p>
            <w:pPr>
              <w:snapToGrid w:val="0"/>
              <w:spacing w:line="360" w:lineRule="auto"/>
              <w:ind w:firstLine="480" w:firstLineChars="200"/>
              <w:rPr>
                <w:sz w:val="24"/>
              </w:rPr>
            </w:pPr>
            <w:r>
              <w:rPr>
                <w:sz w:val="24"/>
                <w:lang w:val="zh-CN"/>
              </w:rPr>
              <w:t>废气排放口、废水排放口和噪声排放源、固体废物贮存（处置）场图形符号分别为提示图形符号和警告图形符号两种，图形符号的设置按</w:t>
            </w:r>
            <w:r>
              <w:rPr>
                <w:color w:val="0000FF"/>
                <w:kern w:val="18"/>
                <w:sz w:val="24"/>
              </w:rPr>
              <w:t>GB15562.1-1995、</w:t>
            </w:r>
            <w:r>
              <w:rPr>
                <w:rFonts w:hint="eastAsia"/>
                <w:color w:val="0000FF"/>
                <w:kern w:val="18"/>
                <w:sz w:val="24"/>
              </w:rPr>
              <w:t>（GB 15562.2-1995）修改单（2023年7月1日起实施）</w:t>
            </w:r>
            <w:r>
              <w:rPr>
                <w:sz w:val="24"/>
                <w:lang w:val="zh-CN"/>
              </w:rPr>
              <w:t>执行。</w:t>
            </w:r>
          </w:p>
          <w:p>
            <w:pPr>
              <w:autoSpaceDN w:val="0"/>
              <w:spacing w:before="120" w:beforeLines="50"/>
              <w:ind w:firstLine="482"/>
              <w:jc w:val="center"/>
              <w:rPr>
                <w:rFonts w:eastAsia="黑体"/>
                <w:bCs/>
                <w:color w:val="000000"/>
                <w:spacing w:val="4"/>
                <w:sz w:val="24"/>
              </w:rPr>
            </w:pPr>
            <w:r>
              <w:rPr>
                <w:rFonts w:hint="eastAsia" w:eastAsia="黑体"/>
                <w:bCs/>
                <w:color w:val="000000"/>
                <w:spacing w:val="4"/>
                <w:sz w:val="24"/>
              </w:rPr>
              <w:t>表4-4</w:t>
            </w:r>
            <w:r>
              <w:rPr>
                <w:rFonts w:hint="eastAsia" w:eastAsia="黑体"/>
                <w:bCs/>
                <w:color w:val="000000"/>
                <w:spacing w:val="4"/>
                <w:sz w:val="24"/>
                <w:lang w:val="en-US" w:eastAsia="zh-CN"/>
              </w:rPr>
              <w:t>1</w:t>
            </w:r>
            <w:r>
              <w:rPr>
                <w:rFonts w:hint="eastAsia" w:eastAsia="黑体"/>
                <w:bCs/>
                <w:color w:val="000000"/>
                <w:spacing w:val="4"/>
                <w:sz w:val="24"/>
              </w:rPr>
              <w:t xml:space="preserve">  环境保护图形标志的形状及颜色表</w:t>
            </w:r>
          </w:p>
          <w:tbl>
            <w:tblPr>
              <w:tblStyle w:val="33"/>
              <w:tblpPr w:leftFromText="180" w:rightFromText="180" w:vertAnchor="text" w:tblpXSpec="center" w:tblpY="1"/>
              <w:tblOverlap w:val="never"/>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512"/>
              <w:gridCol w:w="2302"/>
              <w:gridCol w:w="2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62" w:type="dxa"/>
                  <w:vAlign w:val="center"/>
                </w:tcPr>
                <w:p>
                  <w:pPr>
                    <w:snapToGrid w:val="0"/>
                    <w:jc w:val="center"/>
                    <w:rPr>
                      <w:b/>
                      <w:bCs/>
                      <w:szCs w:val="21"/>
                    </w:rPr>
                  </w:pPr>
                  <w:r>
                    <w:rPr>
                      <w:b/>
                      <w:bCs/>
                      <w:szCs w:val="21"/>
                    </w:rPr>
                    <w:t>标志名称</w:t>
                  </w:r>
                </w:p>
              </w:tc>
              <w:tc>
                <w:tcPr>
                  <w:tcW w:w="1612" w:type="dxa"/>
                  <w:vAlign w:val="center"/>
                </w:tcPr>
                <w:p>
                  <w:pPr>
                    <w:snapToGrid w:val="0"/>
                    <w:jc w:val="center"/>
                    <w:rPr>
                      <w:b/>
                      <w:bCs/>
                      <w:szCs w:val="21"/>
                    </w:rPr>
                  </w:pPr>
                  <w:r>
                    <w:rPr>
                      <w:b/>
                      <w:bCs/>
                      <w:szCs w:val="21"/>
                    </w:rPr>
                    <w:t>形状</w:t>
                  </w:r>
                </w:p>
              </w:tc>
              <w:tc>
                <w:tcPr>
                  <w:tcW w:w="2463" w:type="dxa"/>
                  <w:vAlign w:val="center"/>
                </w:tcPr>
                <w:p>
                  <w:pPr>
                    <w:snapToGrid w:val="0"/>
                    <w:jc w:val="center"/>
                    <w:rPr>
                      <w:b/>
                      <w:bCs/>
                      <w:szCs w:val="21"/>
                    </w:rPr>
                  </w:pPr>
                  <w:r>
                    <w:rPr>
                      <w:b/>
                      <w:bCs/>
                      <w:szCs w:val="21"/>
                    </w:rPr>
                    <w:t>背景颜色</w:t>
                  </w:r>
                </w:p>
              </w:tc>
              <w:tc>
                <w:tcPr>
                  <w:tcW w:w="2462" w:type="dxa"/>
                  <w:vAlign w:val="center"/>
                </w:tcPr>
                <w:p>
                  <w:pPr>
                    <w:snapToGrid w:val="0"/>
                    <w:jc w:val="center"/>
                    <w:rPr>
                      <w:b/>
                      <w:bCs/>
                      <w:szCs w:val="21"/>
                    </w:rPr>
                  </w:pPr>
                  <w:r>
                    <w:rPr>
                      <w:b/>
                      <w:bCs/>
                      <w:szCs w:val="21"/>
                    </w:rPr>
                    <w:t>图形颜色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62" w:type="dxa"/>
                  <w:vAlign w:val="center"/>
                </w:tcPr>
                <w:p>
                  <w:pPr>
                    <w:snapToGrid w:val="0"/>
                    <w:jc w:val="center"/>
                    <w:rPr>
                      <w:szCs w:val="21"/>
                    </w:rPr>
                  </w:pPr>
                  <w:r>
                    <w:rPr>
                      <w:szCs w:val="21"/>
                    </w:rPr>
                    <w:t>警告标志</w:t>
                  </w:r>
                </w:p>
              </w:tc>
              <w:tc>
                <w:tcPr>
                  <w:tcW w:w="1612" w:type="dxa"/>
                  <w:vAlign w:val="center"/>
                </w:tcPr>
                <w:p>
                  <w:pPr>
                    <w:snapToGrid w:val="0"/>
                    <w:jc w:val="center"/>
                    <w:rPr>
                      <w:szCs w:val="21"/>
                    </w:rPr>
                  </w:pPr>
                  <w:r>
                    <w:rPr>
                      <w:szCs w:val="21"/>
                    </w:rPr>
                    <w:t>三角形边框</w:t>
                  </w:r>
                </w:p>
              </w:tc>
              <w:tc>
                <w:tcPr>
                  <w:tcW w:w="2463" w:type="dxa"/>
                  <w:vAlign w:val="center"/>
                </w:tcPr>
                <w:p>
                  <w:pPr>
                    <w:snapToGrid w:val="0"/>
                    <w:jc w:val="center"/>
                    <w:rPr>
                      <w:szCs w:val="21"/>
                    </w:rPr>
                  </w:pPr>
                  <w:r>
                    <w:rPr>
                      <w:szCs w:val="21"/>
                    </w:rPr>
                    <w:t>黄色</w:t>
                  </w:r>
                </w:p>
              </w:tc>
              <w:tc>
                <w:tcPr>
                  <w:tcW w:w="2462" w:type="dxa"/>
                  <w:vAlign w:val="center"/>
                </w:tcPr>
                <w:p>
                  <w:pPr>
                    <w:snapToGrid w:val="0"/>
                    <w:jc w:val="center"/>
                    <w:rPr>
                      <w:szCs w:val="21"/>
                    </w:rPr>
                  </w:pPr>
                  <w:r>
                    <w:rPr>
                      <w:szCs w:val="21"/>
                    </w:rPr>
                    <w:t>黑色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62" w:type="dxa"/>
                  <w:vAlign w:val="center"/>
                </w:tcPr>
                <w:p>
                  <w:pPr>
                    <w:snapToGrid w:val="0"/>
                    <w:jc w:val="center"/>
                    <w:rPr>
                      <w:szCs w:val="21"/>
                    </w:rPr>
                  </w:pPr>
                  <w:r>
                    <w:rPr>
                      <w:szCs w:val="21"/>
                    </w:rPr>
                    <w:t>提示标志</w:t>
                  </w:r>
                </w:p>
              </w:tc>
              <w:tc>
                <w:tcPr>
                  <w:tcW w:w="1612" w:type="dxa"/>
                  <w:vAlign w:val="center"/>
                </w:tcPr>
                <w:p>
                  <w:pPr>
                    <w:snapToGrid w:val="0"/>
                    <w:jc w:val="center"/>
                    <w:rPr>
                      <w:szCs w:val="21"/>
                    </w:rPr>
                  </w:pPr>
                  <w:r>
                    <w:rPr>
                      <w:szCs w:val="21"/>
                    </w:rPr>
                    <w:t>正方形边框</w:t>
                  </w:r>
                </w:p>
              </w:tc>
              <w:tc>
                <w:tcPr>
                  <w:tcW w:w="2463" w:type="dxa"/>
                  <w:vAlign w:val="center"/>
                </w:tcPr>
                <w:p>
                  <w:pPr>
                    <w:snapToGrid w:val="0"/>
                    <w:jc w:val="center"/>
                    <w:rPr>
                      <w:szCs w:val="21"/>
                    </w:rPr>
                  </w:pPr>
                  <w:r>
                    <w:rPr>
                      <w:szCs w:val="21"/>
                    </w:rPr>
                    <w:t>绿色</w:t>
                  </w:r>
                </w:p>
              </w:tc>
              <w:tc>
                <w:tcPr>
                  <w:tcW w:w="2462" w:type="dxa"/>
                  <w:vAlign w:val="center"/>
                </w:tcPr>
                <w:p>
                  <w:pPr>
                    <w:snapToGrid w:val="0"/>
                    <w:jc w:val="center"/>
                    <w:rPr>
                      <w:szCs w:val="21"/>
                    </w:rPr>
                  </w:pPr>
                  <w:r>
                    <w:rPr>
                      <w:szCs w:val="21"/>
                    </w:rPr>
                    <w:t>白色</w:t>
                  </w:r>
                </w:p>
              </w:tc>
            </w:tr>
          </w:tbl>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hint="eastAsia" w:eastAsia="黑体"/>
                <w:bCs/>
                <w:color w:val="000000"/>
                <w:spacing w:val="4"/>
                <w:sz w:val="24"/>
              </w:rPr>
            </w:pPr>
          </w:p>
          <w:p>
            <w:pPr>
              <w:autoSpaceDN w:val="0"/>
              <w:spacing w:before="120" w:beforeLines="50"/>
              <w:ind w:firstLine="482"/>
              <w:jc w:val="center"/>
              <w:rPr>
                <w:rFonts w:eastAsia="黑体"/>
                <w:bCs/>
                <w:color w:val="000000"/>
                <w:spacing w:val="4"/>
                <w:sz w:val="24"/>
              </w:rPr>
            </w:pPr>
            <w:r>
              <w:rPr>
                <w:rFonts w:hint="eastAsia" w:eastAsia="黑体"/>
                <w:bCs/>
                <w:color w:val="000000"/>
                <w:spacing w:val="4"/>
                <w:sz w:val="24"/>
              </w:rPr>
              <w:t>表4-4</w:t>
            </w:r>
            <w:r>
              <w:rPr>
                <w:rFonts w:hint="eastAsia" w:eastAsia="黑体"/>
                <w:bCs/>
                <w:color w:val="000000"/>
                <w:spacing w:val="4"/>
                <w:sz w:val="24"/>
                <w:lang w:val="en-US" w:eastAsia="zh-CN"/>
              </w:rPr>
              <w:t>2</w:t>
            </w:r>
            <w:r>
              <w:rPr>
                <w:rFonts w:hint="eastAsia" w:eastAsia="黑体"/>
                <w:bCs/>
                <w:color w:val="000000"/>
                <w:spacing w:val="4"/>
                <w:sz w:val="24"/>
              </w:rPr>
              <w:t xml:space="preserve">   环境保护图形符号一览表</w:t>
            </w:r>
          </w:p>
          <w:tbl>
            <w:tblPr>
              <w:tblStyle w:val="33"/>
              <w:tblW w:w="494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514"/>
              <w:gridCol w:w="1657"/>
              <w:gridCol w:w="1598"/>
              <w:gridCol w:w="30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4" w:type="dxa"/>
                  <w:vAlign w:val="center"/>
                </w:tcPr>
                <w:p>
                  <w:pPr>
                    <w:snapToGrid w:val="0"/>
                    <w:jc w:val="center"/>
                    <w:rPr>
                      <w:b/>
                      <w:bCs/>
                      <w:szCs w:val="21"/>
                    </w:rPr>
                  </w:pPr>
                  <w:r>
                    <w:rPr>
                      <w:b/>
                      <w:bCs/>
                      <w:szCs w:val="21"/>
                    </w:rPr>
                    <w:t>序号</w:t>
                  </w:r>
                </w:p>
              </w:tc>
              <w:tc>
                <w:tcPr>
                  <w:tcW w:w="2440" w:type="dxa"/>
                  <w:vAlign w:val="center"/>
                </w:tcPr>
                <w:p>
                  <w:pPr>
                    <w:snapToGrid w:val="0"/>
                    <w:jc w:val="center"/>
                    <w:rPr>
                      <w:b/>
                      <w:bCs/>
                      <w:szCs w:val="21"/>
                    </w:rPr>
                  </w:pPr>
                  <w:r>
                    <w:rPr>
                      <w:b/>
                      <w:bCs/>
                      <w:szCs w:val="21"/>
                    </w:rPr>
                    <w:t>提示图形符号</w:t>
                  </w:r>
                </w:p>
              </w:tc>
              <w:tc>
                <w:tcPr>
                  <w:tcW w:w="2685" w:type="dxa"/>
                  <w:vAlign w:val="center"/>
                </w:tcPr>
                <w:p>
                  <w:pPr>
                    <w:snapToGrid w:val="0"/>
                    <w:jc w:val="center"/>
                    <w:rPr>
                      <w:b/>
                      <w:bCs/>
                      <w:szCs w:val="21"/>
                    </w:rPr>
                  </w:pPr>
                  <w:r>
                    <w:rPr>
                      <w:b/>
                      <w:bCs/>
                      <w:szCs w:val="21"/>
                    </w:rPr>
                    <w:t>警告图形符号</w:t>
                  </w:r>
                </w:p>
              </w:tc>
              <w:tc>
                <w:tcPr>
                  <w:tcW w:w="2585" w:type="dxa"/>
                  <w:vAlign w:val="center"/>
                </w:tcPr>
                <w:p>
                  <w:pPr>
                    <w:snapToGrid w:val="0"/>
                    <w:jc w:val="center"/>
                    <w:rPr>
                      <w:b/>
                      <w:bCs/>
                      <w:szCs w:val="21"/>
                    </w:rPr>
                  </w:pPr>
                  <w:r>
                    <w:rPr>
                      <w:b/>
                      <w:bCs/>
                      <w:szCs w:val="21"/>
                    </w:rPr>
                    <w:t>名称</w:t>
                  </w:r>
                </w:p>
              </w:tc>
              <w:tc>
                <w:tcPr>
                  <w:tcW w:w="5005" w:type="dxa"/>
                  <w:vAlign w:val="center"/>
                </w:tcPr>
                <w:p>
                  <w:pPr>
                    <w:snapToGrid w:val="0"/>
                    <w:jc w:val="center"/>
                    <w:rPr>
                      <w:b/>
                      <w:bCs/>
                      <w:szCs w:val="21"/>
                    </w:rPr>
                  </w:pPr>
                  <w:r>
                    <w:rPr>
                      <w:b/>
                      <w:bCs/>
                      <w:szCs w:val="21"/>
                    </w:rPr>
                    <w:t>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34" w:type="dxa"/>
                  <w:vAlign w:val="center"/>
                </w:tcPr>
                <w:p>
                  <w:pPr>
                    <w:snapToGrid w:val="0"/>
                    <w:jc w:val="center"/>
                    <w:rPr>
                      <w:szCs w:val="21"/>
                    </w:rPr>
                  </w:pPr>
                  <w:r>
                    <w:rPr>
                      <w:szCs w:val="21"/>
                    </w:rPr>
                    <w:t>1</w:t>
                  </w:r>
                </w:p>
              </w:tc>
              <w:tc>
                <w:tcPr>
                  <w:tcW w:w="2440" w:type="dxa"/>
                  <w:vAlign w:val="center"/>
                </w:tcPr>
                <w:p>
                  <w:pPr>
                    <w:snapToGrid w:val="0"/>
                    <w:jc w:val="center"/>
                    <w:rPr>
                      <w:szCs w:val="21"/>
                    </w:rPr>
                  </w:pPr>
                  <w:r>
                    <w:rPr>
                      <w:szCs w:val="21"/>
                    </w:rPr>
                    <w:drawing>
                      <wp:inline distT="0" distB="0" distL="114300" distR="114300">
                        <wp:extent cx="364490" cy="368300"/>
                        <wp:effectExtent l="0" t="0" r="16510" b="12700"/>
                        <wp:docPr id="30" name="图片 32"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2" descr="13001"/>
                                <pic:cNvPicPr>
                                  <a:picLocks noChangeAspect="1"/>
                                </pic:cNvPicPr>
                              </pic:nvPicPr>
                              <pic:blipFill>
                                <a:blip r:embed="rId70"/>
                                <a:stretch>
                                  <a:fillRect/>
                                </a:stretch>
                              </pic:blipFill>
                              <pic:spPr>
                                <a:xfrm>
                                  <a:off x="0" y="0"/>
                                  <a:ext cx="364490" cy="368300"/>
                                </a:xfrm>
                                <a:prstGeom prst="rect">
                                  <a:avLst/>
                                </a:prstGeom>
                                <a:noFill/>
                                <a:ln>
                                  <a:noFill/>
                                </a:ln>
                              </pic:spPr>
                            </pic:pic>
                          </a:graphicData>
                        </a:graphic>
                      </wp:inline>
                    </w:drawing>
                  </w:r>
                </w:p>
              </w:tc>
              <w:tc>
                <w:tcPr>
                  <w:tcW w:w="2685" w:type="dxa"/>
                  <w:vAlign w:val="center"/>
                </w:tcPr>
                <w:p>
                  <w:pPr>
                    <w:snapToGrid w:val="0"/>
                    <w:jc w:val="center"/>
                    <w:rPr>
                      <w:szCs w:val="21"/>
                    </w:rPr>
                  </w:pPr>
                  <w:r>
                    <w:rPr>
                      <w:szCs w:val="21"/>
                    </w:rPr>
                    <w:drawing>
                      <wp:inline distT="0" distB="0" distL="114300" distR="114300">
                        <wp:extent cx="330835" cy="335915"/>
                        <wp:effectExtent l="0" t="0" r="12065" b="6985"/>
                        <wp:docPr id="29" name="图片 33"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3" descr="13002"/>
                                <pic:cNvPicPr>
                                  <a:picLocks noChangeAspect="1"/>
                                </pic:cNvPicPr>
                              </pic:nvPicPr>
                              <pic:blipFill>
                                <a:blip r:embed="rId71"/>
                                <a:stretch>
                                  <a:fillRect/>
                                </a:stretch>
                              </pic:blipFill>
                              <pic:spPr>
                                <a:xfrm>
                                  <a:off x="0" y="0"/>
                                  <a:ext cx="330835" cy="335915"/>
                                </a:xfrm>
                                <a:prstGeom prst="rect">
                                  <a:avLst/>
                                </a:prstGeom>
                                <a:noFill/>
                                <a:ln>
                                  <a:noFill/>
                                </a:ln>
                              </pic:spPr>
                            </pic:pic>
                          </a:graphicData>
                        </a:graphic>
                      </wp:inline>
                    </w:drawing>
                  </w:r>
                </w:p>
              </w:tc>
              <w:tc>
                <w:tcPr>
                  <w:tcW w:w="2585" w:type="dxa"/>
                  <w:vAlign w:val="center"/>
                </w:tcPr>
                <w:p>
                  <w:pPr>
                    <w:snapToGrid w:val="0"/>
                    <w:jc w:val="center"/>
                    <w:rPr>
                      <w:szCs w:val="21"/>
                    </w:rPr>
                  </w:pPr>
                  <w:r>
                    <w:rPr>
                      <w:szCs w:val="21"/>
                    </w:rPr>
                    <w:t>废水排放口</w:t>
                  </w:r>
                </w:p>
              </w:tc>
              <w:tc>
                <w:tcPr>
                  <w:tcW w:w="5005" w:type="dxa"/>
                  <w:vAlign w:val="center"/>
                </w:tcPr>
                <w:p>
                  <w:pPr>
                    <w:snapToGrid w:val="0"/>
                    <w:jc w:val="center"/>
                    <w:rPr>
                      <w:szCs w:val="21"/>
                    </w:rPr>
                  </w:pPr>
                  <w:r>
                    <w:rPr>
                      <w:szCs w:val="21"/>
                    </w:rPr>
                    <w:t>表示废水向纳污水体排放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vAlign w:val="center"/>
                </w:tcPr>
                <w:p>
                  <w:pPr>
                    <w:snapToGrid w:val="0"/>
                    <w:jc w:val="center"/>
                    <w:rPr>
                      <w:szCs w:val="21"/>
                    </w:rPr>
                  </w:pPr>
                  <w:r>
                    <w:rPr>
                      <w:szCs w:val="21"/>
                    </w:rPr>
                    <w:t>2</w:t>
                  </w:r>
                </w:p>
              </w:tc>
              <w:tc>
                <w:tcPr>
                  <w:tcW w:w="2440" w:type="dxa"/>
                  <w:vAlign w:val="center"/>
                </w:tcPr>
                <w:p>
                  <w:pPr>
                    <w:snapToGrid w:val="0"/>
                    <w:jc w:val="center"/>
                    <w:rPr>
                      <w:szCs w:val="21"/>
                    </w:rPr>
                  </w:pPr>
                  <w:r>
                    <w:rPr>
                      <w:szCs w:val="21"/>
                    </w:rPr>
                    <w:drawing>
                      <wp:inline distT="0" distB="0" distL="114300" distR="114300">
                        <wp:extent cx="329565" cy="334010"/>
                        <wp:effectExtent l="0" t="0" r="13335" b="8890"/>
                        <wp:docPr id="28" name="图片 34" descr="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4" descr="13003"/>
                                <pic:cNvPicPr>
                                  <a:picLocks noChangeAspect="1"/>
                                </pic:cNvPicPr>
                              </pic:nvPicPr>
                              <pic:blipFill>
                                <a:blip r:embed="rId72"/>
                                <a:stretch>
                                  <a:fillRect/>
                                </a:stretch>
                              </pic:blipFill>
                              <pic:spPr>
                                <a:xfrm>
                                  <a:off x="0" y="0"/>
                                  <a:ext cx="329565" cy="334010"/>
                                </a:xfrm>
                                <a:prstGeom prst="rect">
                                  <a:avLst/>
                                </a:prstGeom>
                                <a:noFill/>
                                <a:ln>
                                  <a:noFill/>
                                </a:ln>
                              </pic:spPr>
                            </pic:pic>
                          </a:graphicData>
                        </a:graphic>
                      </wp:inline>
                    </w:drawing>
                  </w:r>
                </w:p>
              </w:tc>
              <w:tc>
                <w:tcPr>
                  <w:tcW w:w="2685" w:type="dxa"/>
                  <w:vAlign w:val="center"/>
                </w:tcPr>
                <w:p>
                  <w:pPr>
                    <w:snapToGrid w:val="0"/>
                    <w:jc w:val="center"/>
                    <w:rPr>
                      <w:szCs w:val="21"/>
                    </w:rPr>
                  </w:pPr>
                  <w:r>
                    <w:rPr>
                      <w:szCs w:val="21"/>
                    </w:rPr>
                    <w:drawing>
                      <wp:inline distT="0" distB="0" distL="114300" distR="114300">
                        <wp:extent cx="359410" cy="360680"/>
                        <wp:effectExtent l="0" t="0" r="2540" b="1270"/>
                        <wp:docPr id="27" name="图片 3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5" descr="4"/>
                                <pic:cNvPicPr>
                                  <a:picLocks noChangeAspect="1"/>
                                </pic:cNvPicPr>
                              </pic:nvPicPr>
                              <pic:blipFill>
                                <a:blip r:embed="rId73"/>
                                <a:stretch>
                                  <a:fillRect/>
                                </a:stretch>
                              </pic:blipFill>
                              <pic:spPr>
                                <a:xfrm>
                                  <a:off x="0" y="0"/>
                                  <a:ext cx="359410" cy="360680"/>
                                </a:xfrm>
                                <a:prstGeom prst="rect">
                                  <a:avLst/>
                                </a:prstGeom>
                                <a:noFill/>
                                <a:ln>
                                  <a:noFill/>
                                </a:ln>
                              </pic:spPr>
                            </pic:pic>
                          </a:graphicData>
                        </a:graphic>
                      </wp:inline>
                    </w:drawing>
                  </w:r>
                </w:p>
              </w:tc>
              <w:tc>
                <w:tcPr>
                  <w:tcW w:w="2585" w:type="dxa"/>
                  <w:vAlign w:val="center"/>
                </w:tcPr>
                <w:p>
                  <w:pPr>
                    <w:snapToGrid w:val="0"/>
                    <w:jc w:val="center"/>
                    <w:rPr>
                      <w:szCs w:val="21"/>
                    </w:rPr>
                  </w:pPr>
                  <w:r>
                    <w:rPr>
                      <w:szCs w:val="21"/>
                    </w:rPr>
                    <w:t>废气排放口</w:t>
                  </w:r>
                </w:p>
              </w:tc>
              <w:tc>
                <w:tcPr>
                  <w:tcW w:w="5005" w:type="dxa"/>
                  <w:vAlign w:val="center"/>
                </w:tcPr>
                <w:p>
                  <w:pPr>
                    <w:snapToGrid w:val="0"/>
                    <w:jc w:val="center"/>
                    <w:rPr>
                      <w:szCs w:val="21"/>
                    </w:rPr>
                  </w:pPr>
                  <w:r>
                    <w:rPr>
                      <w:szCs w:val="21"/>
                    </w:rPr>
                    <w:t>表示废气向大气环境排放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34" w:type="dxa"/>
                  <w:vMerge w:val="restart"/>
                  <w:vAlign w:val="center"/>
                </w:tcPr>
                <w:p>
                  <w:pPr>
                    <w:snapToGrid w:val="0"/>
                    <w:jc w:val="center"/>
                    <w:rPr>
                      <w:szCs w:val="21"/>
                    </w:rPr>
                  </w:pPr>
                  <w:r>
                    <w:rPr>
                      <w:szCs w:val="21"/>
                    </w:rPr>
                    <w:t>3</w:t>
                  </w:r>
                </w:p>
              </w:tc>
              <w:tc>
                <w:tcPr>
                  <w:tcW w:w="2440" w:type="dxa"/>
                  <w:vAlign w:val="center"/>
                </w:tcPr>
                <w:p>
                  <w:pPr>
                    <w:snapToGrid w:val="0"/>
                    <w:jc w:val="center"/>
                    <w:rPr>
                      <w:szCs w:val="21"/>
                    </w:rPr>
                  </w:pPr>
                  <w:r>
                    <w:rPr>
                      <w:szCs w:val="21"/>
                    </w:rPr>
                    <w:drawing>
                      <wp:inline distT="0" distB="0" distL="114300" distR="114300">
                        <wp:extent cx="335280" cy="340360"/>
                        <wp:effectExtent l="0" t="0" r="7620" b="2540"/>
                        <wp:docPr id="26" name="图片 36"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6" descr="14001"/>
                                <pic:cNvPicPr>
                                  <a:picLocks noChangeAspect="1"/>
                                </pic:cNvPicPr>
                              </pic:nvPicPr>
                              <pic:blipFill>
                                <a:blip r:embed="rId74"/>
                                <a:stretch>
                                  <a:fillRect/>
                                </a:stretch>
                              </pic:blipFill>
                              <pic:spPr>
                                <a:xfrm>
                                  <a:off x="0" y="0"/>
                                  <a:ext cx="335280" cy="340360"/>
                                </a:xfrm>
                                <a:prstGeom prst="rect">
                                  <a:avLst/>
                                </a:prstGeom>
                                <a:noFill/>
                                <a:ln>
                                  <a:noFill/>
                                </a:ln>
                              </pic:spPr>
                            </pic:pic>
                          </a:graphicData>
                        </a:graphic>
                      </wp:inline>
                    </w:drawing>
                  </w:r>
                </w:p>
              </w:tc>
              <w:tc>
                <w:tcPr>
                  <w:tcW w:w="2685" w:type="dxa"/>
                  <w:vAlign w:val="center"/>
                </w:tcPr>
                <w:p>
                  <w:pPr>
                    <w:snapToGrid w:val="0"/>
                    <w:jc w:val="center"/>
                    <w:rPr>
                      <w:szCs w:val="21"/>
                    </w:rPr>
                  </w:pPr>
                  <w:r>
                    <w:rPr>
                      <w:szCs w:val="21"/>
                    </w:rPr>
                    <w:drawing>
                      <wp:inline distT="0" distB="0" distL="114300" distR="114300">
                        <wp:extent cx="379095" cy="355600"/>
                        <wp:effectExtent l="0" t="0" r="1905" b="6350"/>
                        <wp:docPr id="16" name="图片 37"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7" descr="14002"/>
                                <pic:cNvPicPr>
                                  <a:picLocks noChangeAspect="1"/>
                                </pic:cNvPicPr>
                              </pic:nvPicPr>
                              <pic:blipFill>
                                <a:blip r:embed="rId75"/>
                                <a:stretch>
                                  <a:fillRect/>
                                </a:stretch>
                              </pic:blipFill>
                              <pic:spPr>
                                <a:xfrm>
                                  <a:off x="0" y="0"/>
                                  <a:ext cx="379095" cy="355600"/>
                                </a:xfrm>
                                <a:prstGeom prst="rect">
                                  <a:avLst/>
                                </a:prstGeom>
                                <a:noFill/>
                                <a:ln>
                                  <a:noFill/>
                                </a:ln>
                              </pic:spPr>
                            </pic:pic>
                          </a:graphicData>
                        </a:graphic>
                      </wp:inline>
                    </w:drawing>
                  </w:r>
                </w:p>
              </w:tc>
              <w:tc>
                <w:tcPr>
                  <w:tcW w:w="2585" w:type="dxa"/>
                  <w:vAlign w:val="center"/>
                </w:tcPr>
                <w:p>
                  <w:pPr>
                    <w:snapToGrid w:val="0"/>
                    <w:jc w:val="center"/>
                    <w:rPr>
                      <w:szCs w:val="21"/>
                    </w:rPr>
                  </w:pPr>
                  <w:r>
                    <w:rPr>
                      <w:szCs w:val="21"/>
                    </w:rPr>
                    <w:t>一般固体废物</w:t>
                  </w:r>
                </w:p>
              </w:tc>
              <w:tc>
                <w:tcPr>
                  <w:tcW w:w="5005" w:type="dxa"/>
                  <w:vAlign w:val="center"/>
                </w:tcPr>
                <w:p>
                  <w:pPr>
                    <w:snapToGrid w:val="0"/>
                    <w:jc w:val="center"/>
                    <w:rPr>
                      <w:szCs w:val="21"/>
                    </w:rPr>
                  </w:pPr>
                  <w:r>
                    <w:rPr>
                      <w:szCs w:val="21"/>
                    </w:rPr>
                    <w:t>表示一般固体废物贮存、处置场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34" w:type="dxa"/>
                  <w:vMerge w:val="continue"/>
                  <w:vAlign w:val="center"/>
                </w:tcPr>
                <w:p>
                  <w:pPr>
                    <w:snapToGrid w:val="0"/>
                    <w:jc w:val="center"/>
                    <w:rPr>
                      <w:szCs w:val="21"/>
                    </w:rPr>
                  </w:pPr>
                </w:p>
              </w:tc>
              <w:tc>
                <w:tcPr>
                  <w:tcW w:w="2440" w:type="dxa"/>
                  <w:vAlign w:val="center"/>
                </w:tcPr>
                <w:p>
                  <w:pPr>
                    <w:snapToGrid w:val="0"/>
                    <w:jc w:val="center"/>
                    <w:rPr>
                      <w:szCs w:val="21"/>
                    </w:rPr>
                  </w:pPr>
                  <w:r>
                    <w:rPr>
                      <w:rFonts w:hint="eastAsia"/>
                      <w:szCs w:val="21"/>
                    </w:rPr>
                    <w:t>/</w:t>
                  </w:r>
                </w:p>
              </w:tc>
              <w:tc>
                <w:tcPr>
                  <w:tcW w:w="2685" w:type="dxa"/>
                  <w:vAlign w:val="center"/>
                </w:tcPr>
                <w:p>
                  <w:pPr>
                    <w:snapToGrid w:val="0"/>
                    <w:jc w:val="center"/>
                    <w:rPr>
                      <w:szCs w:val="21"/>
                    </w:rPr>
                  </w:pPr>
                  <w:r>
                    <w:rPr>
                      <w:rFonts w:ascii="宋体" w:hAnsi="宋体" w:cs="宋体"/>
                      <w:sz w:val="24"/>
                    </w:rPr>
                    <w:fldChar w:fldCharType="begin"/>
                  </w:r>
                  <w:r>
                    <w:rPr>
                      <w:rFonts w:ascii="宋体" w:hAnsi="宋体" w:cs="宋体"/>
                      <w:sz w:val="24"/>
                    </w:rPr>
                    <w:instrText xml:space="preserve">INCLUDEPICTURE \d "https://nimg.ws.126.net/?url=http://dingyue.ws.126.net/2023/0228/f5e8aeeej00rqshpo001td2008y0082g00bv00ao.jpg&amp;thumbnail=660x2147483647&amp;quality=80&amp;type=jpg" \* MERGEFORMATINET </w:instrText>
                  </w:r>
                  <w:r>
                    <w:rPr>
                      <w:rFonts w:ascii="宋体" w:hAnsi="宋体" w:cs="宋体"/>
                      <w:sz w:val="24"/>
                    </w:rPr>
                    <w:fldChar w:fldCharType="separate"/>
                  </w:r>
                  <w:r>
                    <w:rPr>
                      <w:rFonts w:ascii="宋体" w:hAnsi="宋体" w:cs="宋体"/>
                      <w:sz w:val="24"/>
                    </w:rPr>
                    <w:drawing>
                      <wp:inline distT="0" distB="0" distL="114300" distR="114300">
                        <wp:extent cx="421640" cy="509905"/>
                        <wp:effectExtent l="0" t="0" r="16510" b="4445"/>
                        <wp:docPr id="15"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descr="IMG_256"/>
                                <pic:cNvPicPr>
                                  <a:picLocks noChangeAspect="1"/>
                                </pic:cNvPicPr>
                              </pic:nvPicPr>
                              <pic:blipFill>
                                <a:blip r:embed="rId76"/>
                                <a:stretch>
                                  <a:fillRect/>
                                </a:stretch>
                              </pic:blipFill>
                              <pic:spPr>
                                <a:xfrm>
                                  <a:off x="0" y="0"/>
                                  <a:ext cx="421640" cy="509905"/>
                                </a:xfrm>
                                <a:prstGeom prst="rect">
                                  <a:avLst/>
                                </a:prstGeom>
                                <a:noFill/>
                                <a:ln>
                                  <a:noFill/>
                                </a:ln>
                              </pic:spPr>
                            </pic:pic>
                          </a:graphicData>
                        </a:graphic>
                      </wp:inline>
                    </w:drawing>
                  </w:r>
                  <w:r>
                    <w:rPr>
                      <w:rFonts w:ascii="宋体" w:hAnsi="宋体" w:cs="宋体"/>
                      <w:sz w:val="24"/>
                    </w:rPr>
                    <w:fldChar w:fldCharType="end"/>
                  </w:r>
                </w:p>
              </w:tc>
              <w:tc>
                <w:tcPr>
                  <w:tcW w:w="2585" w:type="dxa"/>
                  <w:vAlign w:val="center"/>
                </w:tcPr>
                <w:p>
                  <w:pPr>
                    <w:snapToGrid w:val="0"/>
                    <w:jc w:val="center"/>
                    <w:rPr>
                      <w:szCs w:val="21"/>
                    </w:rPr>
                  </w:pPr>
                  <w:r>
                    <w:rPr>
                      <w:szCs w:val="21"/>
                    </w:rPr>
                    <w:t>危险废物</w:t>
                  </w:r>
                </w:p>
              </w:tc>
              <w:tc>
                <w:tcPr>
                  <w:tcW w:w="5005" w:type="dxa"/>
                  <w:vAlign w:val="center"/>
                </w:tcPr>
                <w:p>
                  <w:pPr>
                    <w:snapToGrid w:val="0"/>
                    <w:jc w:val="center"/>
                    <w:rPr>
                      <w:szCs w:val="21"/>
                    </w:rPr>
                  </w:pPr>
                  <w:r>
                    <w:rPr>
                      <w:szCs w:val="21"/>
                    </w:rPr>
                    <w:t>表示危险废物贮存、处置场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34" w:type="dxa"/>
                  <w:vAlign w:val="center"/>
                </w:tcPr>
                <w:p>
                  <w:pPr>
                    <w:snapToGrid w:val="0"/>
                    <w:jc w:val="center"/>
                    <w:rPr>
                      <w:szCs w:val="21"/>
                    </w:rPr>
                  </w:pPr>
                  <w:r>
                    <w:rPr>
                      <w:szCs w:val="21"/>
                    </w:rPr>
                    <w:t>4</w:t>
                  </w:r>
                </w:p>
              </w:tc>
              <w:tc>
                <w:tcPr>
                  <w:tcW w:w="2440" w:type="dxa"/>
                  <w:vAlign w:val="center"/>
                </w:tcPr>
                <w:p>
                  <w:pPr>
                    <w:snapToGrid w:val="0"/>
                    <w:jc w:val="center"/>
                    <w:rPr>
                      <w:szCs w:val="21"/>
                    </w:rPr>
                  </w:pPr>
                  <w:r>
                    <w:rPr>
                      <w:szCs w:val="21"/>
                    </w:rPr>
                    <w:drawing>
                      <wp:inline distT="0" distB="0" distL="114300" distR="114300">
                        <wp:extent cx="354330" cy="354330"/>
                        <wp:effectExtent l="0" t="0" r="7620" b="7620"/>
                        <wp:docPr id="14" name="图片 39" descr="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9" descr="200602201518049853"/>
                                <pic:cNvPicPr>
                                  <a:picLocks noChangeAspect="1"/>
                                </pic:cNvPicPr>
                              </pic:nvPicPr>
                              <pic:blipFill>
                                <a:blip r:embed="rId77"/>
                                <a:stretch>
                                  <a:fillRect/>
                                </a:stretch>
                              </pic:blipFill>
                              <pic:spPr>
                                <a:xfrm>
                                  <a:off x="0" y="0"/>
                                  <a:ext cx="354330" cy="354330"/>
                                </a:xfrm>
                                <a:prstGeom prst="rect">
                                  <a:avLst/>
                                </a:prstGeom>
                                <a:noFill/>
                                <a:ln>
                                  <a:noFill/>
                                </a:ln>
                              </pic:spPr>
                            </pic:pic>
                          </a:graphicData>
                        </a:graphic>
                      </wp:inline>
                    </w:drawing>
                  </w:r>
                </w:p>
              </w:tc>
              <w:tc>
                <w:tcPr>
                  <w:tcW w:w="2685" w:type="dxa"/>
                  <w:vAlign w:val="center"/>
                </w:tcPr>
                <w:p>
                  <w:pPr>
                    <w:snapToGrid w:val="0"/>
                    <w:jc w:val="center"/>
                    <w:rPr>
                      <w:szCs w:val="21"/>
                    </w:rPr>
                  </w:pPr>
                  <w:r>
                    <w:rPr>
                      <w:szCs w:val="21"/>
                    </w:rPr>
                    <w:drawing>
                      <wp:inline distT="0" distB="0" distL="114300" distR="114300">
                        <wp:extent cx="419100" cy="372745"/>
                        <wp:effectExtent l="0" t="0" r="0" b="8255"/>
                        <wp:docPr id="9" name="图片 40" descr="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0" descr="200602201519018631"/>
                                <pic:cNvPicPr>
                                  <a:picLocks noChangeAspect="1"/>
                                </pic:cNvPicPr>
                              </pic:nvPicPr>
                              <pic:blipFill>
                                <a:blip r:embed="rId78"/>
                                <a:stretch>
                                  <a:fillRect/>
                                </a:stretch>
                              </pic:blipFill>
                              <pic:spPr>
                                <a:xfrm>
                                  <a:off x="0" y="0"/>
                                  <a:ext cx="419100" cy="372745"/>
                                </a:xfrm>
                                <a:prstGeom prst="rect">
                                  <a:avLst/>
                                </a:prstGeom>
                                <a:noFill/>
                                <a:ln>
                                  <a:noFill/>
                                </a:ln>
                              </pic:spPr>
                            </pic:pic>
                          </a:graphicData>
                        </a:graphic>
                      </wp:inline>
                    </w:drawing>
                  </w:r>
                </w:p>
              </w:tc>
              <w:tc>
                <w:tcPr>
                  <w:tcW w:w="2585" w:type="dxa"/>
                  <w:vAlign w:val="center"/>
                </w:tcPr>
                <w:p>
                  <w:pPr>
                    <w:snapToGrid w:val="0"/>
                    <w:jc w:val="center"/>
                    <w:rPr>
                      <w:szCs w:val="21"/>
                    </w:rPr>
                  </w:pPr>
                  <w:r>
                    <w:rPr>
                      <w:szCs w:val="21"/>
                    </w:rPr>
                    <w:t>噪声排放源</w:t>
                  </w:r>
                </w:p>
              </w:tc>
              <w:tc>
                <w:tcPr>
                  <w:tcW w:w="5005" w:type="dxa"/>
                  <w:vAlign w:val="center"/>
                </w:tcPr>
                <w:p>
                  <w:pPr>
                    <w:snapToGrid w:val="0"/>
                    <w:jc w:val="center"/>
                    <w:rPr>
                      <w:szCs w:val="21"/>
                    </w:rPr>
                  </w:pPr>
                  <w:r>
                    <w:rPr>
                      <w:szCs w:val="21"/>
                    </w:rPr>
                    <w:t>表示噪声向外环境排放</w:t>
                  </w:r>
                </w:p>
              </w:tc>
            </w:tr>
          </w:tbl>
          <w:p>
            <w:pPr>
              <w:autoSpaceDE w:val="0"/>
              <w:autoSpaceDN w:val="0"/>
              <w:adjustRightInd w:val="0"/>
              <w:spacing w:line="360" w:lineRule="auto"/>
              <w:rPr>
                <w:rFonts w:ascii="宋体" w:hAnsi="宋体" w:cs="宋体"/>
                <w:bCs/>
                <w:color w:val="FF0000"/>
                <w:spacing w:val="-10"/>
                <w:szCs w:val="21"/>
              </w:rPr>
            </w:pPr>
          </w:p>
        </w:tc>
      </w:tr>
    </w:tbl>
    <w:p>
      <w:pPr>
        <w:adjustRightInd w:val="0"/>
        <w:snapToGrid w:val="0"/>
        <w:spacing w:line="360" w:lineRule="auto"/>
        <w:rPr>
          <w:rFonts w:ascii="宋体" w:cs="宋体"/>
          <w:b/>
          <w:color w:val="FF0000"/>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9"/>
        <w:numPr>
          <w:ilvl w:val="0"/>
          <w:numId w:val="8"/>
        </w:numPr>
        <w:jc w:val="center"/>
        <w:outlineLvl w:val="0"/>
        <w:rPr>
          <w:rFonts w:hint="eastAsia" w:ascii="黑体" w:hAnsi="黑体" w:eastAsia="黑体"/>
          <w:snapToGrid w:val="0"/>
          <w:sz w:val="30"/>
          <w:szCs w:val="30"/>
        </w:rPr>
      </w:pPr>
      <w:bookmarkStart w:id="7" w:name="_Hlk54167917"/>
      <w:r>
        <w:rPr>
          <w:rFonts w:hint="eastAsia" w:ascii="黑体" w:hAnsi="黑体" w:eastAsia="黑体"/>
          <w:snapToGrid w:val="0"/>
          <w:sz w:val="30"/>
          <w:szCs w:val="30"/>
        </w:rPr>
        <w:t>环境保护措施监督检查清单</w:t>
      </w:r>
      <w:bookmarkEnd w:id="7"/>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9"/>
        <w:gridCol w:w="1736"/>
        <w:gridCol w:w="10"/>
        <w:gridCol w:w="1745"/>
        <w:gridCol w:w="10"/>
        <w:gridCol w:w="17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tcBorders>
              <w:tl2br w:val="single" w:color="auto" w:sz="4" w:space="0"/>
            </w:tcBorders>
          </w:tcPr>
          <w:p>
            <w:pPr>
              <w:adjustRightInd w:val="0"/>
              <w:snapToGrid w:val="0"/>
              <w:ind w:firstLine="840"/>
              <w:rPr>
                <w:szCs w:val="21"/>
              </w:rPr>
            </w:pPr>
            <w:r>
              <w:rPr>
                <w:szCs w:val="21"/>
              </w:rPr>
              <w:t>内容</w:t>
            </w:r>
          </w:p>
          <w:p>
            <w:pPr>
              <w:adjustRightInd w:val="0"/>
              <w:snapToGrid w:val="0"/>
              <w:rPr>
                <w:szCs w:val="21"/>
              </w:rPr>
            </w:pPr>
            <w:r>
              <w:rPr>
                <w:szCs w:val="21"/>
              </w:rPr>
              <w:t>要素</w:t>
            </w:r>
          </w:p>
        </w:tc>
        <w:tc>
          <w:tcPr>
            <w:tcW w:w="1755" w:type="dxa"/>
            <w:vAlign w:val="center"/>
          </w:tcPr>
          <w:p>
            <w:pPr>
              <w:adjustRightInd w:val="0"/>
              <w:snapToGrid w:val="0"/>
              <w:jc w:val="center"/>
              <w:rPr>
                <w:szCs w:val="21"/>
              </w:rPr>
            </w:pPr>
            <w:r>
              <w:rPr>
                <w:szCs w:val="21"/>
              </w:rPr>
              <w:t>排放口(编号、</w:t>
            </w:r>
          </w:p>
          <w:p>
            <w:pPr>
              <w:adjustRightInd w:val="0"/>
              <w:snapToGrid w:val="0"/>
              <w:jc w:val="center"/>
              <w:rPr>
                <w:szCs w:val="21"/>
              </w:rPr>
            </w:pPr>
            <w:r>
              <w:rPr>
                <w:szCs w:val="21"/>
              </w:rPr>
              <w:t>名称)/污染源</w:t>
            </w:r>
          </w:p>
        </w:tc>
        <w:tc>
          <w:tcPr>
            <w:tcW w:w="1755" w:type="dxa"/>
            <w:gridSpan w:val="2"/>
            <w:vAlign w:val="center"/>
          </w:tcPr>
          <w:p>
            <w:pPr>
              <w:adjustRightInd w:val="0"/>
              <w:snapToGrid w:val="0"/>
              <w:jc w:val="center"/>
              <w:rPr>
                <w:szCs w:val="21"/>
              </w:rPr>
            </w:pPr>
            <w:r>
              <w:rPr>
                <w:szCs w:val="21"/>
              </w:rPr>
              <w:t>污染物项目</w:t>
            </w:r>
          </w:p>
        </w:tc>
        <w:tc>
          <w:tcPr>
            <w:tcW w:w="1755" w:type="dxa"/>
            <w:gridSpan w:val="2"/>
            <w:vAlign w:val="center"/>
          </w:tcPr>
          <w:p>
            <w:pPr>
              <w:adjustRightInd w:val="0"/>
              <w:snapToGrid w:val="0"/>
              <w:jc w:val="center"/>
              <w:rPr>
                <w:szCs w:val="21"/>
              </w:rPr>
            </w:pPr>
            <w:r>
              <w:rPr>
                <w:szCs w:val="21"/>
              </w:rPr>
              <w:t>环境保护措施</w:t>
            </w:r>
          </w:p>
        </w:tc>
        <w:tc>
          <w:tcPr>
            <w:tcW w:w="1757" w:type="dxa"/>
            <w:gridSpan w:val="2"/>
            <w:vAlign w:val="center"/>
          </w:tcPr>
          <w:p>
            <w:pPr>
              <w:adjustRightInd w:val="0"/>
              <w:snapToGrid w:val="0"/>
              <w:jc w:val="center"/>
              <w:rPr>
                <w:szCs w:val="21"/>
              </w:rPr>
            </w:pPr>
            <w:r>
              <w:rPr>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restart"/>
            <w:vAlign w:val="center"/>
          </w:tcPr>
          <w:p>
            <w:pPr>
              <w:adjustRightInd w:val="0"/>
              <w:snapToGrid w:val="0"/>
              <w:jc w:val="center"/>
              <w:rPr>
                <w:szCs w:val="21"/>
              </w:rPr>
            </w:pPr>
            <w:r>
              <w:rPr>
                <w:szCs w:val="21"/>
              </w:rPr>
              <w:t>大气环境</w:t>
            </w:r>
          </w:p>
        </w:tc>
        <w:tc>
          <w:tcPr>
            <w:tcW w:w="1755" w:type="dxa"/>
            <w:vAlign w:val="center"/>
          </w:tcPr>
          <w:p>
            <w:pPr>
              <w:adjustRightInd w:val="0"/>
              <w:snapToGrid w:val="0"/>
              <w:jc w:val="center"/>
              <w:rPr>
                <w:szCs w:val="21"/>
              </w:rPr>
            </w:pPr>
            <w:r>
              <w:rPr>
                <w:rFonts w:hint="eastAsia"/>
                <w:szCs w:val="21"/>
              </w:rPr>
              <w:t>DA001</w:t>
            </w:r>
          </w:p>
        </w:tc>
        <w:tc>
          <w:tcPr>
            <w:tcW w:w="1755" w:type="dxa"/>
            <w:gridSpan w:val="2"/>
            <w:vAlign w:val="center"/>
          </w:tcPr>
          <w:p>
            <w:pPr>
              <w:pStyle w:val="87"/>
              <w:rPr>
                <w:rFonts w:cs="Times New Roman"/>
                <w:szCs w:val="21"/>
              </w:rPr>
            </w:pPr>
            <w:r>
              <w:rPr>
                <w:rFonts w:hint="eastAsia" w:cs="Times New Roman"/>
              </w:rPr>
              <w:t>粉尘</w:t>
            </w:r>
          </w:p>
        </w:tc>
        <w:tc>
          <w:tcPr>
            <w:tcW w:w="1755" w:type="dxa"/>
            <w:gridSpan w:val="2"/>
            <w:vAlign w:val="center"/>
          </w:tcPr>
          <w:p>
            <w:pPr>
              <w:adjustRightInd w:val="0"/>
              <w:snapToGrid w:val="0"/>
              <w:jc w:val="center"/>
              <w:rPr>
                <w:szCs w:val="21"/>
              </w:rPr>
            </w:pPr>
            <w:r>
              <w:rPr>
                <w:rFonts w:hint="eastAsia"/>
                <w:kern w:val="0"/>
                <w:szCs w:val="21"/>
              </w:rPr>
              <w:t>中央除尘</w:t>
            </w:r>
            <w:r>
              <w:rPr>
                <w:kern w:val="0"/>
                <w:szCs w:val="21"/>
              </w:rPr>
              <w:t>+</w:t>
            </w:r>
            <w:r>
              <w:rPr>
                <w:rFonts w:hint="eastAsia"/>
                <w:kern w:val="0"/>
                <w:szCs w:val="21"/>
              </w:rPr>
              <w:t>1</w:t>
            </w:r>
            <w:r>
              <w:rPr>
                <w:kern w:val="0"/>
                <w:szCs w:val="21"/>
              </w:rPr>
              <w:t>5m高排气筒</w:t>
            </w:r>
          </w:p>
        </w:tc>
        <w:tc>
          <w:tcPr>
            <w:tcW w:w="1757" w:type="dxa"/>
            <w:gridSpan w:val="2"/>
            <w:vAlign w:val="center"/>
          </w:tcPr>
          <w:p>
            <w:pPr>
              <w:adjustRightInd w:val="0"/>
              <w:snapToGrid w:val="0"/>
              <w:jc w:val="center"/>
              <w:rPr>
                <w:szCs w:val="21"/>
              </w:rPr>
            </w:pPr>
            <w:r>
              <w:rPr>
                <w:rFonts w:hint="eastAsia"/>
              </w:rPr>
              <w:t>《大气污染物综合排放标准》（GB16297-1996）表2中二级标准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55" w:type="dxa"/>
            <w:vAlign w:val="center"/>
          </w:tcPr>
          <w:p>
            <w:pPr>
              <w:adjustRightInd w:val="0"/>
              <w:snapToGrid w:val="0"/>
              <w:jc w:val="center"/>
              <w:rPr>
                <w:szCs w:val="21"/>
              </w:rPr>
            </w:pPr>
            <w:r>
              <w:rPr>
                <w:rFonts w:hint="eastAsia"/>
                <w:szCs w:val="21"/>
              </w:rPr>
              <w:t>DA002~DA004</w:t>
            </w:r>
          </w:p>
        </w:tc>
        <w:tc>
          <w:tcPr>
            <w:tcW w:w="1755" w:type="dxa"/>
            <w:gridSpan w:val="2"/>
            <w:vAlign w:val="center"/>
          </w:tcPr>
          <w:p>
            <w:pPr>
              <w:pStyle w:val="87"/>
              <w:rPr>
                <w:rFonts w:cs="Times New Roman"/>
                <w:szCs w:val="21"/>
              </w:rPr>
            </w:pPr>
            <w:r>
              <w:rPr>
                <w:rFonts w:hint="eastAsia" w:cs="Times New Roman"/>
              </w:rPr>
              <w:t>TVOC、甲苯及二甲苯、漆雾</w:t>
            </w:r>
          </w:p>
        </w:tc>
        <w:tc>
          <w:tcPr>
            <w:tcW w:w="1755" w:type="dxa"/>
            <w:gridSpan w:val="2"/>
            <w:vAlign w:val="center"/>
          </w:tcPr>
          <w:p>
            <w:pPr>
              <w:adjustRightInd w:val="0"/>
              <w:snapToGrid w:val="0"/>
              <w:jc w:val="center"/>
              <w:rPr>
                <w:kern w:val="0"/>
                <w:szCs w:val="21"/>
              </w:rPr>
            </w:pPr>
            <w:r>
              <w:rPr>
                <w:rFonts w:hint="eastAsia"/>
                <w:kern w:val="0"/>
                <w:szCs w:val="21"/>
              </w:rPr>
              <w:t>水帘柜+二级活性炭吸附装置</w:t>
            </w:r>
            <w:r>
              <w:rPr>
                <w:kern w:val="0"/>
                <w:szCs w:val="21"/>
              </w:rPr>
              <w:t>+</w:t>
            </w:r>
            <w:r>
              <w:rPr>
                <w:rFonts w:hint="eastAsia"/>
                <w:kern w:val="0"/>
                <w:szCs w:val="21"/>
              </w:rPr>
              <w:t>1</w:t>
            </w:r>
            <w:r>
              <w:rPr>
                <w:kern w:val="0"/>
                <w:szCs w:val="21"/>
              </w:rPr>
              <w:t>5m高排气筒</w:t>
            </w:r>
          </w:p>
          <w:p>
            <w:pPr>
              <w:adjustRightInd w:val="0"/>
              <w:snapToGrid w:val="0"/>
              <w:jc w:val="center"/>
              <w:rPr>
                <w:szCs w:val="21"/>
              </w:rPr>
            </w:pPr>
          </w:p>
        </w:tc>
        <w:tc>
          <w:tcPr>
            <w:tcW w:w="1757" w:type="dxa"/>
            <w:gridSpan w:val="2"/>
            <w:vAlign w:val="center"/>
          </w:tcPr>
          <w:p>
            <w:pPr>
              <w:adjustRightInd w:val="0"/>
              <w:snapToGrid w:val="0"/>
              <w:jc w:val="center"/>
              <w:rPr>
                <w:szCs w:val="21"/>
              </w:rPr>
            </w:pPr>
            <w:r>
              <w:rPr>
                <w:rFonts w:hint="eastAsia"/>
              </w:rPr>
              <w:t>甲苯及二甲苯、TVOC污染物</w:t>
            </w:r>
            <w:r>
              <w:t>排放执行</w:t>
            </w:r>
            <w:r>
              <w:rPr>
                <w:rFonts w:hint="eastAsia"/>
              </w:rPr>
              <w:t>江西省地方标准</w:t>
            </w:r>
            <w:r>
              <w:t>《</w:t>
            </w:r>
            <w:r>
              <w:rPr>
                <w:rFonts w:hint="eastAsia"/>
              </w:rPr>
              <w:t>挥发性有机物排放标准第6部分：家具制造业</w:t>
            </w:r>
            <w:r>
              <w:t>》（</w:t>
            </w:r>
            <w:r>
              <w:rPr>
                <w:rFonts w:hint="eastAsia"/>
              </w:rPr>
              <w:t>DB36/1101.6-2019</w:t>
            </w:r>
            <w:r>
              <w:t>）表</w:t>
            </w:r>
            <w:r>
              <w:rPr>
                <w:rFonts w:hint="eastAsia"/>
              </w:rPr>
              <w:t>1</w:t>
            </w:r>
            <w:r>
              <w:t>中标准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55" w:type="dxa"/>
            <w:vAlign w:val="center"/>
          </w:tcPr>
          <w:p>
            <w:pPr>
              <w:adjustRightInd w:val="0"/>
              <w:snapToGrid w:val="0"/>
              <w:jc w:val="center"/>
              <w:rPr>
                <w:szCs w:val="21"/>
              </w:rPr>
            </w:pPr>
            <w:r>
              <w:rPr>
                <w:rFonts w:hint="eastAsia"/>
                <w:szCs w:val="21"/>
              </w:rPr>
              <w:t>DA005</w:t>
            </w:r>
          </w:p>
        </w:tc>
        <w:tc>
          <w:tcPr>
            <w:tcW w:w="1755" w:type="dxa"/>
            <w:gridSpan w:val="2"/>
            <w:vAlign w:val="center"/>
          </w:tcPr>
          <w:p>
            <w:pPr>
              <w:pStyle w:val="87"/>
              <w:rPr>
                <w:rFonts w:cs="Times New Roman"/>
              </w:rPr>
            </w:pPr>
            <w:r>
              <w:rPr>
                <w:rFonts w:hint="eastAsia" w:cs="Times New Roman"/>
              </w:rPr>
              <w:t>粉尘</w:t>
            </w:r>
          </w:p>
        </w:tc>
        <w:tc>
          <w:tcPr>
            <w:tcW w:w="1755" w:type="dxa"/>
            <w:gridSpan w:val="2"/>
            <w:vAlign w:val="center"/>
          </w:tcPr>
          <w:p>
            <w:pPr>
              <w:pStyle w:val="87"/>
              <w:rPr>
                <w:rFonts w:cs="Times New Roman"/>
                <w:bCs/>
              </w:rPr>
            </w:pPr>
            <w:r>
              <w:rPr>
                <w:rFonts w:hint="eastAsia"/>
                <w:kern w:val="0"/>
                <w:szCs w:val="21"/>
              </w:rPr>
              <w:t>中央除尘</w:t>
            </w:r>
            <w:r>
              <w:rPr>
                <w:kern w:val="0"/>
                <w:szCs w:val="21"/>
              </w:rPr>
              <w:t>+</w:t>
            </w:r>
            <w:r>
              <w:rPr>
                <w:rFonts w:hint="eastAsia"/>
                <w:kern w:val="0"/>
                <w:szCs w:val="21"/>
              </w:rPr>
              <w:t>1</w:t>
            </w:r>
            <w:r>
              <w:rPr>
                <w:kern w:val="0"/>
                <w:szCs w:val="21"/>
              </w:rPr>
              <w:t>5m高排气筒</w:t>
            </w:r>
          </w:p>
        </w:tc>
        <w:tc>
          <w:tcPr>
            <w:tcW w:w="1757" w:type="dxa"/>
            <w:gridSpan w:val="2"/>
            <w:vAlign w:val="center"/>
          </w:tcPr>
          <w:p>
            <w:pPr>
              <w:adjustRightInd w:val="0"/>
              <w:snapToGrid w:val="0"/>
              <w:jc w:val="center"/>
            </w:pPr>
            <w:r>
              <w:rPr>
                <w:rFonts w:hint="eastAsia"/>
              </w:rPr>
              <w:t>《大气污染物综合排放标准》（GB16297-1996）表2中二级标准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55" w:type="dxa"/>
            <w:vAlign w:val="center"/>
          </w:tcPr>
          <w:p>
            <w:pPr>
              <w:adjustRightInd w:val="0"/>
              <w:snapToGrid w:val="0"/>
              <w:jc w:val="center"/>
              <w:rPr>
                <w:szCs w:val="21"/>
              </w:rPr>
            </w:pPr>
            <w:r>
              <w:rPr>
                <w:rFonts w:hint="eastAsia"/>
                <w:szCs w:val="21"/>
              </w:rPr>
              <w:t>生产车间</w:t>
            </w:r>
          </w:p>
        </w:tc>
        <w:tc>
          <w:tcPr>
            <w:tcW w:w="1755" w:type="dxa"/>
            <w:gridSpan w:val="2"/>
            <w:vAlign w:val="center"/>
          </w:tcPr>
          <w:p>
            <w:pPr>
              <w:pStyle w:val="87"/>
              <w:rPr>
                <w:rFonts w:cs="Times New Roman"/>
              </w:rPr>
            </w:pPr>
            <w:r>
              <w:rPr>
                <w:rFonts w:hint="eastAsia" w:cs="Times New Roman"/>
              </w:rPr>
              <w:t>TVOC、粉尘</w:t>
            </w:r>
          </w:p>
        </w:tc>
        <w:tc>
          <w:tcPr>
            <w:tcW w:w="1755" w:type="dxa"/>
            <w:gridSpan w:val="2"/>
            <w:vMerge w:val="restart"/>
            <w:vAlign w:val="center"/>
          </w:tcPr>
          <w:p>
            <w:pPr>
              <w:jc w:val="center"/>
              <w:rPr>
                <w:bCs/>
              </w:rPr>
            </w:pPr>
            <w:r>
              <w:rPr>
                <w:rFonts w:hint="eastAsia"/>
                <w:bCs/>
              </w:rPr>
              <w:t>加强通风</w:t>
            </w:r>
          </w:p>
        </w:tc>
        <w:tc>
          <w:tcPr>
            <w:tcW w:w="1757" w:type="dxa"/>
            <w:gridSpan w:val="2"/>
            <w:vMerge w:val="restart"/>
            <w:vAlign w:val="center"/>
          </w:tcPr>
          <w:p>
            <w:pPr>
              <w:adjustRightInd w:val="0"/>
              <w:snapToGrid w:val="0"/>
              <w:jc w:val="center"/>
              <w:rPr>
                <w:szCs w:val="21"/>
              </w:rPr>
            </w:pPr>
            <w:r>
              <w:rPr>
                <w:rFonts w:hint="eastAsia"/>
              </w:rPr>
              <w:t>甲苯及二甲苯、TVOC污染物</w:t>
            </w:r>
            <w:r>
              <w:t>排放执行</w:t>
            </w:r>
            <w:r>
              <w:rPr>
                <w:rFonts w:hint="eastAsia"/>
              </w:rPr>
              <w:t>江西省地方标准</w:t>
            </w:r>
            <w:r>
              <w:t>《</w:t>
            </w:r>
            <w:r>
              <w:rPr>
                <w:rFonts w:hint="eastAsia"/>
              </w:rPr>
              <w:t>挥发性有机物排放标准第6部分：家具制造业</w:t>
            </w:r>
            <w:r>
              <w:t>》（</w:t>
            </w:r>
            <w:r>
              <w:rPr>
                <w:rFonts w:hint="eastAsia"/>
              </w:rPr>
              <w:t>DB36/1101.6-2019</w:t>
            </w:r>
            <w:r>
              <w:t>）</w:t>
            </w:r>
            <w:r>
              <w:rPr>
                <w:rFonts w:hint="eastAsia"/>
              </w:rPr>
              <w:t>表</w:t>
            </w:r>
            <w:r>
              <w:t>2中标准</w:t>
            </w:r>
            <w:r>
              <w:rPr>
                <w:rFonts w:hint="eastAsia"/>
              </w:rPr>
              <w:t>，粉尘排放</w:t>
            </w:r>
            <w:r>
              <w:t>执行</w:t>
            </w:r>
            <w:r>
              <w:rPr>
                <w:rFonts w:hint="eastAsia"/>
              </w:rPr>
              <w:t>《大气污染物综合排放标准》（GB16297-1996）无组织排放监控浓度限值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55" w:type="dxa"/>
            <w:vAlign w:val="center"/>
          </w:tcPr>
          <w:p>
            <w:pPr>
              <w:adjustRightInd w:val="0"/>
              <w:snapToGrid w:val="0"/>
              <w:jc w:val="center"/>
              <w:rPr>
                <w:szCs w:val="21"/>
              </w:rPr>
            </w:pPr>
            <w:r>
              <w:rPr>
                <w:rFonts w:hint="eastAsia"/>
                <w:szCs w:val="21"/>
              </w:rPr>
              <w:t>喷漆房</w:t>
            </w:r>
          </w:p>
        </w:tc>
        <w:tc>
          <w:tcPr>
            <w:tcW w:w="1755" w:type="dxa"/>
            <w:gridSpan w:val="2"/>
            <w:vAlign w:val="center"/>
          </w:tcPr>
          <w:p>
            <w:pPr>
              <w:pStyle w:val="87"/>
              <w:rPr>
                <w:rFonts w:cs="Times New Roman"/>
              </w:rPr>
            </w:pPr>
            <w:r>
              <w:rPr>
                <w:rFonts w:hint="eastAsia" w:cs="Times New Roman"/>
              </w:rPr>
              <w:t>VOC、甲苯及二甲苯、漆雾</w:t>
            </w:r>
          </w:p>
        </w:tc>
        <w:tc>
          <w:tcPr>
            <w:tcW w:w="1755" w:type="dxa"/>
            <w:gridSpan w:val="2"/>
            <w:vMerge w:val="continue"/>
            <w:vAlign w:val="center"/>
          </w:tcPr>
          <w:p>
            <w:pPr>
              <w:rPr>
                <w:bCs/>
              </w:rPr>
            </w:pPr>
          </w:p>
        </w:tc>
        <w:tc>
          <w:tcPr>
            <w:tcW w:w="1757" w:type="dxa"/>
            <w:gridSpan w:val="2"/>
            <w:vMerge w:val="continue"/>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zCs w:val="21"/>
              </w:rPr>
            </w:pPr>
            <w:r>
              <w:rPr>
                <w:szCs w:val="21"/>
              </w:rPr>
              <w:t>地表水环境</w:t>
            </w:r>
          </w:p>
        </w:tc>
        <w:tc>
          <w:tcPr>
            <w:tcW w:w="1755" w:type="dxa"/>
            <w:vAlign w:val="center"/>
          </w:tcPr>
          <w:p>
            <w:pPr>
              <w:adjustRightInd w:val="0"/>
              <w:snapToGrid w:val="0"/>
              <w:jc w:val="center"/>
              <w:rPr>
                <w:szCs w:val="21"/>
              </w:rPr>
            </w:pPr>
            <w:r>
              <w:rPr>
                <w:rFonts w:hint="eastAsia"/>
                <w:szCs w:val="21"/>
              </w:rPr>
              <w:t>生活污水</w:t>
            </w:r>
          </w:p>
        </w:tc>
        <w:tc>
          <w:tcPr>
            <w:tcW w:w="1755" w:type="dxa"/>
            <w:gridSpan w:val="2"/>
            <w:vAlign w:val="center"/>
          </w:tcPr>
          <w:p>
            <w:pPr>
              <w:spacing w:line="340" w:lineRule="atLeast"/>
              <w:jc w:val="center"/>
            </w:pPr>
            <w:r>
              <w:t>COD</w:t>
            </w:r>
            <w:r>
              <w:rPr>
                <w:rFonts w:hint="eastAsia"/>
              </w:rPr>
              <w:t>、</w:t>
            </w:r>
            <w:r>
              <w:t>BOD</w:t>
            </w:r>
            <w:r>
              <w:rPr>
                <w:vertAlign w:val="subscript"/>
              </w:rPr>
              <w:t>5</w:t>
            </w:r>
            <w:r>
              <w:rPr>
                <w:rFonts w:hint="eastAsia"/>
              </w:rPr>
              <w:t>、</w:t>
            </w:r>
            <w:r>
              <w:t>SS</w:t>
            </w:r>
            <w:r>
              <w:rPr>
                <w:rFonts w:hint="eastAsia"/>
              </w:rPr>
              <w:t>、</w:t>
            </w:r>
            <w:r>
              <w:t>氨氮</w:t>
            </w:r>
          </w:p>
          <w:p>
            <w:pPr>
              <w:adjustRightInd w:val="0"/>
              <w:snapToGrid w:val="0"/>
              <w:jc w:val="center"/>
              <w:rPr>
                <w:szCs w:val="21"/>
              </w:rPr>
            </w:pPr>
          </w:p>
        </w:tc>
        <w:tc>
          <w:tcPr>
            <w:tcW w:w="1755" w:type="dxa"/>
            <w:gridSpan w:val="2"/>
            <w:vAlign w:val="center"/>
          </w:tcPr>
          <w:p>
            <w:pPr>
              <w:adjustRightInd w:val="0"/>
              <w:snapToGrid w:val="0"/>
              <w:jc w:val="center"/>
              <w:rPr>
                <w:szCs w:val="21"/>
              </w:rPr>
            </w:pPr>
            <w:r>
              <w:rPr>
                <w:rFonts w:hint="eastAsia"/>
                <w:szCs w:val="21"/>
              </w:rPr>
              <w:t>化粪池</w:t>
            </w:r>
          </w:p>
        </w:tc>
        <w:tc>
          <w:tcPr>
            <w:tcW w:w="1757" w:type="dxa"/>
            <w:gridSpan w:val="2"/>
            <w:vAlign w:val="center"/>
          </w:tcPr>
          <w:p>
            <w:pPr>
              <w:adjustRightInd w:val="0"/>
              <w:snapToGrid w:val="0"/>
              <w:jc w:val="center"/>
              <w:rPr>
                <w:szCs w:val="21"/>
              </w:rPr>
            </w:pPr>
            <w:r>
              <w:rPr>
                <w:rFonts w:hint="eastAsia"/>
                <w:szCs w:val="21"/>
              </w:rPr>
              <w:t>江西余干工业园区（黄金埠）污水处理厂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zCs w:val="21"/>
              </w:rPr>
            </w:pPr>
            <w:r>
              <w:rPr>
                <w:szCs w:val="21"/>
              </w:rPr>
              <w:t>声环境</w:t>
            </w:r>
          </w:p>
        </w:tc>
        <w:tc>
          <w:tcPr>
            <w:tcW w:w="1755" w:type="dxa"/>
            <w:vAlign w:val="center"/>
          </w:tcPr>
          <w:p>
            <w:pPr>
              <w:spacing w:line="80" w:lineRule="atLeast"/>
              <w:jc w:val="center"/>
              <w:rPr>
                <w:szCs w:val="21"/>
              </w:rPr>
            </w:pPr>
            <w:r>
              <w:t>设备噪声</w:t>
            </w:r>
          </w:p>
        </w:tc>
        <w:tc>
          <w:tcPr>
            <w:tcW w:w="1755" w:type="dxa"/>
            <w:gridSpan w:val="2"/>
            <w:vAlign w:val="center"/>
          </w:tcPr>
          <w:p>
            <w:pPr>
              <w:jc w:val="center"/>
              <w:rPr>
                <w:szCs w:val="21"/>
              </w:rPr>
            </w:pPr>
            <w:r>
              <w:t>机械噪声</w:t>
            </w:r>
          </w:p>
        </w:tc>
        <w:tc>
          <w:tcPr>
            <w:tcW w:w="1755" w:type="dxa"/>
            <w:gridSpan w:val="2"/>
            <w:vAlign w:val="center"/>
          </w:tcPr>
          <w:p>
            <w:pPr>
              <w:jc w:val="left"/>
              <w:rPr>
                <w:szCs w:val="21"/>
              </w:rPr>
            </w:pPr>
            <w:r>
              <w:t>选用低噪声设备绿化隔声，距离衰减</w:t>
            </w:r>
          </w:p>
        </w:tc>
        <w:tc>
          <w:tcPr>
            <w:tcW w:w="1757" w:type="dxa"/>
            <w:gridSpan w:val="2"/>
            <w:vAlign w:val="center"/>
          </w:tcPr>
          <w:p>
            <w:pPr>
              <w:jc w:val="center"/>
              <w:rPr>
                <w:rStyle w:val="89"/>
                <w:sz w:val="21"/>
              </w:rPr>
            </w:pPr>
            <w:r>
              <w:rPr>
                <w:kern w:val="10"/>
              </w:rPr>
              <w:t>昼间</w:t>
            </w:r>
            <w:r>
              <w:rPr>
                <w:rStyle w:val="89"/>
                <w:sz w:val="21"/>
              </w:rPr>
              <w:t>≤6</w:t>
            </w:r>
            <w:r>
              <w:rPr>
                <w:rStyle w:val="89"/>
                <w:rFonts w:hint="eastAsia"/>
                <w:sz w:val="21"/>
              </w:rPr>
              <w:t>5</w:t>
            </w:r>
            <w:r>
              <w:rPr>
                <w:rStyle w:val="89"/>
                <w:sz w:val="21"/>
              </w:rPr>
              <w:t>dB（A）</w:t>
            </w:r>
          </w:p>
          <w:p>
            <w:pPr>
              <w:jc w:val="center"/>
              <w:rPr>
                <w:szCs w:val="21"/>
              </w:rPr>
            </w:pPr>
            <w:r>
              <w:rPr>
                <w:kern w:val="10"/>
              </w:rPr>
              <w:t>夜间</w:t>
            </w:r>
            <w:r>
              <w:rPr>
                <w:rStyle w:val="89"/>
                <w:sz w:val="21"/>
              </w:rPr>
              <w:t>≤5</w:t>
            </w:r>
            <w:r>
              <w:rPr>
                <w:rStyle w:val="89"/>
                <w:rFonts w:hint="eastAsia"/>
                <w:sz w:val="21"/>
              </w:rPr>
              <w:t>5</w:t>
            </w:r>
            <w:r>
              <w:rPr>
                <w:rStyle w:val="89"/>
                <w:sz w:val="21"/>
              </w:rPr>
              <w:t>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zCs w:val="21"/>
              </w:rPr>
            </w:pPr>
            <w:r>
              <w:rPr>
                <w:szCs w:val="21"/>
              </w:rPr>
              <w:t>电磁辐射</w:t>
            </w:r>
          </w:p>
        </w:tc>
        <w:tc>
          <w:tcPr>
            <w:tcW w:w="7022" w:type="dxa"/>
            <w:gridSpan w:val="7"/>
            <w:vAlign w:val="center"/>
          </w:tcPr>
          <w:p>
            <w:pPr>
              <w:adjustRightInd w:val="0"/>
              <w:snapToGrid w:val="0"/>
              <w:jc w:val="center"/>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restart"/>
            <w:vAlign w:val="center"/>
          </w:tcPr>
          <w:p>
            <w:pPr>
              <w:adjustRightInd w:val="0"/>
              <w:snapToGrid w:val="0"/>
              <w:jc w:val="center"/>
              <w:rPr>
                <w:szCs w:val="21"/>
              </w:rPr>
            </w:pPr>
            <w:r>
              <w:rPr>
                <w:szCs w:val="21"/>
              </w:rPr>
              <w:t>固体废物</w:t>
            </w:r>
          </w:p>
        </w:tc>
        <w:tc>
          <w:tcPr>
            <w:tcW w:w="1774" w:type="dxa"/>
            <w:gridSpan w:val="2"/>
            <w:vAlign w:val="center"/>
          </w:tcPr>
          <w:p>
            <w:pPr>
              <w:spacing w:line="80" w:lineRule="atLeast"/>
              <w:jc w:val="center"/>
              <w:rPr>
                <w:szCs w:val="21"/>
              </w:rPr>
            </w:pPr>
            <w:r>
              <w:t>生活垃圾</w:t>
            </w:r>
          </w:p>
        </w:tc>
        <w:tc>
          <w:tcPr>
            <w:tcW w:w="1746" w:type="dxa"/>
            <w:gridSpan w:val="2"/>
            <w:vAlign w:val="center"/>
          </w:tcPr>
          <w:p>
            <w:pPr>
              <w:spacing w:line="80" w:lineRule="atLeast"/>
              <w:jc w:val="center"/>
              <w:rPr>
                <w:szCs w:val="21"/>
              </w:rPr>
            </w:pPr>
            <w:r>
              <w:t>废纸屑、废塑料、菜梗等</w:t>
            </w:r>
          </w:p>
        </w:tc>
        <w:tc>
          <w:tcPr>
            <w:tcW w:w="1755" w:type="dxa"/>
            <w:gridSpan w:val="2"/>
            <w:vAlign w:val="center"/>
          </w:tcPr>
          <w:p>
            <w:pPr>
              <w:spacing w:line="80" w:lineRule="atLeast"/>
              <w:jc w:val="center"/>
              <w:rPr>
                <w:szCs w:val="21"/>
              </w:rPr>
            </w:pPr>
            <w:r>
              <w:rPr>
                <w:szCs w:val="21"/>
              </w:rPr>
              <w:t>送环卫部门统一处理</w:t>
            </w:r>
          </w:p>
        </w:tc>
        <w:tc>
          <w:tcPr>
            <w:tcW w:w="1747" w:type="dxa"/>
            <w:vMerge w:val="restart"/>
            <w:vAlign w:val="center"/>
          </w:tcPr>
          <w:p>
            <w:pPr>
              <w:adjustRightInd w:val="0"/>
              <w:snapToGrid w:val="0"/>
              <w:jc w:val="center"/>
              <w:rPr>
                <w:szCs w:val="21"/>
              </w:rPr>
            </w:pPr>
            <w:r>
              <w:rPr>
                <w:rFonts w:hint="eastAsia"/>
                <w:szCs w:val="21"/>
              </w:rPr>
              <w:t>一般工业固体废物贮存过程应满足相应防渗漏、防雨淋、防扬尘等环境保护要求；</w:t>
            </w:r>
            <w:r>
              <w:rPr>
                <w:rFonts w:hint="eastAsia"/>
                <w:szCs w:val="21"/>
                <w:lang w:val="zh-CN"/>
              </w:rPr>
              <w:t>危险废物执行《危险废物贮存污染控制标准》(GB 18597—2023)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74" w:type="dxa"/>
            <w:gridSpan w:val="2"/>
            <w:vMerge w:val="restart"/>
            <w:vAlign w:val="center"/>
          </w:tcPr>
          <w:p>
            <w:pPr>
              <w:spacing w:line="80" w:lineRule="atLeast"/>
              <w:jc w:val="center"/>
            </w:pPr>
            <w:r>
              <w:rPr>
                <w:rFonts w:hint="eastAsia"/>
              </w:rPr>
              <w:t>生产过程</w:t>
            </w:r>
          </w:p>
        </w:tc>
        <w:tc>
          <w:tcPr>
            <w:tcW w:w="1746" w:type="dxa"/>
            <w:gridSpan w:val="2"/>
            <w:vAlign w:val="center"/>
          </w:tcPr>
          <w:p>
            <w:pPr>
              <w:adjustRightInd w:val="0"/>
              <w:snapToGrid w:val="0"/>
              <w:spacing w:before="60" w:beforeLines="25" w:after="60" w:afterLines="25"/>
              <w:jc w:val="center"/>
            </w:pPr>
            <w:r>
              <w:rPr>
                <w:rFonts w:hint="eastAsia"/>
              </w:rPr>
              <w:t>边角料</w:t>
            </w:r>
          </w:p>
        </w:tc>
        <w:tc>
          <w:tcPr>
            <w:tcW w:w="1755" w:type="dxa"/>
            <w:gridSpan w:val="2"/>
            <w:vMerge w:val="restart"/>
            <w:vAlign w:val="center"/>
          </w:tcPr>
          <w:p>
            <w:pPr>
              <w:adjustRightInd w:val="0"/>
              <w:snapToGrid w:val="0"/>
              <w:spacing w:line="240" w:lineRule="exact"/>
              <w:jc w:val="center"/>
              <w:rPr>
                <w:szCs w:val="21"/>
              </w:rPr>
            </w:pPr>
            <w:r>
              <w:rPr>
                <w:rFonts w:hint="eastAsia"/>
                <w:szCs w:val="21"/>
              </w:rPr>
              <w:t>定期外售至生物质厂家</w:t>
            </w: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74" w:type="dxa"/>
            <w:gridSpan w:val="2"/>
            <w:vMerge w:val="continue"/>
            <w:vAlign w:val="center"/>
          </w:tcPr>
          <w:p>
            <w:pPr>
              <w:spacing w:line="80" w:lineRule="atLeast"/>
              <w:jc w:val="center"/>
            </w:pPr>
          </w:p>
        </w:tc>
        <w:tc>
          <w:tcPr>
            <w:tcW w:w="1746" w:type="dxa"/>
            <w:gridSpan w:val="2"/>
            <w:vAlign w:val="center"/>
          </w:tcPr>
          <w:p>
            <w:pPr>
              <w:adjustRightInd w:val="0"/>
              <w:snapToGrid w:val="0"/>
              <w:spacing w:before="60" w:beforeLines="25" w:after="60" w:afterLines="25"/>
              <w:jc w:val="center"/>
            </w:pPr>
            <w:r>
              <w:rPr>
                <w:rFonts w:hint="eastAsia"/>
              </w:rPr>
              <w:t>收集的粉尘</w:t>
            </w:r>
          </w:p>
        </w:tc>
        <w:tc>
          <w:tcPr>
            <w:tcW w:w="1755" w:type="dxa"/>
            <w:gridSpan w:val="2"/>
            <w:vMerge w:val="continue"/>
            <w:vAlign w:val="center"/>
          </w:tcPr>
          <w:p>
            <w:pPr>
              <w:spacing w:line="340" w:lineRule="exact"/>
              <w:jc w:val="center"/>
              <w:rPr>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74" w:type="dxa"/>
            <w:gridSpan w:val="2"/>
            <w:vMerge w:val="continue"/>
            <w:vAlign w:val="center"/>
          </w:tcPr>
          <w:p>
            <w:pPr>
              <w:spacing w:line="80" w:lineRule="atLeast"/>
              <w:jc w:val="center"/>
            </w:pPr>
          </w:p>
        </w:tc>
        <w:tc>
          <w:tcPr>
            <w:tcW w:w="1746" w:type="dxa"/>
            <w:gridSpan w:val="2"/>
            <w:vAlign w:val="center"/>
          </w:tcPr>
          <w:p>
            <w:pPr>
              <w:snapToGrid w:val="0"/>
              <w:spacing w:before="60" w:beforeLines="25" w:after="60" w:afterLines="25"/>
              <w:jc w:val="center"/>
            </w:pPr>
            <w:r>
              <w:rPr>
                <w:rFonts w:hint="eastAsia"/>
              </w:rPr>
              <w:t>水帘柜喷淋用水更换液</w:t>
            </w:r>
          </w:p>
        </w:tc>
        <w:tc>
          <w:tcPr>
            <w:tcW w:w="1755" w:type="dxa"/>
            <w:gridSpan w:val="2"/>
            <w:vMerge w:val="restart"/>
            <w:vAlign w:val="center"/>
          </w:tcPr>
          <w:p>
            <w:pPr>
              <w:adjustRightInd w:val="0"/>
              <w:snapToGrid w:val="0"/>
              <w:spacing w:line="240" w:lineRule="exact"/>
              <w:jc w:val="center"/>
              <w:rPr>
                <w:szCs w:val="21"/>
              </w:rPr>
            </w:pPr>
            <w:r>
              <w:rPr>
                <w:rFonts w:hint="eastAsia"/>
                <w:szCs w:val="21"/>
              </w:rPr>
              <w:t>委托有资质单位处理</w:t>
            </w:r>
          </w:p>
          <w:p>
            <w:pPr>
              <w:adjustRightInd w:val="0"/>
              <w:snapToGrid w:val="0"/>
              <w:spacing w:line="240" w:lineRule="exact"/>
              <w:jc w:val="center"/>
              <w:rPr>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74" w:type="dxa"/>
            <w:gridSpan w:val="2"/>
            <w:vMerge w:val="continue"/>
            <w:vAlign w:val="center"/>
          </w:tcPr>
          <w:p>
            <w:pPr>
              <w:spacing w:line="80" w:lineRule="atLeast"/>
              <w:jc w:val="center"/>
            </w:pPr>
          </w:p>
        </w:tc>
        <w:tc>
          <w:tcPr>
            <w:tcW w:w="1746" w:type="dxa"/>
            <w:gridSpan w:val="2"/>
            <w:vAlign w:val="center"/>
          </w:tcPr>
          <w:p>
            <w:pPr>
              <w:adjustRightInd w:val="0"/>
              <w:snapToGrid w:val="0"/>
              <w:spacing w:before="60" w:beforeLines="25" w:after="60" w:afterLines="25"/>
              <w:jc w:val="center"/>
            </w:pPr>
            <w:r>
              <w:rPr>
                <w:rFonts w:hint="eastAsia"/>
              </w:rPr>
              <w:t>漆渣</w:t>
            </w:r>
          </w:p>
        </w:tc>
        <w:tc>
          <w:tcPr>
            <w:tcW w:w="1755" w:type="dxa"/>
            <w:gridSpan w:val="2"/>
            <w:vMerge w:val="continue"/>
            <w:vAlign w:val="center"/>
          </w:tcPr>
          <w:p>
            <w:pPr>
              <w:spacing w:line="340" w:lineRule="exact"/>
              <w:jc w:val="center"/>
              <w:rPr>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szCs w:val="21"/>
              </w:rPr>
            </w:pPr>
          </w:p>
        </w:tc>
        <w:tc>
          <w:tcPr>
            <w:tcW w:w="1774" w:type="dxa"/>
            <w:gridSpan w:val="2"/>
            <w:vMerge w:val="continue"/>
            <w:vAlign w:val="center"/>
          </w:tcPr>
          <w:p>
            <w:pPr>
              <w:spacing w:line="80" w:lineRule="atLeast"/>
              <w:jc w:val="center"/>
            </w:pPr>
          </w:p>
        </w:tc>
        <w:tc>
          <w:tcPr>
            <w:tcW w:w="1746" w:type="dxa"/>
            <w:gridSpan w:val="2"/>
            <w:vAlign w:val="center"/>
          </w:tcPr>
          <w:p>
            <w:pPr>
              <w:adjustRightInd w:val="0"/>
              <w:snapToGrid w:val="0"/>
              <w:spacing w:before="60" w:beforeLines="25" w:after="60" w:afterLines="25"/>
              <w:jc w:val="center"/>
            </w:pPr>
            <w:r>
              <w:rPr>
                <w:rFonts w:hint="eastAsia"/>
              </w:rPr>
              <w:t>废活性炭</w:t>
            </w:r>
          </w:p>
        </w:tc>
        <w:tc>
          <w:tcPr>
            <w:tcW w:w="1755" w:type="dxa"/>
            <w:gridSpan w:val="2"/>
            <w:vMerge w:val="continue"/>
            <w:vAlign w:val="center"/>
          </w:tcPr>
          <w:p>
            <w:pPr>
              <w:spacing w:line="340" w:lineRule="exact"/>
              <w:jc w:val="center"/>
              <w:rPr>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color w:val="FF0000"/>
                <w:szCs w:val="21"/>
              </w:rPr>
            </w:pPr>
          </w:p>
        </w:tc>
        <w:tc>
          <w:tcPr>
            <w:tcW w:w="1774" w:type="dxa"/>
            <w:gridSpan w:val="2"/>
            <w:vMerge w:val="continue"/>
            <w:vAlign w:val="center"/>
          </w:tcPr>
          <w:p>
            <w:pPr>
              <w:spacing w:line="80" w:lineRule="atLeast"/>
              <w:jc w:val="center"/>
              <w:rPr>
                <w:color w:val="FF0000"/>
              </w:rPr>
            </w:pPr>
          </w:p>
        </w:tc>
        <w:tc>
          <w:tcPr>
            <w:tcW w:w="1746" w:type="dxa"/>
            <w:gridSpan w:val="2"/>
            <w:vAlign w:val="center"/>
          </w:tcPr>
          <w:p>
            <w:pPr>
              <w:adjustRightInd w:val="0"/>
              <w:snapToGrid w:val="0"/>
              <w:spacing w:before="60" w:beforeLines="25" w:after="60" w:afterLines="25"/>
              <w:jc w:val="center"/>
            </w:pPr>
            <w:r>
              <w:rPr>
                <w:rFonts w:hint="eastAsia"/>
              </w:rPr>
              <w:t>废油漆桶</w:t>
            </w:r>
          </w:p>
        </w:tc>
        <w:tc>
          <w:tcPr>
            <w:tcW w:w="1755" w:type="dxa"/>
            <w:gridSpan w:val="2"/>
            <w:vMerge w:val="continue"/>
            <w:vAlign w:val="center"/>
          </w:tcPr>
          <w:p>
            <w:pPr>
              <w:adjustRightInd w:val="0"/>
              <w:snapToGrid w:val="0"/>
              <w:spacing w:line="240" w:lineRule="exact"/>
              <w:jc w:val="center"/>
              <w:rPr>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color w:val="FF0000"/>
                <w:szCs w:val="21"/>
              </w:rPr>
            </w:pPr>
          </w:p>
        </w:tc>
        <w:tc>
          <w:tcPr>
            <w:tcW w:w="1774" w:type="dxa"/>
            <w:gridSpan w:val="2"/>
            <w:vMerge w:val="continue"/>
            <w:vAlign w:val="center"/>
          </w:tcPr>
          <w:p>
            <w:pPr>
              <w:spacing w:line="80" w:lineRule="atLeast"/>
              <w:jc w:val="center"/>
              <w:rPr>
                <w:color w:val="FF0000"/>
              </w:rPr>
            </w:pPr>
          </w:p>
        </w:tc>
        <w:tc>
          <w:tcPr>
            <w:tcW w:w="1746" w:type="dxa"/>
            <w:gridSpan w:val="2"/>
            <w:vAlign w:val="center"/>
          </w:tcPr>
          <w:p>
            <w:pPr>
              <w:adjustRightInd w:val="0"/>
              <w:snapToGrid w:val="0"/>
              <w:spacing w:before="60" w:beforeLines="25" w:after="60" w:afterLines="25"/>
              <w:jc w:val="center"/>
            </w:pPr>
            <w:r>
              <w:rPr>
                <w:rFonts w:hint="eastAsia"/>
              </w:rPr>
              <w:t>废抹布</w:t>
            </w:r>
          </w:p>
        </w:tc>
        <w:tc>
          <w:tcPr>
            <w:tcW w:w="1755" w:type="dxa"/>
            <w:gridSpan w:val="2"/>
            <w:vMerge w:val="continue"/>
            <w:vAlign w:val="center"/>
          </w:tcPr>
          <w:p>
            <w:pPr>
              <w:spacing w:line="340" w:lineRule="exact"/>
              <w:jc w:val="center"/>
              <w:rPr>
                <w:color w:val="FF0000"/>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Merge w:val="continue"/>
            <w:vAlign w:val="center"/>
          </w:tcPr>
          <w:p>
            <w:pPr>
              <w:adjustRightInd w:val="0"/>
              <w:snapToGrid w:val="0"/>
              <w:jc w:val="center"/>
              <w:rPr>
                <w:color w:val="FF0000"/>
                <w:szCs w:val="21"/>
              </w:rPr>
            </w:pPr>
          </w:p>
        </w:tc>
        <w:tc>
          <w:tcPr>
            <w:tcW w:w="1774" w:type="dxa"/>
            <w:gridSpan w:val="2"/>
            <w:vMerge w:val="continue"/>
            <w:vAlign w:val="center"/>
          </w:tcPr>
          <w:p>
            <w:pPr>
              <w:spacing w:line="80" w:lineRule="atLeast"/>
              <w:jc w:val="center"/>
              <w:rPr>
                <w:color w:val="FF0000"/>
              </w:rPr>
            </w:pPr>
          </w:p>
        </w:tc>
        <w:tc>
          <w:tcPr>
            <w:tcW w:w="1746" w:type="dxa"/>
            <w:gridSpan w:val="2"/>
            <w:vAlign w:val="center"/>
          </w:tcPr>
          <w:p>
            <w:pPr>
              <w:adjustRightInd w:val="0"/>
              <w:snapToGrid w:val="0"/>
              <w:spacing w:before="60" w:beforeLines="25" w:after="60" w:afterLines="25"/>
              <w:jc w:val="center"/>
            </w:pPr>
            <w:r>
              <w:rPr>
                <w:rFonts w:hint="eastAsia"/>
              </w:rPr>
              <w:t>喷枪清洗涂料渣</w:t>
            </w:r>
          </w:p>
        </w:tc>
        <w:tc>
          <w:tcPr>
            <w:tcW w:w="1755" w:type="dxa"/>
            <w:gridSpan w:val="2"/>
            <w:vMerge w:val="continue"/>
            <w:vAlign w:val="center"/>
          </w:tcPr>
          <w:p>
            <w:pPr>
              <w:spacing w:line="340" w:lineRule="exact"/>
              <w:jc w:val="center"/>
              <w:rPr>
                <w:color w:val="FF0000"/>
                <w:szCs w:val="21"/>
              </w:rPr>
            </w:pPr>
          </w:p>
        </w:tc>
        <w:tc>
          <w:tcPr>
            <w:tcW w:w="1747" w:type="dxa"/>
            <w:vMerge w:val="continue"/>
            <w:vAlign w:val="center"/>
          </w:tcPr>
          <w:p>
            <w:pPr>
              <w:adjustRightInd w:val="0"/>
              <w:snapToGrid w:val="0"/>
              <w:jc w:val="center"/>
              <w:rPr>
                <w:color w:val="FF000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zCs w:val="21"/>
              </w:rPr>
            </w:pPr>
            <w:r>
              <w:rPr>
                <w:szCs w:val="21"/>
              </w:rPr>
              <w:t>土壤及地下水</w:t>
            </w:r>
          </w:p>
          <w:p>
            <w:pPr>
              <w:adjustRightInd w:val="0"/>
              <w:snapToGrid w:val="0"/>
              <w:jc w:val="center"/>
              <w:rPr>
                <w:szCs w:val="21"/>
              </w:rPr>
            </w:pPr>
            <w:r>
              <w:rPr>
                <w:szCs w:val="21"/>
              </w:rPr>
              <w:t>污染防治措施</w:t>
            </w:r>
          </w:p>
        </w:tc>
        <w:tc>
          <w:tcPr>
            <w:tcW w:w="7022" w:type="dxa"/>
            <w:gridSpan w:val="7"/>
            <w:vAlign w:val="center"/>
          </w:tcPr>
          <w:p>
            <w:pPr>
              <w:adjustRightInd w:val="0"/>
              <w:snapToGrid w:val="0"/>
              <w:jc w:val="left"/>
              <w:rPr>
                <w:szCs w:val="21"/>
              </w:rPr>
            </w:pPr>
            <w:r>
              <w:rPr>
                <w:rFonts w:hint="eastAsia"/>
                <w:szCs w:val="21"/>
              </w:rPr>
              <w:t>/</w:t>
            </w:r>
            <w:r>
              <w:rPr>
                <w:szCs w:val="21"/>
              </w:rPr>
              <w:t>重点防渗区等效黏土防渗层Mb≥6.0m，K≤1.0×10</w:t>
            </w:r>
            <w:r>
              <w:rPr>
                <w:szCs w:val="21"/>
                <w:vertAlign w:val="superscript"/>
              </w:rPr>
              <w:t>-7</w:t>
            </w:r>
            <w:r>
              <w:rPr>
                <w:szCs w:val="21"/>
              </w:rPr>
              <w:t>cm/s，一般防渗区等效黏土防渗层Mb≥1.5m，K≤1.0×10</w:t>
            </w:r>
            <w:r>
              <w:rPr>
                <w:szCs w:val="21"/>
                <w:vertAlign w:val="superscript"/>
              </w:rPr>
              <w:t>-7</w:t>
            </w:r>
            <w:r>
              <w:rPr>
                <w:szCs w:val="21"/>
              </w:rPr>
              <w:t>cm/s</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zCs w:val="21"/>
              </w:rPr>
            </w:pPr>
            <w:r>
              <w:rPr>
                <w:szCs w:val="21"/>
              </w:rPr>
              <w:t>生态保护措施</w:t>
            </w:r>
          </w:p>
        </w:tc>
        <w:tc>
          <w:tcPr>
            <w:tcW w:w="7022" w:type="dxa"/>
            <w:gridSpan w:val="7"/>
            <w:vAlign w:val="center"/>
          </w:tcPr>
          <w:p>
            <w:pPr>
              <w:adjustRightInd w:val="0"/>
              <w:snapToGrid w:val="0"/>
              <w:jc w:val="center"/>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pacing w:val="-8"/>
                <w:szCs w:val="21"/>
              </w:rPr>
            </w:pPr>
            <w:r>
              <w:rPr>
                <w:spacing w:val="-8"/>
                <w:szCs w:val="21"/>
              </w:rPr>
              <w:t>环境风险</w:t>
            </w:r>
          </w:p>
          <w:p>
            <w:pPr>
              <w:adjustRightInd w:val="0"/>
              <w:snapToGrid w:val="0"/>
              <w:jc w:val="center"/>
              <w:rPr>
                <w:spacing w:val="-8"/>
                <w:szCs w:val="21"/>
              </w:rPr>
            </w:pPr>
            <w:r>
              <w:rPr>
                <w:spacing w:val="-8"/>
                <w:szCs w:val="21"/>
              </w:rPr>
              <w:t>防范措施</w:t>
            </w:r>
          </w:p>
        </w:tc>
        <w:tc>
          <w:tcPr>
            <w:tcW w:w="7022" w:type="dxa"/>
            <w:gridSpan w:val="7"/>
            <w:vAlign w:val="center"/>
          </w:tcPr>
          <w:p>
            <w:pPr>
              <w:adjustRightInd w:val="0"/>
              <w:snapToGrid w:val="0"/>
              <w:jc w:val="left"/>
              <w:rPr>
                <w:szCs w:val="21"/>
              </w:rPr>
            </w:pPr>
            <w:r>
              <w:rPr>
                <w:szCs w:val="21"/>
              </w:rPr>
              <w:t>强化风险意识、加强安全管理</w:t>
            </w:r>
            <w:r>
              <w:rPr>
                <w:rFonts w:hint="eastAsia"/>
                <w:szCs w:val="21"/>
                <w:lang w:eastAsia="zh-CN"/>
              </w:rPr>
              <w:t>，</w:t>
            </w:r>
            <w:r>
              <w:rPr>
                <w:szCs w:val="21"/>
              </w:rPr>
              <w:t>工艺设计安全防范措施，设置消防及火灾报警系统，加强生产过程及末端治理过程风险防范措施，制定实施危废污染防治措施，提高认识，完善制度，严格检查，加强技术培训，提高安全意识，制定应急预案</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8" w:type="dxa"/>
            <w:vAlign w:val="center"/>
          </w:tcPr>
          <w:p>
            <w:pPr>
              <w:adjustRightInd w:val="0"/>
              <w:snapToGrid w:val="0"/>
              <w:jc w:val="center"/>
              <w:rPr>
                <w:spacing w:val="-8"/>
                <w:szCs w:val="21"/>
              </w:rPr>
            </w:pPr>
            <w:r>
              <w:rPr>
                <w:spacing w:val="-8"/>
                <w:szCs w:val="21"/>
              </w:rPr>
              <w:t>其他环境</w:t>
            </w:r>
          </w:p>
          <w:p>
            <w:pPr>
              <w:adjustRightInd w:val="0"/>
              <w:snapToGrid w:val="0"/>
              <w:jc w:val="center"/>
              <w:rPr>
                <w:spacing w:val="-8"/>
                <w:szCs w:val="21"/>
              </w:rPr>
            </w:pPr>
            <w:r>
              <w:rPr>
                <w:spacing w:val="-8"/>
                <w:szCs w:val="21"/>
              </w:rPr>
              <w:t>管理要求</w:t>
            </w:r>
          </w:p>
        </w:tc>
        <w:tc>
          <w:tcPr>
            <w:tcW w:w="7022" w:type="dxa"/>
            <w:gridSpan w:val="7"/>
            <w:vAlign w:val="center"/>
          </w:tcPr>
          <w:p>
            <w:pPr>
              <w:adjustRightInd w:val="0"/>
              <w:snapToGrid w:val="0"/>
              <w:spacing w:line="360" w:lineRule="auto"/>
              <w:ind w:firstLine="420" w:firstLineChars="200"/>
              <w:rPr>
                <w:szCs w:val="21"/>
              </w:rPr>
            </w:pPr>
            <w:r>
              <w:rPr>
                <w:szCs w:val="21"/>
              </w:rPr>
              <w:t>（</w:t>
            </w:r>
            <w:r>
              <w:rPr>
                <w:rFonts w:hint="eastAsia"/>
                <w:szCs w:val="21"/>
              </w:rPr>
              <w:t>1）对厂区内所有排放口，包括水、气、声、固体废物，必须按照“便于计量监测、便于日常现场监督检查”的原则和规范化要求，设置与之相适应的环境保护图形标志牌，绘制企业排污口分布图。排污口的规范化要符合环境监理部门的有关要求。</w:t>
            </w:r>
          </w:p>
          <w:p>
            <w:pPr>
              <w:adjustRightInd w:val="0"/>
              <w:snapToGrid w:val="0"/>
              <w:spacing w:line="360" w:lineRule="auto"/>
              <w:ind w:firstLine="420" w:firstLineChars="200"/>
              <w:rPr>
                <w:szCs w:val="21"/>
              </w:rPr>
            </w:pPr>
            <w:r>
              <w:rPr>
                <w:rFonts w:hint="eastAsia"/>
                <w:szCs w:val="21"/>
              </w:rPr>
              <w:t>①废气、废水排放口</w:t>
            </w:r>
          </w:p>
          <w:p>
            <w:pPr>
              <w:adjustRightInd w:val="0"/>
              <w:snapToGrid w:val="0"/>
              <w:spacing w:line="360" w:lineRule="auto"/>
              <w:ind w:firstLine="420" w:firstLineChars="200"/>
              <w:rPr>
                <w:szCs w:val="21"/>
              </w:rPr>
            </w:pPr>
            <w:r>
              <w:rPr>
                <w:rFonts w:hint="eastAsia"/>
                <w:szCs w:val="21"/>
              </w:rPr>
              <w:t>项目必须按相应规范要求设置废气、废水排放口图形标志。</w:t>
            </w:r>
          </w:p>
          <w:p>
            <w:pPr>
              <w:adjustRightInd w:val="0"/>
              <w:snapToGrid w:val="0"/>
              <w:spacing w:line="360" w:lineRule="auto"/>
              <w:ind w:firstLine="420" w:firstLineChars="200"/>
              <w:rPr>
                <w:szCs w:val="21"/>
              </w:rPr>
            </w:pPr>
            <w:r>
              <w:rPr>
                <w:rFonts w:hint="eastAsia"/>
                <w:szCs w:val="21"/>
              </w:rPr>
              <w:t>②固定噪声源</w:t>
            </w:r>
          </w:p>
          <w:p>
            <w:pPr>
              <w:adjustRightInd w:val="0"/>
              <w:snapToGrid w:val="0"/>
              <w:spacing w:line="360" w:lineRule="auto"/>
              <w:ind w:firstLine="420" w:firstLineChars="200"/>
              <w:rPr>
                <w:szCs w:val="21"/>
              </w:rPr>
            </w:pPr>
            <w:r>
              <w:rPr>
                <w:rFonts w:hint="eastAsia"/>
                <w:szCs w:val="21"/>
              </w:rPr>
              <w:t>按规定对固定噪声源进行治理，并设置标志牌。</w:t>
            </w:r>
          </w:p>
          <w:p>
            <w:pPr>
              <w:adjustRightInd w:val="0"/>
              <w:snapToGrid w:val="0"/>
              <w:spacing w:line="360" w:lineRule="auto"/>
              <w:ind w:firstLine="420" w:firstLineChars="200"/>
              <w:rPr>
                <w:szCs w:val="21"/>
              </w:rPr>
            </w:pPr>
            <w:r>
              <w:rPr>
                <w:rFonts w:hint="eastAsia"/>
                <w:szCs w:val="21"/>
              </w:rPr>
              <w:t>③固体废物储存场</w:t>
            </w:r>
          </w:p>
          <w:p>
            <w:pPr>
              <w:adjustRightInd w:val="0"/>
              <w:snapToGrid w:val="0"/>
              <w:spacing w:line="360" w:lineRule="auto"/>
              <w:ind w:firstLine="420" w:firstLineChars="200"/>
              <w:rPr>
                <w:szCs w:val="21"/>
              </w:rPr>
            </w:pPr>
            <w:r>
              <w:rPr>
                <w:rFonts w:hint="eastAsia"/>
                <w:szCs w:val="21"/>
              </w:rPr>
              <w:t>固体废物应设置专用堆放场地，有防扬散、防流失、防渗漏等措施。；</w:t>
            </w:r>
          </w:p>
          <w:p>
            <w:pPr>
              <w:adjustRightInd w:val="0"/>
              <w:snapToGrid w:val="0"/>
              <w:spacing w:line="360" w:lineRule="auto"/>
              <w:ind w:firstLine="420" w:firstLineChars="200"/>
              <w:rPr>
                <w:szCs w:val="21"/>
              </w:rPr>
            </w:pPr>
            <w:r>
              <w:rPr>
                <w:rFonts w:hint="eastAsia"/>
                <w:szCs w:val="21"/>
              </w:rPr>
              <w:t>（2）根据《建设项目竣工环境保护验收暂行办法》的规定，建设项目竣工后，建设单位或者其委托的技术机构应当依照国家有关法律法规、建设项竣工环境保护验收技术规范、建设项目环境影响报告表和审批决定等要求，如实查验、监测、记载建设项目环境保护设施的建设和调试情况，同时还应如实记载其他环境保护对策措施“三同时”落实情况，编制竣工环境保护验收报告。验收报告编制完成后，建设单位应组织成立验收工作组。验收工作组可由建设单位、设计单位、施工单位、环境影响报告表编制机构、验收报告编制机构等单位代表和专业技术专家组成。建设单位应当对验收工作组提出的问题进行整改，合格后方可出具验收合格的意见。建设项目配套建设的环境保护设施经验收合格后，其主体工程才可以投入生产或者使用，并纳入环境保护管理部门的管理，对项目各阶段工作进行监督、检查。同时建设单位应按照《环境保护信息公开办法》进行相关信息的公开；</w:t>
            </w:r>
          </w:p>
          <w:p>
            <w:pPr>
              <w:adjustRightInd w:val="0"/>
              <w:snapToGrid w:val="0"/>
              <w:spacing w:line="360" w:lineRule="auto"/>
              <w:ind w:firstLine="420" w:firstLineChars="200"/>
              <w:rPr>
                <w:szCs w:val="21"/>
              </w:rPr>
            </w:pPr>
            <w:r>
              <w:rPr>
                <w:rFonts w:hint="eastAsia"/>
                <w:szCs w:val="21"/>
              </w:rPr>
              <w:t>（3）在竣工投入使用前，建设单位应与相关固废，签订相应的委托处理协议，确保固废得到妥善处置，不发生二次污染</w:t>
            </w:r>
          </w:p>
          <w:p>
            <w:pPr>
              <w:adjustRightInd w:val="0"/>
              <w:snapToGrid w:val="0"/>
              <w:spacing w:line="360" w:lineRule="auto"/>
              <w:ind w:firstLine="420" w:firstLineChars="200"/>
              <w:rPr>
                <w:szCs w:val="21"/>
              </w:rPr>
            </w:pPr>
            <w:r>
              <w:rPr>
                <w:rFonts w:hint="eastAsia"/>
                <w:szCs w:val="21"/>
              </w:rPr>
              <w:t>（5）加强对环保设施运行监督管理，确保环保设施正常运行和连续达标排放；建立企业完</w:t>
            </w:r>
            <w:r>
              <w:rPr>
                <w:szCs w:val="21"/>
              </w:rPr>
              <w:t>善的环保设施运行、维护、维修等技术档案，对环保设备实施定期检修</w:t>
            </w:r>
            <w:r>
              <w:rPr>
                <w:rFonts w:hint="eastAsia"/>
                <w:szCs w:val="21"/>
              </w:rPr>
              <w:t>。</w:t>
            </w:r>
          </w:p>
          <w:p>
            <w:pPr>
              <w:adjustRightInd w:val="0"/>
              <w:snapToGrid w:val="0"/>
              <w:ind w:firstLine="420" w:firstLineChars="200"/>
              <w:rPr>
                <w:szCs w:val="21"/>
              </w:rPr>
            </w:pPr>
          </w:p>
          <w:p>
            <w:pPr>
              <w:adjustRightInd w:val="0"/>
              <w:snapToGrid w:val="0"/>
              <w:ind w:firstLine="420" w:firstLineChars="200"/>
              <w:rPr>
                <w:szCs w:val="21"/>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szCs w:val="21"/>
                <w:lang w:val="en-US" w:eastAsia="zh-CN"/>
              </w:rPr>
            </w:pPr>
          </w:p>
          <w:p>
            <w:pPr>
              <w:adjustRightInd w:val="0"/>
              <w:snapToGrid w:val="0"/>
              <w:rPr>
                <w:rFonts w:hint="eastAsia" w:eastAsia="宋体"/>
                <w:szCs w:val="21"/>
                <w:lang w:val="en-US" w:eastAsia="zh-CN"/>
              </w:rPr>
            </w:pPr>
          </w:p>
        </w:tc>
      </w:tr>
    </w:tbl>
    <w:p>
      <w:pPr>
        <w:pStyle w:val="29"/>
        <w:jc w:val="center"/>
        <w:outlineLvl w:val="0"/>
        <w:rPr>
          <w:rFonts w:ascii="黑体" w:hAnsi="黑体" w:eastAsia="黑体"/>
          <w:snapToGrid w:val="0"/>
          <w:color w:val="FF0000"/>
          <w:sz w:val="30"/>
          <w:szCs w:val="30"/>
        </w:rPr>
      </w:pPr>
      <w:r>
        <w:rPr>
          <w:snapToGrid w:val="0"/>
          <w:color w:val="FF0000"/>
        </w:rPr>
        <w:br w:type="page"/>
      </w:r>
      <w:r>
        <w:rPr>
          <w:rFonts w:hint="eastAsia" w:ascii="黑体" w:hAnsi="黑体" w:eastAsia="黑体"/>
          <w:snapToGrid w:val="0"/>
          <w:sz w:val="30"/>
          <w:szCs w:val="30"/>
        </w:rPr>
        <w:t>六、结论</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0" w:firstLineChars="200"/>
              <w:rPr>
                <w:rFonts w:ascii="宋体" w:cs="宋体"/>
                <w:color w:val="FF0000"/>
                <w:sz w:val="24"/>
              </w:rPr>
            </w:pPr>
            <w:r>
              <w:rPr>
                <w:rFonts w:hint="eastAsia" w:ascii="宋体" w:cs="宋体"/>
                <w:sz w:val="24"/>
              </w:rPr>
              <w:t>本项目在生产过程中会产生废气、生活污水、噪声、固体废物等，在全面落实本报告表提出的各项环境保护措施的基础上，切实做到“三同时”，并在营运期内持之以恒加强环境管理的前提下，从环境保护角度分析，本项目建设可行。</w:t>
            </w:r>
          </w:p>
        </w:tc>
      </w:tr>
    </w:tbl>
    <w:p>
      <w:pPr>
        <w:rPr>
          <w:rFonts w:ascii="宋体"/>
          <w:color w:val="FF0000"/>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9"/>
        <w:adjustRightInd w:val="0"/>
        <w:snapToGrid w:val="0"/>
        <w:spacing w:before="0" w:beforeAutospacing="0" w:after="0" w:afterAutospacing="0" w:line="360"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29"/>
        <w:adjustRightInd w:val="0"/>
        <w:snapToGrid w:val="0"/>
        <w:spacing w:before="0" w:beforeAutospacing="0" w:after="0" w:afterAutospacing="0" w:line="360" w:lineRule="auto"/>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33"/>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497"/>
        <w:gridCol w:w="1701"/>
        <w:gridCol w:w="1276"/>
        <w:gridCol w:w="1701"/>
        <w:gridCol w:w="1559"/>
        <w:gridCol w:w="1761"/>
        <w:gridCol w:w="1509"/>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08" w:type="dxa"/>
            <w:tcBorders>
              <w:tl2br w:val="single" w:color="auto" w:sz="4" w:space="0"/>
            </w:tcBorders>
            <w:tcMar>
              <w:left w:w="28" w:type="dxa"/>
              <w:right w:w="28" w:type="dxa"/>
            </w:tcMar>
            <w:vAlign w:val="center"/>
          </w:tcPr>
          <w:p>
            <w:pPr>
              <w:pStyle w:val="68"/>
              <w:spacing w:beforeLines="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pPr>
              <w:pStyle w:val="68"/>
              <w:spacing w:beforeLines="0" w:afterLines="0" w:line="240" w:lineRule="auto"/>
              <w:jc w:val="left"/>
              <w:rPr>
                <w:rFonts w:ascii="Times New Roman" w:eastAsia="黑体"/>
                <w:snapToGrid w:val="0"/>
                <w:spacing w:val="-6"/>
                <w:kern w:val="21"/>
                <w:szCs w:val="21"/>
              </w:rPr>
            </w:pPr>
            <w:r>
              <w:rPr>
                <w:rFonts w:ascii="Times New Roman" w:eastAsia="黑体"/>
                <w:snapToGrid w:val="0"/>
                <w:spacing w:val="-6"/>
                <w:kern w:val="21"/>
                <w:szCs w:val="21"/>
              </w:rPr>
              <w:t>分类</w:t>
            </w:r>
          </w:p>
        </w:tc>
        <w:tc>
          <w:tcPr>
            <w:tcW w:w="1497" w:type="dxa"/>
            <w:tcMar>
              <w:left w:w="28" w:type="dxa"/>
              <w:right w:w="28" w:type="dxa"/>
            </w:tcMar>
            <w:vAlign w:val="center"/>
          </w:tcPr>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701" w:type="dxa"/>
            <w:tcMar>
              <w:left w:w="28" w:type="dxa"/>
              <w:right w:w="28" w:type="dxa"/>
            </w:tcMar>
            <w:vAlign w:val="center"/>
          </w:tcPr>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kern w:val="2"/>
                <w:szCs w:val="21"/>
              </w:rPr>
              <w:t>①</w:t>
            </w:r>
            <w:r>
              <w:rPr>
                <w:rFonts w:ascii="Times New Roman" w:eastAsia="黑体"/>
                <w:snapToGrid w:val="0"/>
                <w:spacing w:val="-6"/>
                <w:kern w:val="21"/>
                <w:szCs w:val="21"/>
              </w:rPr>
              <w:fldChar w:fldCharType="end"/>
            </w:r>
          </w:p>
        </w:tc>
        <w:tc>
          <w:tcPr>
            <w:tcW w:w="1276" w:type="dxa"/>
            <w:tcMar>
              <w:left w:w="28" w:type="dxa"/>
              <w:right w:w="28" w:type="dxa"/>
            </w:tcMar>
            <w:vAlign w:val="center"/>
          </w:tcPr>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p>
          <w:p>
            <w:pPr>
              <w:pStyle w:val="68"/>
              <w:spacing w:beforeLines="0" w:afterLines="0"/>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snapToGrid w:val="0"/>
                <w:spacing w:val="-6"/>
                <w:kern w:val="21"/>
                <w:szCs w:val="21"/>
              </w:rPr>
              <w:t>②</w:t>
            </w:r>
            <w:r>
              <w:rPr>
                <w:rFonts w:ascii="Times New Roman" w:eastAsia="黑体"/>
                <w:snapToGrid w:val="0"/>
                <w:spacing w:val="-6"/>
                <w:kern w:val="21"/>
                <w:szCs w:val="21"/>
              </w:rPr>
              <w:fldChar w:fldCharType="end"/>
            </w:r>
          </w:p>
        </w:tc>
        <w:tc>
          <w:tcPr>
            <w:tcW w:w="1701" w:type="dxa"/>
            <w:tcMar>
              <w:left w:w="28" w:type="dxa"/>
              <w:right w:w="28" w:type="dxa"/>
            </w:tcMar>
            <w:vAlign w:val="center"/>
          </w:tcPr>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kern w:val="2"/>
                <w:szCs w:val="21"/>
              </w:rPr>
              <w:t>③</w:t>
            </w:r>
            <w:r>
              <w:rPr>
                <w:rFonts w:ascii="Times New Roman" w:eastAsia="黑体"/>
                <w:snapToGrid w:val="0"/>
                <w:spacing w:val="-6"/>
                <w:kern w:val="21"/>
                <w:szCs w:val="21"/>
              </w:rPr>
              <w:fldChar w:fldCharType="end"/>
            </w:r>
          </w:p>
        </w:tc>
        <w:tc>
          <w:tcPr>
            <w:tcW w:w="1559" w:type="dxa"/>
            <w:tcMar>
              <w:left w:w="28" w:type="dxa"/>
              <w:right w:w="28" w:type="dxa"/>
            </w:tcMar>
            <w:vAlign w:val="center"/>
          </w:tcPr>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本项目</w:t>
            </w:r>
          </w:p>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kern w:val="2"/>
                <w:szCs w:val="21"/>
              </w:rPr>
              <w:t>④</w:t>
            </w:r>
            <w:r>
              <w:rPr>
                <w:rFonts w:ascii="Times New Roman" w:eastAsia="黑体"/>
                <w:snapToGrid w:val="0"/>
                <w:spacing w:val="-6"/>
                <w:kern w:val="21"/>
                <w:szCs w:val="21"/>
              </w:rPr>
              <w:fldChar w:fldCharType="end"/>
            </w:r>
          </w:p>
        </w:tc>
        <w:tc>
          <w:tcPr>
            <w:tcW w:w="1761" w:type="dxa"/>
            <w:tcMar>
              <w:left w:w="28" w:type="dxa"/>
              <w:right w:w="28" w:type="dxa"/>
            </w:tcMar>
            <w:vAlign w:val="center"/>
          </w:tcPr>
          <w:p>
            <w:pPr>
              <w:pStyle w:val="68"/>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以新带老削减量</w:t>
            </w:r>
          </w:p>
          <w:p>
            <w:pPr>
              <w:pStyle w:val="68"/>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kern w:val="2"/>
                <w:szCs w:val="21"/>
              </w:rPr>
              <w:t>⑤</w:t>
            </w:r>
            <w:r>
              <w:rPr>
                <w:rFonts w:ascii="Times New Roman" w:eastAsia="黑体"/>
                <w:snapToGrid w:val="0"/>
                <w:spacing w:val="-16"/>
                <w:kern w:val="21"/>
                <w:szCs w:val="21"/>
              </w:rPr>
              <w:fldChar w:fldCharType="end"/>
            </w:r>
          </w:p>
        </w:tc>
        <w:tc>
          <w:tcPr>
            <w:tcW w:w="1509" w:type="dxa"/>
            <w:tcMar>
              <w:left w:w="28" w:type="dxa"/>
              <w:right w:w="28" w:type="dxa"/>
            </w:tcMar>
            <w:vAlign w:val="center"/>
          </w:tcPr>
          <w:p>
            <w:pPr>
              <w:pStyle w:val="68"/>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本项目建成后</w:t>
            </w:r>
          </w:p>
          <w:p>
            <w:pPr>
              <w:pStyle w:val="68"/>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kern w:val="2"/>
                <w:szCs w:val="21"/>
              </w:rPr>
              <w:t>⑥</w:t>
            </w:r>
            <w:r>
              <w:rPr>
                <w:rFonts w:ascii="Times New Roman" w:eastAsia="黑体"/>
                <w:snapToGrid w:val="0"/>
                <w:spacing w:val="-16"/>
                <w:kern w:val="21"/>
                <w:szCs w:val="21"/>
              </w:rPr>
              <w:fldChar w:fldCharType="end"/>
            </w:r>
          </w:p>
        </w:tc>
        <w:tc>
          <w:tcPr>
            <w:tcW w:w="1276" w:type="dxa"/>
            <w:tcMar>
              <w:left w:w="28" w:type="dxa"/>
              <w:right w:w="28" w:type="dxa"/>
            </w:tcMar>
            <w:vAlign w:val="center"/>
          </w:tcPr>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pPr>
              <w:pStyle w:val="68"/>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kern w:val="2"/>
                <w:szCs w:val="21"/>
              </w:rPr>
              <w:t>⑦</w:t>
            </w:r>
            <w:r>
              <w:rPr>
                <w:rFonts w:ascii="Times New Roman"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restart"/>
            <w:vAlign w:val="center"/>
          </w:tcPr>
          <w:p>
            <w:pPr>
              <w:pStyle w:val="68"/>
              <w:spacing w:beforeLines="0" w:afterLines="0" w:line="240" w:lineRule="auto"/>
              <w:rPr>
                <w:rFonts w:ascii="Times New Roman"/>
                <w:snapToGrid w:val="0"/>
                <w:kern w:val="21"/>
                <w:szCs w:val="21"/>
              </w:rPr>
            </w:pPr>
            <w:r>
              <w:rPr>
                <w:rFonts w:ascii="Times New Roman"/>
                <w:snapToGrid w:val="0"/>
                <w:kern w:val="21"/>
                <w:szCs w:val="21"/>
              </w:rPr>
              <w:t>废气</w:t>
            </w:r>
          </w:p>
        </w:tc>
        <w:tc>
          <w:tcPr>
            <w:tcW w:w="1497" w:type="dxa"/>
            <w:vAlign w:val="center"/>
          </w:tcPr>
          <w:p>
            <w:pPr>
              <w:adjustRightInd w:val="0"/>
              <w:snapToGrid w:val="0"/>
              <w:jc w:val="center"/>
              <w:rPr>
                <w:kern w:val="0"/>
                <w:szCs w:val="21"/>
              </w:rPr>
            </w:pPr>
            <w:r>
              <w:rPr>
                <w:rFonts w:hint="eastAsia"/>
                <w:kern w:val="0"/>
                <w:szCs w:val="21"/>
              </w:rPr>
              <w:t>粉尘（</w:t>
            </w:r>
            <w:r>
              <w:rPr>
                <w:rFonts w:hint="eastAsia"/>
                <w:kern w:val="0"/>
                <w:szCs w:val="21"/>
                <w:lang w:eastAsia="zh-CN"/>
              </w:rPr>
              <w:t>含</w:t>
            </w:r>
            <w:r>
              <w:rPr>
                <w:rFonts w:hint="eastAsia"/>
                <w:kern w:val="0"/>
                <w:szCs w:val="21"/>
              </w:rPr>
              <w:t>漆雾）</w:t>
            </w:r>
          </w:p>
        </w:tc>
        <w:tc>
          <w:tcPr>
            <w:tcW w:w="1701" w:type="dxa"/>
            <w:vAlign w:val="center"/>
          </w:tcPr>
          <w:p>
            <w:pPr>
              <w:adjustRightInd w:val="0"/>
              <w:snapToGrid w:val="0"/>
              <w:spacing w:before="60" w:beforeLines="25" w:after="60" w:afterLines="25"/>
              <w:jc w:val="center"/>
            </w:pPr>
            <w:r>
              <w:rPr>
                <w:rFonts w:hint="eastAsia"/>
              </w:rPr>
              <w:t>0.03</w:t>
            </w:r>
            <w:r>
              <w:rPr>
                <w:rFonts w:hint="eastAsia"/>
                <w:lang w:val="en-US" w:eastAsia="zh-CN"/>
              </w:rPr>
              <w:t>6</w:t>
            </w:r>
            <w:r>
              <w:rPr>
                <w:rFonts w:hint="eastAsia"/>
              </w:rPr>
              <w:t>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keepNext w:val="0"/>
              <w:keepLines w:val="0"/>
              <w:widowControl/>
              <w:suppressLineNumbers w:val="0"/>
              <w:adjustRightInd w:val="0"/>
              <w:snapToGrid w:val="0"/>
              <w:spacing w:before="60" w:beforeLines="25" w:after="60" w:afterLines="25"/>
              <w:jc w:val="center"/>
              <w:textAlignment w:val="auto"/>
              <w:rPr>
                <w:rFonts w:hint="eastAsia"/>
              </w:rPr>
            </w:pPr>
            <w:r>
              <w:rPr>
                <w:rFonts w:hint="eastAsia"/>
              </w:rPr>
              <w:t>0.32414t/a</w:t>
            </w:r>
          </w:p>
        </w:tc>
        <w:tc>
          <w:tcPr>
            <w:tcW w:w="1761" w:type="dxa"/>
            <w:vAlign w:val="center"/>
          </w:tcPr>
          <w:p>
            <w:pPr>
              <w:adjustRightInd w:val="0"/>
              <w:snapToGrid w:val="0"/>
              <w:spacing w:before="60" w:beforeLines="25" w:after="60" w:afterLines="25"/>
              <w:jc w:val="center"/>
            </w:pPr>
            <w:r>
              <w:rPr>
                <w:rFonts w:hint="eastAsia"/>
              </w:rPr>
              <w:t>0.03</w:t>
            </w:r>
            <w:r>
              <w:rPr>
                <w:rFonts w:hint="eastAsia"/>
                <w:lang w:val="en-US" w:eastAsia="zh-CN"/>
              </w:rPr>
              <w:t>6</w:t>
            </w:r>
            <w:r>
              <w:rPr>
                <w:rFonts w:hint="eastAsia"/>
              </w:rPr>
              <w:t>t/a</w:t>
            </w:r>
          </w:p>
        </w:tc>
        <w:tc>
          <w:tcPr>
            <w:tcW w:w="1509" w:type="dxa"/>
            <w:vAlign w:val="center"/>
          </w:tcPr>
          <w:p>
            <w:pPr>
              <w:keepNext w:val="0"/>
              <w:keepLines w:val="0"/>
              <w:widowControl/>
              <w:suppressLineNumbers w:val="0"/>
              <w:adjustRightInd w:val="0"/>
              <w:snapToGrid w:val="0"/>
              <w:spacing w:before="60" w:beforeLines="25" w:after="60" w:afterLines="25"/>
              <w:jc w:val="center"/>
              <w:textAlignment w:val="auto"/>
              <w:rPr>
                <w:rFonts w:hint="eastAsia" w:ascii="Times New Roman" w:hAnsi="Times New Roman" w:eastAsia="宋体" w:cs="Times New Roman"/>
                <w:kern w:val="0"/>
                <w:sz w:val="21"/>
                <w:szCs w:val="21"/>
                <w:lang w:val="en-US" w:eastAsia="zh-CN" w:bidi="ar-SA"/>
              </w:rPr>
            </w:pPr>
            <w:r>
              <w:rPr>
                <w:rFonts w:hint="eastAsia"/>
              </w:rPr>
              <w:t>0.32414t/a</w:t>
            </w:r>
          </w:p>
        </w:tc>
        <w:tc>
          <w:tcPr>
            <w:tcW w:w="1276" w:type="dxa"/>
            <w:vAlign w:val="center"/>
          </w:tcPr>
          <w:p>
            <w:pPr>
              <w:adjustRightInd w:val="0"/>
              <w:snapToGrid w:val="0"/>
              <w:spacing w:before="60" w:beforeLines="25" w:after="60" w:afterLines="25"/>
              <w:jc w:val="center"/>
            </w:pPr>
            <w:r>
              <w:rPr>
                <w:rFonts w:hint="eastAsia"/>
              </w:rPr>
              <w:t>+</w:t>
            </w:r>
            <w:r>
              <w:rPr>
                <w:rFonts w:hint="eastAsia"/>
                <w:lang w:val="en-US" w:eastAsia="zh-CN"/>
              </w:rPr>
              <w:t>0.28814</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jc w:val="center"/>
              <w:rPr>
                <w:kern w:val="0"/>
                <w:szCs w:val="21"/>
              </w:rPr>
            </w:pPr>
            <w:r>
              <w:rPr>
                <w:rFonts w:hint="eastAsia"/>
                <w:kern w:val="0"/>
                <w:szCs w:val="21"/>
              </w:rPr>
              <w:t>TVOC</w:t>
            </w:r>
          </w:p>
        </w:tc>
        <w:tc>
          <w:tcPr>
            <w:tcW w:w="1701" w:type="dxa"/>
            <w:vAlign w:val="center"/>
          </w:tcPr>
          <w:p>
            <w:pPr>
              <w:adjustRightInd w:val="0"/>
              <w:snapToGrid w:val="0"/>
              <w:spacing w:before="60" w:beforeLines="25" w:after="60" w:afterLines="25"/>
              <w:jc w:val="center"/>
            </w:pPr>
            <w:r>
              <w:rPr>
                <w:rFonts w:hint="eastAsia"/>
              </w:rPr>
              <w:t>0.1845t/a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keepNext w:val="0"/>
              <w:keepLines w:val="0"/>
              <w:widowControl/>
              <w:suppressLineNumbers w:val="0"/>
              <w:adjustRightInd w:val="0"/>
              <w:snapToGrid w:val="0"/>
              <w:spacing w:before="60" w:beforeLines="25" w:after="60" w:afterLines="25"/>
              <w:jc w:val="center"/>
              <w:textAlignment w:val="auto"/>
              <w:rPr>
                <w:rFonts w:hint="eastAsia"/>
              </w:rPr>
            </w:pPr>
            <w:r>
              <w:rPr>
                <w:rFonts w:hint="eastAsia"/>
              </w:rPr>
              <w:t>1.9693t/a</w:t>
            </w:r>
          </w:p>
        </w:tc>
        <w:tc>
          <w:tcPr>
            <w:tcW w:w="1761" w:type="dxa"/>
            <w:vAlign w:val="center"/>
          </w:tcPr>
          <w:p>
            <w:pPr>
              <w:adjustRightInd w:val="0"/>
              <w:snapToGrid w:val="0"/>
              <w:spacing w:before="60" w:beforeLines="25" w:after="60" w:afterLines="25"/>
              <w:jc w:val="center"/>
            </w:pPr>
            <w:r>
              <w:rPr>
                <w:rFonts w:hint="eastAsia"/>
              </w:rPr>
              <w:t>0.1845t/a</w:t>
            </w:r>
          </w:p>
        </w:tc>
        <w:tc>
          <w:tcPr>
            <w:tcW w:w="1509" w:type="dxa"/>
            <w:vAlign w:val="center"/>
          </w:tcPr>
          <w:p>
            <w:pPr>
              <w:keepNext w:val="0"/>
              <w:keepLines w:val="0"/>
              <w:widowControl/>
              <w:suppressLineNumbers w:val="0"/>
              <w:adjustRightInd w:val="0"/>
              <w:snapToGrid w:val="0"/>
              <w:spacing w:before="60" w:beforeLines="25" w:after="60" w:afterLines="25"/>
              <w:jc w:val="center"/>
              <w:textAlignment w:val="auto"/>
              <w:rPr>
                <w:rFonts w:hint="eastAsia" w:ascii="Times New Roman" w:hAnsi="Times New Roman" w:eastAsia="宋体" w:cs="Times New Roman"/>
                <w:kern w:val="0"/>
                <w:sz w:val="21"/>
                <w:szCs w:val="21"/>
                <w:lang w:val="en-US" w:eastAsia="zh-CN" w:bidi="ar-SA"/>
              </w:rPr>
            </w:pPr>
            <w:r>
              <w:rPr>
                <w:rFonts w:hint="eastAsia"/>
              </w:rPr>
              <w:t>1.9693t/a</w:t>
            </w:r>
          </w:p>
        </w:tc>
        <w:tc>
          <w:tcPr>
            <w:tcW w:w="1276" w:type="dxa"/>
            <w:vAlign w:val="center"/>
          </w:tcPr>
          <w:p>
            <w:pPr>
              <w:adjustRightInd w:val="0"/>
              <w:snapToGrid w:val="0"/>
              <w:spacing w:before="60" w:beforeLines="25" w:after="60" w:afterLines="25"/>
              <w:jc w:val="center"/>
            </w:pPr>
            <w:r>
              <w:rPr>
                <w:rFonts w:hint="eastAsia"/>
              </w:rPr>
              <w:t>+</w:t>
            </w:r>
            <w:r>
              <w:rPr>
                <w:rFonts w:hint="eastAsia"/>
                <w:lang w:val="en-US" w:eastAsia="zh-CN"/>
              </w:rPr>
              <w:t>1.7848</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jc w:val="center"/>
              <w:rPr>
                <w:kern w:val="0"/>
                <w:szCs w:val="21"/>
              </w:rPr>
            </w:pPr>
            <w:r>
              <w:rPr>
                <w:rFonts w:hint="eastAsia"/>
                <w:kern w:val="0"/>
                <w:szCs w:val="21"/>
              </w:rPr>
              <w:t>甲苯及二甲苯</w:t>
            </w:r>
          </w:p>
        </w:tc>
        <w:tc>
          <w:tcPr>
            <w:tcW w:w="1701" w:type="dxa"/>
            <w:vAlign w:val="center"/>
          </w:tcPr>
          <w:p>
            <w:pPr>
              <w:adjustRightInd w:val="0"/>
              <w:snapToGrid w:val="0"/>
              <w:spacing w:before="60" w:beforeLines="25" w:after="60" w:afterLines="25"/>
              <w:jc w:val="center"/>
            </w:pPr>
            <w:r>
              <w:rPr>
                <w:rFonts w:hint="eastAsia"/>
              </w:rPr>
              <w:t>0.03t/a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keepNext w:val="0"/>
              <w:keepLines w:val="0"/>
              <w:widowControl/>
              <w:suppressLineNumbers w:val="0"/>
              <w:adjustRightInd w:val="0"/>
              <w:snapToGrid w:val="0"/>
              <w:spacing w:before="60" w:beforeLines="25" w:after="60" w:afterLines="25"/>
              <w:jc w:val="center"/>
              <w:textAlignment w:val="auto"/>
              <w:rPr>
                <w:rFonts w:hint="eastAsia"/>
              </w:rPr>
            </w:pPr>
            <w:r>
              <w:rPr>
                <w:rFonts w:hint="eastAsia"/>
              </w:rPr>
              <w:t>0.459t/a</w:t>
            </w:r>
          </w:p>
        </w:tc>
        <w:tc>
          <w:tcPr>
            <w:tcW w:w="1761" w:type="dxa"/>
            <w:vAlign w:val="center"/>
          </w:tcPr>
          <w:p>
            <w:pPr>
              <w:adjustRightInd w:val="0"/>
              <w:snapToGrid w:val="0"/>
              <w:spacing w:before="60" w:beforeLines="25" w:after="60" w:afterLines="25"/>
              <w:jc w:val="center"/>
            </w:pPr>
            <w:r>
              <w:rPr>
                <w:rFonts w:hint="eastAsia"/>
              </w:rPr>
              <w:t>0.03t/a</w:t>
            </w:r>
          </w:p>
        </w:tc>
        <w:tc>
          <w:tcPr>
            <w:tcW w:w="1509" w:type="dxa"/>
            <w:vAlign w:val="center"/>
          </w:tcPr>
          <w:p>
            <w:pPr>
              <w:keepNext w:val="0"/>
              <w:keepLines w:val="0"/>
              <w:widowControl/>
              <w:suppressLineNumbers w:val="0"/>
              <w:adjustRightInd w:val="0"/>
              <w:snapToGrid w:val="0"/>
              <w:spacing w:before="60" w:beforeLines="25" w:after="60" w:afterLines="25"/>
              <w:jc w:val="center"/>
              <w:textAlignment w:val="auto"/>
              <w:rPr>
                <w:rFonts w:hint="eastAsia" w:ascii="Times New Roman" w:hAnsi="Times New Roman" w:eastAsia="宋体" w:cs="Times New Roman"/>
                <w:kern w:val="0"/>
                <w:sz w:val="21"/>
                <w:szCs w:val="21"/>
                <w:lang w:val="en-US" w:eastAsia="zh-CN" w:bidi="ar-SA"/>
              </w:rPr>
            </w:pPr>
            <w:r>
              <w:rPr>
                <w:rFonts w:hint="eastAsia"/>
              </w:rPr>
              <w:t>0.45</w:t>
            </w:r>
            <w:r>
              <w:rPr>
                <w:rFonts w:hint="eastAsia"/>
                <w:lang w:val="en-US" w:eastAsia="zh-CN"/>
              </w:rPr>
              <w:t>9</w:t>
            </w:r>
            <w:r>
              <w:rPr>
                <w:rFonts w:hint="eastAsia"/>
              </w:rPr>
              <w:t>t/a</w:t>
            </w:r>
          </w:p>
        </w:tc>
        <w:tc>
          <w:tcPr>
            <w:tcW w:w="1276" w:type="dxa"/>
            <w:vAlign w:val="center"/>
          </w:tcPr>
          <w:p>
            <w:pPr>
              <w:adjustRightInd w:val="0"/>
              <w:snapToGrid w:val="0"/>
              <w:spacing w:before="60" w:beforeLines="25" w:after="60" w:afterLines="25"/>
              <w:jc w:val="center"/>
            </w:pPr>
            <w:r>
              <w:rPr>
                <w:rFonts w:hint="eastAsia"/>
              </w:rPr>
              <w:t>+0.459t/a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restart"/>
            <w:vAlign w:val="center"/>
          </w:tcPr>
          <w:p>
            <w:pPr>
              <w:pStyle w:val="68"/>
              <w:spacing w:beforeLines="0" w:afterLines="0" w:line="240" w:lineRule="auto"/>
              <w:rPr>
                <w:rFonts w:ascii="Times New Roman"/>
                <w:snapToGrid w:val="0"/>
                <w:kern w:val="21"/>
                <w:szCs w:val="21"/>
              </w:rPr>
            </w:pPr>
            <w:r>
              <w:rPr>
                <w:rFonts w:ascii="Times New Roman"/>
                <w:snapToGrid w:val="0"/>
                <w:kern w:val="21"/>
                <w:szCs w:val="21"/>
              </w:rPr>
              <w:t>废水</w:t>
            </w:r>
          </w:p>
        </w:tc>
        <w:tc>
          <w:tcPr>
            <w:tcW w:w="1497" w:type="dxa"/>
            <w:vAlign w:val="center"/>
          </w:tcPr>
          <w:p>
            <w:pPr>
              <w:autoSpaceDE w:val="0"/>
              <w:autoSpaceDN w:val="0"/>
              <w:adjustRightInd w:val="0"/>
              <w:spacing w:line="340" w:lineRule="exact"/>
              <w:jc w:val="center"/>
              <w:rPr>
                <w:kern w:val="0"/>
                <w:szCs w:val="21"/>
              </w:rPr>
            </w:pPr>
            <w:r>
              <w:rPr>
                <w:kern w:val="0"/>
                <w:szCs w:val="21"/>
              </w:rPr>
              <w:t>COD</w:t>
            </w:r>
            <w:r>
              <w:rPr>
                <w:kern w:val="0"/>
                <w:szCs w:val="21"/>
                <w:vertAlign w:val="subscript"/>
              </w:rPr>
              <w:t>cr</w:t>
            </w:r>
          </w:p>
        </w:tc>
        <w:tc>
          <w:tcPr>
            <w:tcW w:w="1701" w:type="dxa"/>
            <w:vAlign w:val="center"/>
          </w:tcPr>
          <w:p>
            <w:pPr>
              <w:adjustRightInd w:val="0"/>
              <w:snapToGrid w:val="0"/>
              <w:spacing w:before="60" w:beforeLines="25" w:after="60" w:afterLines="25"/>
              <w:jc w:val="center"/>
              <w:rPr>
                <w:rFonts w:ascii="Times New Roman" w:hAnsi="Times New Roman" w:eastAsia="宋体" w:cs="Times New Roman"/>
                <w:kern w:val="2"/>
                <w:sz w:val="21"/>
                <w:szCs w:val="24"/>
                <w:lang w:val="en-US" w:eastAsia="zh-CN" w:bidi="ar-SA"/>
              </w:rPr>
            </w:pPr>
            <w:r>
              <w:rPr>
                <w:rFonts w:hint="eastAsia"/>
                <w:lang w:val="en-US" w:eastAsia="zh-CN"/>
              </w:rPr>
              <w:t>0.48</w:t>
            </w:r>
            <w:r>
              <w:rPr>
                <w:rFonts w:hint="eastAsia"/>
              </w:rPr>
              <w:t>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line="240" w:lineRule="atLeast"/>
              <w:jc w:val="center"/>
              <w:rPr>
                <w:rFonts w:hint="eastAsia"/>
                <w:sz w:val="21"/>
                <w:szCs w:val="21"/>
              </w:rPr>
            </w:pPr>
            <w:r>
              <w:rPr>
                <w:rFonts w:hint="eastAsia"/>
                <w:sz w:val="21"/>
                <w:szCs w:val="21"/>
              </w:rPr>
              <w:t>0.</w:t>
            </w:r>
            <w:r>
              <w:rPr>
                <w:rFonts w:hint="eastAsia"/>
                <w:sz w:val="21"/>
                <w:szCs w:val="21"/>
                <w:lang w:val="en-US" w:eastAsia="zh-CN"/>
              </w:rPr>
              <w:t>24</w:t>
            </w:r>
            <w:r>
              <w:rPr>
                <w:rFonts w:hint="eastAsia"/>
              </w:rPr>
              <w:t>t/a</w:t>
            </w:r>
          </w:p>
        </w:tc>
        <w:tc>
          <w:tcPr>
            <w:tcW w:w="1761" w:type="dxa"/>
            <w:vAlign w:val="center"/>
          </w:tcPr>
          <w:p>
            <w:pPr>
              <w:adjustRightInd w:val="0"/>
              <w:snapToGrid w:val="0"/>
              <w:spacing w:before="60" w:beforeLines="25" w:after="60" w:afterLines="25"/>
              <w:jc w:val="center"/>
            </w:pPr>
            <w:r>
              <w:rPr>
                <w:rFonts w:hint="eastAsia"/>
                <w:lang w:val="en-US" w:eastAsia="zh-CN"/>
              </w:rPr>
              <w:t>0.48</w:t>
            </w:r>
            <w:r>
              <w:rPr>
                <w:rFonts w:hint="eastAsia"/>
              </w:rPr>
              <w:t>t/a</w:t>
            </w:r>
          </w:p>
        </w:tc>
        <w:tc>
          <w:tcPr>
            <w:tcW w:w="1509" w:type="dxa"/>
            <w:vAlign w:val="center"/>
          </w:tcPr>
          <w:p>
            <w:pPr>
              <w:adjustRightInd w:val="0"/>
              <w:snapToGrid w:val="0"/>
              <w:spacing w:line="240" w:lineRule="atLeast"/>
              <w:jc w:val="center"/>
            </w:pPr>
            <w:r>
              <w:rPr>
                <w:rFonts w:hint="eastAsia"/>
                <w:sz w:val="21"/>
                <w:szCs w:val="21"/>
              </w:rPr>
              <w:t>0.</w:t>
            </w:r>
            <w:r>
              <w:rPr>
                <w:rFonts w:hint="eastAsia"/>
                <w:sz w:val="21"/>
                <w:szCs w:val="21"/>
                <w:lang w:val="en-US" w:eastAsia="zh-CN"/>
              </w:rPr>
              <w:t>24</w:t>
            </w:r>
            <w:r>
              <w:rPr>
                <w:rFonts w:hint="eastAsia"/>
              </w:rPr>
              <w:t>t/a</w:t>
            </w:r>
          </w:p>
        </w:tc>
        <w:tc>
          <w:tcPr>
            <w:tcW w:w="1276" w:type="dxa"/>
            <w:vAlign w:val="center"/>
          </w:tcPr>
          <w:p>
            <w:pPr>
              <w:adjustRightInd w:val="0"/>
              <w:snapToGrid w:val="0"/>
              <w:spacing w:before="60" w:beforeLines="25" w:after="60" w:afterLines="25"/>
              <w:jc w:val="center"/>
            </w:pPr>
            <w:r>
              <w:rPr>
                <w:rFonts w:hint="eastAsia"/>
              </w:rPr>
              <w:t>-</w:t>
            </w:r>
            <w:r>
              <w:rPr>
                <w:rFonts w:hint="eastAsia"/>
                <w:lang w:val="en-US" w:eastAsia="zh-CN"/>
              </w:rPr>
              <w:t>0.24</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utoSpaceDE w:val="0"/>
              <w:autoSpaceDN w:val="0"/>
              <w:adjustRightInd w:val="0"/>
              <w:spacing w:line="340" w:lineRule="exact"/>
              <w:jc w:val="center"/>
              <w:rPr>
                <w:kern w:val="0"/>
                <w:szCs w:val="21"/>
              </w:rPr>
            </w:pPr>
            <w:r>
              <w:rPr>
                <w:rFonts w:hint="eastAsia"/>
                <w:sz w:val="18"/>
                <w:szCs w:val="18"/>
              </w:rPr>
              <w:t>BOD</w:t>
            </w:r>
            <w:r>
              <w:rPr>
                <w:rFonts w:hint="eastAsia"/>
                <w:sz w:val="18"/>
                <w:szCs w:val="18"/>
                <w:vertAlign w:val="subscript"/>
              </w:rPr>
              <w:t>5</w:t>
            </w:r>
          </w:p>
        </w:tc>
        <w:tc>
          <w:tcPr>
            <w:tcW w:w="1701" w:type="dxa"/>
            <w:vAlign w:val="center"/>
          </w:tcPr>
          <w:p>
            <w:pPr>
              <w:adjustRightInd w:val="0"/>
              <w:snapToGrid w:val="0"/>
              <w:spacing w:before="60" w:beforeLines="25" w:after="60" w:afterLines="25"/>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line="240" w:lineRule="atLeast"/>
              <w:jc w:val="center"/>
              <w:rPr>
                <w:rFonts w:hint="default"/>
                <w:sz w:val="21"/>
                <w:szCs w:val="21"/>
              </w:rPr>
            </w:pPr>
            <w:r>
              <w:rPr>
                <w:rFonts w:hint="eastAsia"/>
                <w:sz w:val="21"/>
                <w:szCs w:val="21"/>
              </w:rPr>
              <w:t>0.09</w:t>
            </w:r>
            <w:r>
              <w:rPr>
                <w:rFonts w:hint="eastAsia"/>
                <w:sz w:val="21"/>
                <w:szCs w:val="21"/>
                <w:lang w:val="en-US" w:eastAsia="zh-CN"/>
              </w:rPr>
              <w:t>6</w:t>
            </w:r>
            <w:r>
              <w:rPr>
                <w:rFonts w:hint="eastAsia"/>
              </w:rPr>
              <w:t>t/a</w:t>
            </w:r>
          </w:p>
        </w:tc>
        <w:tc>
          <w:tcPr>
            <w:tcW w:w="1761" w:type="dxa"/>
            <w:vAlign w:val="center"/>
          </w:tcPr>
          <w:p>
            <w:pPr>
              <w:adjustRightInd w:val="0"/>
              <w:snapToGrid w:val="0"/>
              <w:spacing w:before="60" w:beforeLines="25" w:after="60" w:afterLines="25"/>
              <w:jc w:val="center"/>
            </w:pPr>
            <w:r>
              <w:rPr>
                <w:rFonts w:hint="eastAsia" w:cs="Times New Roman"/>
                <w:kern w:val="2"/>
                <w:sz w:val="21"/>
                <w:szCs w:val="24"/>
                <w:lang w:val="en-US" w:eastAsia="zh-CN" w:bidi="ar-SA"/>
              </w:rPr>
              <w:t>/</w:t>
            </w:r>
          </w:p>
        </w:tc>
        <w:tc>
          <w:tcPr>
            <w:tcW w:w="1509" w:type="dxa"/>
            <w:vAlign w:val="center"/>
          </w:tcPr>
          <w:p>
            <w:pPr>
              <w:adjustRightInd w:val="0"/>
              <w:snapToGrid w:val="0"/>
              <w:spacing w:line="240" w:lineRule="atLeast"/>
              <w:jc w:val="center"/>
            </w:pPr>
            <w:r>
              <w:rPr>
                <w:rFonts w:hint="eastAsia"/>
                <w:sz w:val="21"/>
                <w:szCs w:val="21"/>
              </w:rPr>
              <w:t>0.09</w:t>
            </w:r>
            <w:r>
              <w:rPr>
                <w:rFonts w:hint="eastAsia"/>
                <w:sz w:val="21"/>
                <w:szCs w:val="21"/>
                <w:lang w:val="en-US" w:eastAsia="zh-CN"/>
              </w:rPr>
              <w:t>6</w:t>
            </w:r>
            <w:r>
              <w:rPr>
                <w:rFonts w:hint="eastAsia"/>
              </w:rPr>
              <w:t>t/a</w:t>
            </w:r>
          </w:p>
        </w:tc>
        <w:tc>
          <w:tcPr>
            <w:tcW w:w="1276" w:type="dxa"/>
            <w:vAlign w:val="center"/>
          </w:tcPr>
          <w:p>
            <w:pPr>
              <w:adjustRightInd w:val="0"/>
              <w:snapToGrid w:val="0"/>
              <w:spacing w:before="60" w:beforeLines="25" w:after="60" w:afterLines="25"/>
              <w:jc w:val="center"/>
            </w:pPr>
            <w:r>
              <w:rPr>
                <w:rFonts w:hint="eastAsia"/>
                <w:lang w:val="en-US" w:eastAsia="zh-CN"/>
              </w:rPr>
              <w:t>+0.096</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utoSpaceDE w:val="0"/>
              <w:autoSpaceDN w:val="0"/>
              <w:adjustRightInd w:val="0"/>
              <w:spacing w:line="340" w:lineRule="exact"/>
              <w:jc w:val="center"/>
              <w:rPr>
                <w:kern w:val="0"/>
                <w:szCs w:val="21"/>
              </w:rPr>
            </w:pPr>
            <w:r>
              <w:rPr>
                <w:spacing w:val="3"/>
                <w:szCs w:val="21"/>
              </w:rPr>
              <w:t>SS</w:t>
            </w:r>
          </w:p>
        </w:tc>
        <w:tc>
          <w:tcPr>
            <w:tcW w:w="1701" w:type="dxa"/>
            <w:vAlign w:val="center"/>
          </w:tcPr>
          <w:p>
            <w:pPr>
              <w:adjustRightInd w:val="0"/>
              <w:snapToGrid w:val="0"/>
              <w:spacing w:before="60" w:beforeLines="25" w:after="60" w:afterLines="25"/>
              <w:jc w:val="center"/>
              <w:rPr>
                <w:rFonts w:hint="eastAsia"/>
                <w:lang w:val="en-US" w:eastAsia="zh-CN"/>
              </w:rPr>
            </w:pPr>
            <w:r>
              <w:rPr>
                <w:szCs w:val="21"/>
              </w:rPr>
              <w:t>0.336</w:t>
            </w:r>
            <w:r>
              <w:rPr>
                <w:rFonts w:hint="eastAsia"/>
              </w:rPr>
              <w:t>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line="240" w:lineRule="atLeast"/>
              <w:jc w:val="center"/>
              <w:rPr>
                <w:rFonts w:hint="default"/>
                <w:sz w:val="21"/>
                <w:szCs w:val="21"/>
                <w:lang w:val="en-US" w:eastAsia="zh-CN"/>
              </w:rPr>
            </w:pPr>
            <w:r>
              <w:rPr>
                <w:rFonts w:hint="eastAsia"/>
                <w:sz w:val="21"/>
                <w:szCs w:val="21"/>
              </w:rPr>
              <w:t>0.1</w:t>
            </w:r>
            <w:r>
              <w:rPr>
                <w:rFonts w:hint="eastAsia"/>
                <w:sz w:val="21"/>
                <w:szCs w:val="21"/>
                <w:lang w:val="en-US" w:eastAsia="zh-CN"/>
              </w:rPr>
              <w:t>08</w:t>
            </w:r>
            <w:r>
              <w:rPr>
                <w:rFonts w:hint="eastAsia"/>
              </w:rPr>
              <w:t>t/a</w:t>
            </w:r>
          </w:p>
        </w:tc>
        <w:tc>
          <w:tcPr>
            <w:tcW w:w="1761" w:type="dxa"/>
            <w:vAlign w:val="center"/>
          </w:tcPr>
          <w:p>
            <w:pPr>
              <w:adjustRightInd w:val="0"/>
              <w:snapToGrid w:val="0"/>
              <w:spacing w:before="60" w:beforeLines="25" w:after="60" w:afterLines="25"/>
              <w:jc w:val="center"/>
            </w:pPr>
            <w:r>
              <w:rPr>
                <w:szCs w:val="21"/>
              </w:rPr>
              <w:t>0.336</w:t>
            </w:r>
            <w:r>
              <w:rPr>
                <w:rFonts w:hint="eastAsia"/>
              </w:rPr>
              <w:t>t/a</w:t>
            </w:r>
          </w:p>
        </w:tc>
        <w:tc>
          <w:tcPr>
            <w:tcW w:w="1509" w:type="dxa"/>
            <w:vAlign w:val="center"/>
          </w:tcPr>
          <w:p>
            <w:pPr>
              <w:adjustRightInd w:val="0"/>
              <w:snapToGrid w:val="0"/>
              <w:spacing w:line="240" w:lineRule="atLeast"/>
              <w:jc w:val="center"/>
              <w:rPr>
                <w:rFonts w:hint="eastAsia"/>
              </w:rPr>
            </w:pPr>
            <w:r>
              <w:rPr>
                <w:rFonts w:hint="eastAsia"/>
                <w:sz w:val="21"/>
                <w:szCs w:val="21"/>
              </w:rPr>
              <w:t>0.1</w:t>
            </w:r>
            <w:r>
              <w:rPr>
                <w:rFonts w:hint="eastAsia"/>
                <w:sz w:val="21"/>
                <w:szCs w:val="21"/>
                <w:lang w:val="en-US" w:eastAsia="zh-CN"/>
              </w:rPr>
              <w:t>08</w:t>
            </w:r>
            <w:r>
              <w:rPr>
                <w:rFonts w:hint="eastAsia"/>
              </w:rPr>
              <w:t>t/a</w:t>
            </w:r>
          </w:p>
        </w:tc>
        <w:tc>
          <w:tcPr>
            <w:tcW w:w="1276" w:type="dxa"/>
            <w:vAlign w:val="center"/>
          </w:tcPr>
          <w:p>
            <w:pPr>
              <w:adjustRightInd w:val="0"/>
              <w:snapToGrid w:val="0"/>
              <w:spacing w:before="60" w:beforeLines="25" w:after="60" w:afterLines="25"/>
              <w:jc w:val="center"/>
              <w:rPr>
                <w:rFonts w:hint="eastAsia"/>
              </w:rPr>
            </w:pPr>
            <w:r>
              <w:rPr>
                <w:rFonts w:hint="eastAsia"/>
              </w:rPr>
              <w:t>-</w:t>
            </w:r>
            <w:r>
              <w:rPr>
                <w:rFonts w:hint="eastAsia"/>
                <w:lang w:val="en-US" w:eastAsia="zh-CN"/>
              </w:rPr>
              <w:t>0.228</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utoSpaceDE w:val="0"/>
              <w:autoSpaceDN w:val="0"/>
              <w:adjustRightInd w:val="0"/>
              <w:spacing w:line="340" w:lineRule="exact"/>
              <w:jc w:val="center"/>
              <w:rPr>
                <w:kern w:val="0"/>
                <w:szCs w:val="21"/>
              </w:rPr>
            </w:pPr>
            <w:r>
              <w:rPr>
                <w:kern w:val="0"/>
                <w:szCs w:val="21"/>
              </w:rPr>
              <w:t>氨氮</w:t>
            </w:r>
          </w:p>
        </w:tc>
        <w:tc>
          <w:tcPr>
            <w:tcW w:w="1701" w:type="dxa"/>
            <w:vAlign w:val="center"/>
          </w:tcPr>
          <w:p>
            <w:pPr>
              <w:adjustRightInd w:val="0"/>
              <w:snapToGrid w:val="0"/>
              <w:spacing w:before="60" w:beforeLines="25" w:after="60" w:afterLines="25"/>
              <w:jc w:val="center"/>
              <w:rPr>
                <w:rFonts w:hint="eastAsia"/>
                <w:lang w:val="en-US" w:eastAsia="zh-CN"/>
              </w:rPr>
            </w:pPr>
            <w:r>
              <w:rPr>
                <w:rFonts w:hint="eastAsia"/>
                <w:lang w:val="en-US" w:eastAsia="zh-CN"/>
              </w:rPr>
              <w:t>0.06</w:t>
            </w:r>
            <w:r>
              <w:rPr>
                <w:rFonts w:hint="eastAsia"/>
              </w:rPr>
              <w:t>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line="240" w:lineRule="atLeast"/>
              <w:jc w:val="center"/>
              <w:rPr>
                <w:rFonts w:hint="eastAsia"/>
                <w:sz w:val="21"/>
                <w:szCs w:val="21"/>
                <w:lang w:val="en-US" w:eastAsia="zh-CN"/>
              </w:rPr>
            </w:pPr>
            <w:r>
              <w:rPr>
                <w:rFonts w:hint="eastAsia"/>
                <w:sz w:val="21"/>
                <w:szCs w:val="21"/>
              </w:rPr>
              <w:t>0.03</w:t>
            </w:r>
            <w:r>
              <w:rPr>
                <w:rFonts w:hint="eastAsia"/>
              </w:rPr>
              <w:t>t/a</w:t>
            </w:r>
          </w:p>
        </w:tc>
        <w:tc>
          <w:tcPr>
            <w:tcW w:w="1761" w:type="dxa"/>
            <w:vAlign w:val="center"/>
          </w:tcPr>
          <w:p>
            <w:pPr>
              <w:adjustRightInd w:val="0"/>
              <w:snapToGrid w:val="0"/>
              <w:spacing w:before="60" w:beforeLines="25" w:after="60" w:afterLines="25"/>
              <w:jc w:val="center"/>
            </w:pPr>
            <w:r>
              <w:rPr>
                <w:rFonts w:hint="eastAsia"/>
                <w:lang w:val="en-US" w:eastAsia="zh-CN"/>
              </w:rPr>
              <w:t>0.06</w:t>
            </w:r>
            <w:r>
              <w:rPr>
                <w:rFonts w:hint="eastAsia"/>
              </w:rPr>
              <w:t>t/a</w:t>
            </w:r>
          </w:p>
        </w:tc>
        <w:tc>
          <w:tcPr>
            <w:tcW w:w="1509" w:type="dxa"/>
            <w:vAlign w:val="center"/>
          </w:tcPr>
          <w:p>
            <w:pPr>
              <w:adjustRightInd w:val="0"/>
              <w:snapToGrid w:val="0"/>
              <w:spacing w:line="240" w:lineRule="atLeast"/>
              <w:jc w:val="center"/>
              <w:rPr>
                <w:rFonts w:hint="eastAsia"/>
              </w:rPr>
            </w:pPr>
            <w:r>
              <w:rPr>
                <w:rFonts w:hint="eastAsia"/>
                <w:sz w:val="21"/>
                <w:szCs w:val="21"/>
              </w:rPr>
              <w:t>0.03</w:t>
            </w:r>
            <w:r>
              <w:rPr>
                <w:rFonts w:hint="eastAsia"/>
              </w:rPr>
              <w:t>t/a</w:t>
            </w:r>
          </w:p>
        </w:tc>
        <w:tc>
          <w:tcPr>
            <w:tcW w:w="1276" w:type="dxa"/>
            <w:vAlign w:val="center"/>
          </w:tcPr>
          <w:p>
            <w:pPr>
              <w:adjustRightInd w:val="0"/>
              <w:snapToGrid w:val="0"/>
              <w:spacing w:before="60" w:beforeLines="25" w:after="60" w:afterLines="25"/>
              <w:jc w:val="center"/>
              <w:rPr>
                <w:rFonts w:hint="eastAsia"/>
              </w:rPr>
            </w:pPr>
            <w:r>
              <w:rPr>
                <w:rFonts w:hint="eastAsia"/>
                <w:lang w:val="en-US" w:eastAsia="zh-CN"/>
              </w:rPr>
              <w:t>-0.03</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restart"/>
            <w:vAlign w:val="center"/>
          </w:tcPr>
          <w:p>
            <w:pPr>
              <w:pStyle w:val="68"/>
              <w:spacing w:beforeLines="0" w:afterLines="0" w:line="240" w:lineRule="auto"/>
              <w:rPr>
                <w:rFonts w:ascii="Times New Roman"/>
                <w:snapToGrid w:val="0"/>
                <w:kern w:val="21"/>
                <w:szCs w:val="21"/>
              </w:rPr>
            </w:pPr>
            <w:r>
              <w:rPr>
                <w:rFonts w:ascii="Times New Roman"/>
                <w:snapToGrid w:val="0"/>
                <w:kern w:val="21"/>
                <w:szCs w:val="21"/>
              </w:rPr>
              <w:t>一般</w:t>
            </w:r>
          </w:p>
          <w:p>
            <w:pPr>
              <w:pStyle w:val="68"/>
              <w:spacing w:beforeLines="0" w:afterLines="0" w:line="240" w:lineRule="auto"/>
              <w:rPr>
                <w:rFonts w:ascii="Times New Roman"/>
                <w:snapToGrid w:val="0"/>
                <w:kern w:val="21"/>
                <w:szCs w:val="21"/>
              </w:rPr>
            </w:pPr>
            <w:r>
              <w:rPr>
                <w:rFonts w:ascii="Times New Roman"/>
                <w:snapToGrid w:val="0"/>
                <w:kern w:val="21"/>
                <w:szCs w:val="21"/>
              </w:rPr>
              <w:t>固体废物</w:t>
            </w:r>
          </w:p>
        </w:tc>
        <w:tc>
          <w:tcPr>
            <w:tcW w:w="1497" w:type="dxa"/>
            <w:vAlign w:val="center"/>
          </w:tcPr>
          <w:p>
            <w:pPr>
              <w:widowControl/>
              <w:spacing w:line="340" w:lineRule="exact"/>
              <w:jc w:val="center"/>
              <w:rPr>
                <w:snapToGrid w:val="0"/>
                <w:kern w:val="21"/>
                <w:szCs w:val="21"/>
              </w:rPr>
            </w:pPr>
            <w:r>
              <w:rPr>
                <w:kern w:val="0"/>
                <w:szCs w:val="21"/>
              </w:rPr>
              <w:t>生活垃圾</w:t>
            </w:r>
          </w:p>
        </w:tc>
        <w:tc>
          <w:tcPr>
            <w:tcW w:w="1701" w:type="dxa"/>
            <w:vAlign w:val="center"/>
          </w:tcPr>
          <w:p>
            <w:pPr>
              <w:adjustRightInd w:val="0"/>
              <w:snapToGrid w:val="0"/>
              <w:spacing w:before="60" w:beforeLines="25" w:after="60" w:afterLines="25"/>
              <w:jc w:val="center"/>
            </w:pPr>
            <w:r>
              <w:rPr>
                <w:rFonts w:hint="eastAsia"/>
              </w:rPr>
              <w:t>15t/a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default"/>
              </w:rPr>
            </w:pPr>
            <w:r>
              <w:rPr>
                <w:rFonts w:hint="eastAsia"/>
                <w:lang w:val="en-US" w:eastAsia="zh-CN"/>
              </w:rPr>
              <w:t>/</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rPr>
              <w:t>15t/a</w:t>
            </w:r>
          </w:p>
        </w:tc>
        <w:tc>
          <w:tcPr>
            <w:tcW w:w="1276" w:type="dxa"/>
            <w:vAlign w:val="center"/>
          </w:tcPr>
          <w:p>
            <w:pPr>
              <w:adjustRightInd w:val="0"/>
              <w:snapToGrid w:val="0"/>
              <w:spacing w:before="60" w:beforeLines="25" w:after="60" w:afterLines="25"/>
              <w:jc w:val="center"/>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边角料</w:t>
            </w:r>
          </w:p>
        </w:tc>
        <w:tc>
          <w:tcPr>
            <w:tcW w:w="1701" w:type="dxa"/>
            <w:vAlign w:val="center"/>
          </w:tcPr>
          <w:p>
            <w:pPr>
              <w:adjustRightInd w:val="0"/>
              <w:snapToGrid w:val="0"/>
              <w:spacing w:before="60" w:beforeLines="25" w:after="60" w:afterLines="25"/>
              <w:jc w:val="center"/>
            </w:pPr>
            <w:r>
              <w:rPr>
                <w:rFonts w:hint="eastAsia"/>
              </w:rPr>
              <w:t>1.5t/a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default"/>
              </w:rPr>
            </w:pPr>
            <w:r>
              <w:rPr>
                <w:rFonts w:hint="eastAsia"/>
              </w:rPr>
              <w:t>2.86t/a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rPr>
              <w:t>4.36t/a</w:t>
            </w:r>
          </w:p>
        </w:tc>
        <w:tc>
          <w:tcPr>
            <w:tcW w:w="1276" w:type="dxa"/>
            <w:vAlign w:val="center"/>
          </w:tcPr>
          <w:p>
            <w:pPr>
              <w:adjustRightInd w:val="0"/>
              <w:snapToGrid w:val="0"/>
              <w:spacing w:before="60" w:beforeLines="25" w:after="60" w:afterLines="25"/>
              <w:jc w:val="center"/>
            </w:pPr>
            <w:r>
              <w:rPr>
                <w:rFonts w:hint="eastAsia"/>
              </w:rPr>
              <w:t>+2.86t/a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line="400" w:lineRule="exact"/>
              <w:jc w:val="center"/>
              <w:rPr>
                <w:rFonts w:hint="eastAsia"/>
              </w:rPr>
            </w:pPr>
            <w:r>
              <w:t>废包装材料</w:t>
            </w:r>
          </w:p>
        </w:tc>
        <w:tc>
          <w:tcPr>
            <w:tcW w:w="1701" w:type="dxa"/>
            <w:vAlign w:val="center"/>
          </w:tcPr>
          <w:p>
            <w:pPr>
              <w:adjustRightInd w:val="0"/>
              <w:snapToGrid w:val="0"/>
              <w:spacing w:line="400" w:lineRule="exact"/>
              <w:jc w:val="center"/>
              <w:rPr>
                <w:rFonts w:hint="eastAsia"/>
              </w:rPr>
            </w:pPr>
            <w:r>
              <w:t>0.5</w:t>
            </w:r>
            <w:r>
              <w:rPr>
                <w:rFonts w:hint="eastAsia"/>
              </w:rPr>
              <w:t>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default"/>
                <w:lang w:val="en-US" w:eastAsia="zh-CN"/>
              </w:rPr>
            </w:pPr>
            <w:r>
              <w:rPr>
                <w:rFonts w:hint="eastAsia"/>
                <w:lang w:val="en-US" w:eastAsia="zh-CN"/>
              </w:rPr>
              <w:t>/</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rPr>
                <w:rFonts w:hint="default" w:eastAsia="宋体"/>
                <w:lang w:val="en-US" w:eastAsia="zh-CN"/>
              </w:rPr>
            </w:pPr>
            <w:r>
              <w:rPr>
                <w:rFonts w:hint="eastAsia"/>
                <w:lang w:val="en-US" w:eastAsia="zh-CN"/>
              </w:rPr>
              <w:t>/</w:t>
            </w:r>
          </w:p>
        </w:tc>
        <w:tc>
          <w:tcPr>
            <w:tcW w:w="1276" w:type="dxa"/>
            <w:vAlign w:val="center"/>
          </w:tcPr>
          <w:p>
            <w:pPr>
              <w:adjustRightInd w:val="0"/>
              <w:snapToGrid w:val="0"/>
              <w:spacing w:before="60" w:beforeLines="25" w:after="60" w:afterLines="25"/>
              <w:jc w:val="center"/>
              <w:rPr>
                <w:rFonts w:hint="eastAsia" w:eastAsia="宋体"/>
                <w:lang w:val="en-US" w:eastAsia="zh-CN"/>
              </w:rPr>
            </w:pPr>
            <w:r>
              <w:rPr>
                <w:rFonts w:hint="eastAsia"/>
                <w:lang w:val="en-US" w:eastAsia="zh-CN"/>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收集的粉尘</w:t>
            </w:r>
          </w:p>
        </w:tc>
        <w:tc>
          <w:tcPr>
            <w:tcW w:w="1701" w:type="dxa"/>
            <w:vAlign w:val="center"/>
          </w:tcPr>
          <w:p>
            <w:pPr>
              <w:adjustRightInd w:val="0"/>
              <w:snapToGrid w:val="0"/>
              <w:spacing w:before="60" w:beforeLines="25" w:after="60" w:afterLines="25"/>
              <w:jc w:val="center"/>
            </w:pPr>
            <w:r>
              <w:rPr>
                <w:rFonts w:hint="eastAsia"/>
              </w:rPr>
              <w:t>0.17t/a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default"/>
              </w:rPr>
            </w:pPr>
            <w:r>
              <w:rPr>
                <w:rFonts w:hint="eastAsia"/>
                <w:lang w:val="en-US" w:eastAsia="zh-CN"/>
              </w:rPr>
              <w:t>0.65656t/a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t>0.</w:t>
            </w:r>
            <w:r>
              <w:rPr>
                <w:rFonts w:hint="eastAsia"/>
              </w:rPr>
              <w:t>82656t/a</w:t>
            </w:r>
          </w:p>
        </w:tc>
        <w:tc>
          <w:tcPr>
            <w:tcW w:w="1276" w:type="dxa"/>
            <w:vAlign w:val="center"/>
          </w:tcPr>
          <w:p>
            <w:pPr>
              <w:adjustRightInd w:val="0"/>
              <w:snapToGrid w:val="0"/>
              <w:spacing w:before="60" w:beforeLines="25" w:after="60" w:afterLines="25"/>
              <w:jc w:val="center"/>
            </w:pPr>
            <w:r>
              <w:rPr>
                <w:rFonts w:hint="eastAsia"/>
              </w:rPr>
              <w:t>+0.65656t/a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restart"/>
            <w:vAlign w:val="center"/>
          </w:tcPr>
          <w:p>
            <w:pPr>
              <w:pStyle w:val="68"/>
              <w:spacing w:beforeLines="0" w:afterLines="0" w:line="240" w:lineRule="auto"/>
              <w:rPr>
                <w:rFonts w:ascii="Times New Roman"/>
                <w:snapToGrid w:val="0"/>
                <w:kern w:val="21"/>
                <w:szCs w:val="21"/>
              </w:rPr>
            </w:pPr>
            <w:r>
              <w:rPr>
                <w:rFonts w:ascii="Times New Roman"/>
                <w:snapToGrid w:val="0"/>
                <w:kern w:val="21"/>
                <w:szCs w:val="21"/>
              </w:rPr>
              <w:t>危险废物</w:t>
            </w:r>
          </w:p>
        </w:tc>
        <w:tc>
          <w:tcPr>
            <w:tcW w:w="1497" w:type="dxa"/>
            <w:vAlign w:val="center"/>
          </w:tcPr>
          <w:p>
            <w:pPr>
              <w:adjustRightInd w:val="0"/>
              <w:snapToGrid w:val="0"/>
              <w:spacing w:before="60" w:beforeLines="25" w:after="60" w:afterLines="25"/>
              <w:jc w:val="center"/>
            </w:pPr>
            <w:r>
              <w:rPr>
                <w:rFonts w:hint="eastAsia"/>
              </w:rPr>
              <w:t>水帘柜喷淋用水更换液</w:t>
            </w:r>
          </w:p>
        </w:tc>
        <w:tc>
          <w:tcPr>
            <w:tcW w:w="1701" w:type="dxa"/>
            <w:vAlign w:val="center"/>
          </w:tcPr>
          <w:p>
            <w:pPr>
              <w:adjustRightInd w:val="0"/>
              <w:snapToGrid w:val="0"/>
              <w:spacing w:before="60" w:beforeLines="25" w:after="60" w:afterLines="25"/>
              <w:jc w:val="center"/>
            </w:pPr>
            <w:r>
              <w:rPr>
                <w:rFonts w:hint="eastAsia"/>
              </w:rPr>
              <w:t>/</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default"/>
              </w:rPr>
            </w:pPr>
            <w:r>
              <w:rPr>
                <w:rFonts w:hint="eastAsia"/>
                <w:lang w:val="en-US" w:eastAsia="zh-CN"/>
              </w:rPr>
              <w:t>12t/a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lang w:val="en-US" w:eastAsia="zh-CN"/>
              </w:rPr>
              <w:t>12</w:t>
            </w:r>
            <w:r>
              <w:rPr>
                <w:rFonts w:hint="eastAsia"/>
              </w:rPr>
              <w:t>t/a</w:t>
            </w:r>
          </w:p>
        </w:tc>
        <w:tc>
          <w:tcPr>
            <w:tcW w:w="1276" w:type="dxa"/>
            <w:vAlign w:val="center"/>
          </w:tcPr>
          <w:p>
            <w:pPr>
              <w:adjustRightInd w:val="0"/>
              <w:snapToGrid w:val="0"/>
              <w:spacing w:before="60" w:beforeLines="25" w:after="60" w:afterLines="25"/>
              <w:jc w:val="center"/>
            </w:pPr>
            <w:r>
              <w:rPr>
                <w:rFonts w:hint="eastAsia"/>
              </w:rPr>
              <w:t>+</w:t>
            </w:r>
            <w:r>
              <w:rPr>
                <w:rFonts w:hint="eastAsia"/>
                <w:lang w:val="en-US" w:eastAsia="zh-CN"/>
              </w:rPr>
              <w:t>12</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漆渣</w:t>
            </w:r>
          </w:p>
        </w:tc>
        <w:tc>
          <w:tcPr>
            <w:tcW w:w="1701" w:type="dxa"/>
            <w:vAlign w:val="center"/>
          </w:tcPr>
          <w:p>
            <w:pPr>
              <w:adjustRightInd w:val="0"/>
              <w:snapToGrid w:val="0"/>
              <w:spacing w:before="60" w:beforeLines="25" w:after="60" w:afterLines="25"/>
              <w:jc w:val="center"/>
            </w:pPr>
            <w:r>
              <w:rPr>
                <w:rFonts w:hint="eastAsia"/>
              </w:rPr>
              <w:t>/</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default"/>
              </w:rPr>
            </w:pPr>
            <w:r>
              <w:rPr>
                <w:rFonts w:hint="eastAsia"/>
                <w:lang w:val="en-US" w:eastAsia="zh-CN"/>
              </w:rPr>
              <w:t>0.4323t/a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lang w:val="en-US" w:eastAsia="zh-CN"/>
              </w:rPr>
              <w:t>0.4323t/a</w:t>
            </w:r>
          </w:p>
        </w:tc>
        <w:tc>
          <w:tcPr>
            <w:tcW w:w="1276" w:type="dxa"/>
            <w:vAlign w:val="center"/>
          </w:tcPr>
          <w:p>
            <w:pPr>
              <w:adjustRightInd w:val="0"/>
              <w:snapToGrid w:val="0"/>
              <w:spacing w:before="60" w:beforeLines="25" w:after="60" w:afterLines="25"/>
              <w:jc w:val="center"/>
            </w:pPr>
            <w:r>
              <w:rPr>
                <w:rFonts w:hint="eastAsia"/>
              </w:rPr>
              <w:t>+</w:t>
            </w:r>
            <w:r>
              <w:rPr>
                <w:rFonts w:hint="eastAsia"/>
                <w:lang w:val="en-US" w:eastAsia="zh-CN"/>
              </w:rPr>
              <w:t>0.4323t/a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废活性炭</w:t>
            </w:r>
          </w:p>
        </w:tc>
        <w:tc>
          <w:tcPr>
            <w:tcW w:w="1701" w:type="dxa"/>
            <w:vAlign w:val="center"/>
          </w:tcPr>
          <w:p>
            <w:pPr>
              <w:adjustRightInd w:val="0"/>
              <w:snapToGrid w:val="0"/>
              <w:spacing w:before="60" w:beforeLines="25" w:after="60" w:afterLines="25"/>
              <w:jc w:val="center"/>
            </w:pPr>
            <w:r>
              <w:rPr>
                <w:rFonts w:hint="eastAsia"/>
              </w:rPr>
              <w:t>5t/a</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eastAsia"/>
              </w:rPr>
            </w:pPr>
            <w:r>
              <w:rPr>
                <w:rFonts w:hint="eastAsia"/>
                <w:lang w:val="en-US" w:eastAsia="zh-CN"/>
              </w:rPr>
              <w:t>2.8</w:t>
            </w:r>
            <w:r>
              <w:rPr>
                <w:rFonts w:hint="eastAsia"/>
              </w:rPr>
              <w:t>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lang w:val="en-US" w:eastAsia="zh-CN"/>
              </w:rPr>
              <w:t>7.8</w:t>
            </w:r>
            <w:r>
              <w:rPr>
                <w:rFonts w:hint="eastAsia"/>
              </w:rPr>
              <w:t>t/a</w:t>
            </w:r>
          </w:p>
        </w:tc>
        <w:tc>
          <w:tcPr>
            <w:tcW w:w="1276" w:type="dxa"/>
            <w:vAlign w:val="center"/>
          </w:tcPr>
          <w:p>
            <w:pPr>
              <w:adjustRightInd w:val="0"/>
              <w:snapToGrid w:val="0"/>
              <w:spacing w:before="60" w:beforeLines="25" w:after="60" w:afterLines="25"/>
              <w:jc w:val="center"/>
            </w:pPr>
            <w:r>
              <w:rPr>
                <w:rFonts w:hint="eastAsia"/>
              </w:rPr>
              <w:t>+</w:t>
            </w:r>
            <w:r>
              <w:rPr>
                <w:rFonts w:hint="eastAsia"/>
                <w:lang w:val="en-US" w:eastAsia="zh-CN"/>
              </w:rPr>
              <w:t>2.8</w:t>
            </w:r>
            <w:r>
              <w:rPr>
                <w:rFonts w:hint="eastAsi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废油漆桶</w:t>
            </w:r>
          </w:p>
        </w:tc>
        <w:tc>
          <w:tcPr>
            <w:tcW w:w="1701" w:type="dxa"/>
            <w:vAlign w:val="center"/>
          </w:tcPr>
          <w:p>
            <w:pPr>
              <w:adjustRightInd w:val="0"/>
              <w:snapToGrid w:val="0"/>
              <w:spacing w:before="60" w:beforeLines="25" w:after="60" w:afterLines="25"/>
              <w:jc w:val="center"/>
              <w:rPr>
                <w:rFonts w:hint="default" w:eastAsia="宋体"/>
                <w:lang w:val="en-US" w:eastAsia="zh-CN"/>
              </w:rPr>
            </w:pPr>
            <w:r>
              <w:rPr>
                <w:rFonts w:hint="eastAsia"/>
                <w:lang w:val="en-US" w:eastAsia="zh-CN"/>
              </w:rPr>
              <w:t>/</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eastAsia"/>
              </w:rPr>
            </w:pPr>
            <w:r>
              <w:rPr>
                <w:rFonts w:hint="eastAsia"/>
              </w:rPr>
              <w:t>0.6t/a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rPr>
              <w:t>0.6t/a</w:t>
            </w:r>
          </w:p>
        </w:tc>
        <w:tc>
          <w:tcPr>
            <w:tcW w:w="1276" w:type="dxa"/>
            <w:vAlign w:val="center"/>
          </w:tcPr>
          <w:p>
            <w:pPr>
              <w:adjustRightInd w:val="0"/>
              <w:snapToGrid w:val="0"/>
              <w:spacing w:before="60" w:beforeLines="25" w:after="60" w:afterLines="25"/>
              <w:jc w:val="center"/>
            </w:pPr>
            <w:r>
              <w:rPr>
                <w:rFonts w:hint="eastAsia"/>
              </w:rPr>
              <w:t>+0.6t/a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vAlign w:val="center"/>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废抹布</w:t>
            </w:r>
          </w:p>
        </w:tc>
        <w:tc>
          <w:tcPr>
            <w:tcW w:w="1701" w:type="dxa"/>
            <w:vAlign w:val="center"/>
          </w:tcPr>
          <w:p>
            <w:pPr>
              <w:adjustRightInd w:val="0"/>
              <w:snapToGrid w:val="0"/>
              <w:spacing w:before="60" w:beforeLines="25" w:after="60" w:afterLines="25"/>
              <w:jc w:val="center"/>
            </w:pPr>
            <w:r>
              <w:rPr>
                <w:rFonts w:hint="eastAsia"/>
              </w:rPr>
              <w:t>/</w:t>
            </w:r>
          </w:p>
        </w:tc>
        <w:tc>
          <w:tcPr>
            <w:tcW w:w="1276" w:type="dxa"/>
            <w:vAlign w:val="center"/>
          </w:tcPr>
          <w:p>
            <w:pPr>
              <w:adjustRightInd w:val="0"/>
              <w:snapToGrid w:val="0"/>
              <w:spacing w:before="60" w:beforeLines="25" w:after="60" w:afterLines="25"/>
              <w:jc w:val="center"/>
            </w:pPr>
          </w:p>
        </w:tc>
        <w:tc>
          <w:tcPr>
            <w:tcW w:w="1701" w:type="dxa"/>
            <w:vAlign w:val="center"/>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eastAsia"/>
              </w:rPr>
            </w:pPr>
            <w:r>
              <w:rPr>
                <w:rFonts w:hint="eastAsia"/>
                <w:lang w:val="en-US" w:eastAsia="zh-CN"/>
              </w:rPr>
              <w:t>0.1</w:t>
            </w:r>
            <w:r>
              <w:rPr>
                <w:rFonts w:hint="eastAsia"/>
              </w:rPr>
              <w:t>t/a</w:t>
            </w:r>
          </w:p>
        </w:tc>
        <w:tc>
          <w:tcPr>
            <w:tcW w:w="1761" w:type="dxa"/>
            <w:vAlign w:val="center"/>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rPr>
              <w:t>0.1t/a</w:t>
            </w:r>
          </w:p>
        </w:tc>
        <w:tc>
          <w:tcPr>
            <w:tcW w:w="1276" w:type="dxa"/>
            <w:vAlign w:val="center"/>
          </w:tcPr>
          <w:p>
            <w:pPr>
              <w:adjustRightInd w:val="0"/>
              <w:snapToGrid w:val="0"/>
              <w:spacing w:before="60" w:beforeLines="25" w:after="60" w:afterLines="25"/>
              <w:jc w:val="center"/>
            </w:pPr>
            <w:r>
              <w:rPr>
                <w:rFonts w:hint="eastAsia"/>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08" w:type="dxa"/>
            <w:vMerge w:val="continue"/>
          </w:tcPr>
          <w:p>
            <w:pPr>
              <w:pStyle w:val="68"/>
              <w:spacing w:beforeLines="0" w:afterLines="0" w:line="240" w:lineRule="auto"/>
              <w:rPr>
                <w:rFonts w:ascii="Times New Roman"/>
                <w:snapToGrid w:val="0"/>
                <w:kern w:val="21"/>
                <w:szCs w:val="21"/>
              </w:rPr>
            </w:pPr>
          </w:p>
        </w:tc>
        <w:tc>
          <w:tcPr>
            <w:tcW w:w="1497" w:type="dxa"/>
            <w:vAlign w:val="center"/>
          </w:tcPr>
          <w:p>
            <w:pPr>
              <w:adjustRightInd w:val="0"/>
              <w:snapToGrid w:val="0"/>
              <w:spacing w:before="60" w:beforeLines="25" w:after="60" w:afterLines="25"/>
              <w:jc w:val="center"/>
            </w:pPr>
            <w:r>
              <w:rPr>
                <w:rFonts w:hint="eastAsia"/>
              </w:rPr>
              <w:t>喷枪清洗涂料渣</w:t>
            </w:r>
          </w:p>
        </w:tc>
        <w:tc>
          <w:tcPr>
            <w:tcW w:w="1701" w:type="dxa"/>
          </w:tcPr>
          <w:p>
            <w:pPr>
              <w:adjustRightInd w:val="0"/>
              <w:snapToGrid w:val="0"/>
              <w:spacing w:before="60" w:beforeLines="25" w:after="60" w:afterLines="25"/>
              <w:jc w:val="center"/>
            </w:pPr>
            <w:r>
              <w:rPr>
                <w:rFonts w:hint="eastAsia"/>
              </w:rPr>
              <w:t>/</w:t>
            </w:r>
          </w:p>
        </w:tc>
        <w:tc>
          <w:tcPr>
            <w:tcW w:w="1276" w:type="dxa"/>
          </w:tcPr>
          <w:p>
            <w:pPr>
              <w:adjustRightInd w:val="0"/>
              <w:snapToGrid w:val="0"/>
              <w:spacing w:before="60" w:beforeLines="25" w:after="60" w:afterLines="25"/>
              <w:jc w:val="center"/>
            </w:pPr>
          </w:p>
        </w:tc>
        <w:tc>
          <w:tcPr>
            <w:tcW w:w="1701" w:type="dxa"/>
          </w:tcPr>
          <w:p>
            <w:pPr>
              <w:adjustRightInd w:val="0"/>
              <w:snapToGrid w:val="0"/>
              <w:spacing w:before="60" w:beforeLines="25" w:after="60" w:afterLines="25"/>
              <w:jc w:val="center"/>
            </w:pPr>
          </w:p>
        </w:tc>
        <w:tc>
          <w:tcPr>
            <w:tcW w:w="1559" w:type="dxa"/>
            <w:vAlign w:val="center"/>
          </w:tcPr>
          <w:p>
            <w:pPr>
              <w:adjustRightInd w:val="0"/>
              <w:snapToGrid w:val="0"/>
              <w:spacing w:before="60" w:beforeLines="25" w:after="60" w:afterLines="25"/>
              <w:jc w:val="center"/>
              <w:rPr>
                <w:rFonts w:hint="eastAsia"/>
              </w:rPr>
            </w:pPr>
            <w:r>
              <w:rPr>
                <w:rFonts w:hint="eastAsia"/>
                <w:lang w:val="en-US" w:eastAsia="zh-CN"/>
              </w:rPr>
              <w:t>0.1</w:t>
            </w:r>
            <w:r>
              <w:rPr>
                <w:rFonts w:hint="eastAsia"/>
              </w:rPr>
              <w:t>t/a</w:t>
            </w:r>
          </w:p>
        </w:tc>
        <w:tc>
          <w:tcPr>
            <w:tcW w:w="1761" w:type="dxa"/>
          </w:tcPr>
          <w:p>
            <w:pPr>
              <w:adjustRightInd w:val="0"/>
              <w:snapToGrid w:val="0"/>
              <w:spacing w:before="60" w:beforeLines="25" w:after="60" w:afterLines="25"/>
              <w:jc w:val="center"/>
            </w:pPr>
          </w:p>
        </w:tc>
        <w:tc>
          <w:tcPr>
            <w:tcW w:w="1509" w:type="dxa"/>
            <w:vAlign w:val="center"/>
          </w:tcPr>
          <w:p>
            <w:pPr>
              <w:adjustRightInd w:val="0"/>
              <w:snapToGrid w:val="0"/>
              <w:spacing w:before="60" w:beforeLines="25" w:after="60" w:afterLines="25"/>
              <w:jc w:val="center"/>
            </w:pPr>
            <w:r>
              <w:rPr>
                <w:rFonts w:hint="eastAsia"/>
              </w:rPr>
              <w:t>0.1t/a</w:t>
            </w:r>
          </w:p>
        </w:tc>
        <w:tc>
          <w:tcPr>
            <w:tcW w:w="1276" w:type="dxa"/>
            <w:vAlign w:val="center"/>
          </w:tcPr>
          <w:p>
            <w:pPr>
              <w:adjustRightInd w:val="0"/>
              <w:snapToGrid w:val="0"/>
              <w:spacing w:before="60" w:beforeLines="25" w:after="60" w:afterLines="25"/>
              <w:jc w:val="center"/>
            </w:pPr>
            <w:r>
              <w:rPr>
                <w:rFonts w:hint="eastAsia"/>
              </w:rPr>
              <w:t>+0.1t/a</w:t>
            </w:r>
          </w:p>
        </w:tc>
      </w:tr>
    </w:tbl>
    <w:p>
      <w:pPr>
        <w:pStyle w:val="68"/>
        <w:spacing w:before="192" w:beforeLines="80" w:after="24"/>
        <w:jc w:val="left"/>
        <w:rPr>
          <w:rFonts w:hAnsi="宋体"/>
          <w:snapToGrid w:val="0"/>
          <w:spacing w:val="-6"/>
          <w:kern w:val="21"/>
          <w:szCs w:val="21"/>
        </w:rPr>
        <w:sectPr>
          <w:footerReference r:id="rId7"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p>
      <w:pPr>
        <w:rPr>
          <w:rFonts w:hint="eastAsia"/>
          <w:color w:val="FF0000"/>
          <w:lang w:val="en-US" w:eastAsia="zh-CN"/>
        </w:rPr>
      </w:pPr>
    </w:p>
    <w:p>
      <w:pPr>
        <w:rPr>
          <w:rFonts w:hint="eastAsia" w:eastAsia="宋体"/>
          <w:color w:val="FF0000"/>
          <w:lang w:val="en-US" w:eastAsia="zh-CN"/>
        </w:rPr>
      </w:pPr>
    </w:p>
    <w:bookmarkEnd w:id="8"/>
    <w:sectPr>
      <w:footerReference r:id="rId8"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rPr>
                              <w:rStyle w:val="36"/>
                              <w:rFonts w:ascii="宋体" w:hAnsi="宋体"/>
                              <w:sz w:val="28"/>
                              <w:szCs w:val="28"/>
                            </w:rPr>
                          </w:pPr>
                          <w:r>
                            <w:rPr>
                              <w:rStyle w:val="36"/>
                              <w:rFonts w:hint="eastAsia" w:ascii="宋体" w:hAnsi="宋体"/>
                              <w:sz w:val="28"/>
                              <w:szCs w:val="28"/>
                            </w:rPr>
                            <w:t>—</w:t>
                          </w:r>
                          <w:r>
                            <w:rPr>
                              <w:rStyle w:val="36"/>
                              <w:rFonts w:hint="eastAsia" w:ascii="宋体" w:hAnsi="宋体"/>
                              <w:sz w:val="20"/>
                            </w:rPr>
                            <w:t xml:space="preserve">  </w:t>
                          </w:r>
                          <w:r>
                            <w:rPr>
                              <w:rFonts w:ascii="宋体" w:hAnsi="宋体"/>
                              <w:sz w:val="26"/>
                              <w:szCs w:val="26"/>
                            </w:rPr>
                            <w:fldChar w:fldCharType="begin"/>
                          </w:r>
                          <w:r>
                            <w:rPr>
                              <w:rStyle w:val="36"/>
                              <w:rFonts w:ascii="宋体" w:hAnsi="宋体"/>
                              <w:sz w:val="26"/>
                              <w:szCs w:val="26"/>
                            </w:rPr>
                            <w:instrText xml:space="preserve">PAGE  </w:instrText>
                          </w:r>
                          <w:r>
                            <w:rPr>
                              <w:rFonts w:ascii="宋体" w:hAnsi="宋体"/>
                              <w:sz w:val="26"/>
                              <w:szCs w:val="26"/>
                            </w:rPr>
                            <w:fldChar w:fldCharType="separate"/>
                          </w:r>
                          <w:r>
                            <w:rPr>
                              <w:rStyle w:val="36"/>
                              <w:rFonts w:ascii="宋体" w:hAnsi="宋体"/>
                              <w:sz w:val="26"/>
                              <w:szCs w:val="26"/>
                            </w:rPr>
                            <w:t>6</w:t>
                          </w:r>
                          <w:r>
                            <w:rPr>
                              <w:rFonts w:ascii="宋体" w:hAnsi="宋体"/>
                              <w:sz w:val="26"/>
                              <w:szCs w:val="26"/>
                            </w:rPr>
                            <w:fldChar w:fldCharType="end"/>
                          </w:r>
                          <w:r>
                            <w:rPr>
                              <w:rStyle w:val="36"/>
                              <w:rFonts w:hint="eastAsia" w:ascii="宋体" w:hAnsi="宋体"/>
                              <w:sz w:val="20"/>
                            </w:rPr>
                            <w:t xml:space="preserve">  </w:t>
                          </w:r>
                          <w:r>
                            <w:rPr>
                              <w:rStyle w:val="36"/>
                              <w:rFonts w:hint="eastAsia" w:ascii="宋体" w:hAnsi="宋体"/>
                              <w:sz w:val="28"/>
                              <w:szCs w:val="28"/>
                            </w:rPr>
                            <w:t>—</w:t>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tmYuTCAQAAjgMAAA4AAAAAAAAAAQAgAAAAHgEAAGRycy9lMm9Eb2MueG1sUEsF&#10;BgAAAAAGAAYAWQEAAFIFAAAAAA==&#10;">
              <v:fill on="f" focussize="0,0"/>
              <v:stroke on="f"/>
              <v:imagedata o:title=""/>
              <o:lock v:ext="edit" aspectratio="f"/>
              <v:textbox inset="0mm,0mm,0mm,0mm" style="mso-fit-shape-to-text:t;">
                <w:txbxContent>
                  <w:p>
                    <w:pPr>
                      <w:pStyle w:val="24"/>
                      <w:rPr>
                        <w:rStyle w:val="36"/>
                        <w:rFonts w:ascii="宋体" w:hAnsi="宋体"/>
                        <w:sz w:val="28"/>
                        <w:szCs w:val="28"/>
                      </w:rPr>
                    </w:pPr>
                    <w:r>
                      <w:rPr>
                        <w:rStyle w:val="36"/>
                        <w:rFonts w:hint="eastAsia" w:ascii="宋体" w:hAnsi="宋体"/>
                        <w:sz w:val="28"/>
                        <w:szCs w:val="28"/>
                      </w:rPr>
                      <w:t>—</w:t>
                    </w:r>
                    <w:r>
                      <w:rPr>
                        <w:rStyle w:val="36"/>
                        <w:rFonts w:hint="eastAsia" w:ascii="宋体" w:hAnsi="宋体"/>
                        <w:sz w:val="20"/>
                      </w:rPr>
                      <w:t xml:space="preserve">  </w:t>
                    </w:r>
                    <w:r>
                      <w:rPr>
                        <w:rFonts w:ascii="宋体" w:hAnsi="宋体"/>
                        <w:sz w:val="26"/>
                        <w:szCs w:val="26"/>
                      </w:rPr>
                      <w:fldChar w:fldCharType="begin"/>
                    </w:r>
                    <w:r>
                      <w:rPr>
                        <w:rStyle w:val="36"/>
                        <w:rFonts w:ascii="宋体" w:hAnsi="宋体"/>
                        <w:sz w:val="26"/>
                        <w:szCs w:val="26"/>
                      </w:rPr>
                      <w:instrText xml:space="preserve">PAGE  </w:instrText>
                    </w:r>
                    <w:r>
                      <w:rPr>
                        <w:rFonts w:ascii="宋体" w:hAnsi="宋体"/>
                        <w:sz w:val="26"/>
                        <w:szCs w:val="26"/>
                      </w:rPr>
                      <w:fldChar w:fldCharType="separate"/>
                    </w:r>
                    <w:r>
                      <w:rPr>
                        <w:rStyle w:val="36"/>
                        <w:rFonts w:ascii="宋体" w:hAnsi="宋体"/>
                        <w:sz w:val="26"/>
                        <w:szCs w:val="26"/>
                      </w:rPr>
                      <w:t>6</w:t>
                    </w:r>
                    <w:r>
                      <w:rPr>
                        <w:rFonts w:ascii="宋体" w:hAnsi="宋体"/>
                        <w:sz w:val="26"/>
                        <w:szCs w:val="26"/>
                      </w:rPr>
                      <w:fldChar w:fldCharType="end"/>
                    </w:r>
                    <w:r>
                      <w:rPr>
                        <w:rStyle w:val="36"/>
                        <w:rFonts w:hint="eastAsia" w:ascii="宋体" w:hAnsi="宋体"/>
                        <w:sz w:val="20"/>
                      </w:rPr>
                      <w:t xml:space="preserve">  </w:t>
                    </w:r>
                    <w:r>
                      <w:rPr>
                        <w:rStyle w:val="36"/>
                        <w:rFonts w:hint="eastAsia" w:ascii="宋体" w:hAns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rPr>
                              <w:rStyle w:val="36"/>
                              <w:rFonts w:ascii="宋体" w:hAnsi="宋体"/>
                              <w:sz w:val="28"/>
                              <w:szCs w:val="28"/>
                            </w:rPr>
                          </w:pPr>
                          <w:r>
                            <w:rPr>
                              <w:rStyle w:val="36"/>
                              <w:rFonts w:hint="eastAsia" w:ascii="宋体" w:hAnsi="宋体"/>
                              <w:sz w:val="28"/>
                              <w:szCs w:val="28"/>
                            </w:rPr>
                            <w:t>—</w:t>
                          </w:r>
                          <w:r>
                            <w:rPr>
                              <w:rStyle w:val="36"/>
                              <w:rFonts w:hint="eastAsia" w:ascii="宋体" w:hAnsi="宋体"/>
                              <w:sz w:val="20"/>
                            </w:rPr>
                            <w:t xml:space="preserve">  </w:t>
                          </w:r>
                          <w:r>
                            <w:rPr>
                              <w:rFonts w:ascii="宋体" w:hAnsi="宋体"/>
                              <w:sz w:val="26"/>
                              <w:szCs w:val="26"/>
                            </w:rPr>
                            <w:fldChar w:fldCharType="begin"/>
                          </w:r>
                          <w:r>
                            <w:rPr>
                              <w:rStyle w:val="36"/>
                              <w:rFonts w:ascii="宋体" w:hAnsi="宋体"/>
                              <w:sz w:val="26"/>
                              <w:szCs w:val="26"/>
                            </w:rPr>
                            <w:instrText xml:space="preserve">PAGE  </w:instrText>
                          </w:r>
                          <w:r>
                            <w:rPr>
                              <w:rFonts w:ascii="宋体" w:hAnsi="宋体"/>
                              <w:sz w:val="26"/>
                              <w:szCs w:val="26"/>
                            </w:rPr>
                            <w:fldChar w:fldCharType="separate"/>
                          </w:r>
                          <w:r>
                            <w:rPr>
                              <w:rStyle w:val="36"/>
                              <w:rFonts w:ascii="宋体" w:hAnsi="宋体"/>
                              <w:sz w:val="26"/>
                              <w:szCs w:val="26"/>
                            </w:rPr>
                            <w:t>6</w:t>
                          </w:r>
                          <w:r>
                            <w:rPr>
                              <w:rFonts w:ascii="宋体" w:hAnsi="宋体"/>
                              <w:sz w:val="26"/>
                              <w:szCs w:val="26"/>
                            </w:rPr>
                            <w:fldChar w:fldCharType="end"/>
                          </w:r>
                          <w:r>
                            <w:rPr>
                              <w:rStyle w:val="36"/>
                              <w:rFonts w:hint="eastAsia" w:ascii="宋体" w:hAnsi="宋体"/>
                              <w:sz w:val="20"/>
                            </w:rPr>
                            <w:t xml:space="preserve">  </w:t>
                          </w:r>
                          <w:r>
                            <w:rPr>
                              <w:rStyle w:val="36"/>
                              <w:rFonts w:hint="eastAsia" w:ascii="宋体" w:hAnsi="宋体"/>
                              <w:sz w:val="28"/>
                              <w:szCs w:val="28"/>
                            </w:rPr>
                            <w:t>—</w:t>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8SkcIBAACO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nxFieMWJ375/u3y49fl51ey&#10;zPr0AWpMuwuYmIa3fsCtmf2Azkx7UNHmLxIiGEd1z1d15ZCIyI/Wq/W6wpDA2HxBfPbwPERI76S3&#10;JBsNjTi+oio/fYA0ps4puZrzt9qYMkLj/nIgZvaw3PvYY7bSsB8mQnvfnpFPj5NvqMNFp8S8dyhs&#10;XpLZiLOxn4xcA8KbY8LCpZ+MOkJNxXBMhdG0UnkP/ryXrI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EP/EpHCAQAAjgMAAA4AAAAAAAAAAQAgAAAAHgEAAGRycy9lMm9Eb2MueG1sUEsF&#10;BgAAAAAGAAYAWQEAAFIFAAAAAA==&#10;">
              <v:fill on="f" focussize="0,0"/>
              <v:stroke on="f"/>
              <v:imagedata o:title=""/>
              <o:lock v:ext="edit" aspectratio="f"/>
              <v:textbox inset="0mm,0mm,0mm,0mm" style="mso-fit-shape-to-text:t;">
                <w:txbxContent>
                  <w:p>
                    <w:pPr>
                      <w:pStyle w:val="24"/>
                      <w:rPr>
                        <w:rStyle w:val="36"/>
                        <w:rFonts w:ascii="宋体" w:hAnsi="宋体"/>
                        <w:sz w:val="28"/>
                        <w:szCs w:val="28"/>
                      </w:rPr>
                    </w:pPr>
                    <w:r>
                      <w:rPr>
                        <w:rStyle w:val="36"/>
                        <w:rFonts w:hint="eastAsia" w:ascii="宋体" w:hAnsi="宋体"/>
                        <w:sz w:val="28"/>
                        <w:szCs w:val="28"/>
                      </w:rPr>
                      <w:t>—</w:t>
                    </w:r>
                    <w:r>
                      <w:rPr>
                        <w:rStyle w:val="36"/>
                        <w:rFonts w:hint="eastAsia" w:ascii="宋体" w:hAnsi="宋体"/>
                        <w:sz w:val="20"/>
                      </w:rPr>
                      <w:t xml:space="preserve">  </w:t>
                    </w:r>
                    <w:r>
                      <w:rPr>
                        <w:rFonts w:ascii="宋体" w:hAnsi="宋体"/>
                        <w:sz w:val="26"/>
                        <w:szCs w:val="26"/>
                      </w:rPr>
                      <w:fldChar w:fldCharType="begin"/>
                    </w:r>
                    <w:r>
                      <w:rPr>
                        <w:rStyle w:val="36"/>
                        <w:rFonts w:ascii="宋体" w:hAnsi="宋体"/>
                        <w:sz w:val="26"/>
                        <w:szCs w:val="26"/>
                      </w:rPr>
                      <w:instrText xml:space="preserve">PAGE  </w:instrText>
                    </w:r>
                    <w:r>
                      <w:rPr>
                        <w:rFonts w:ascii="宋体" w:hAnsi="宋体"/>
                        <w:sz w:val="26"/>
                        <w:szCs w:val="26"/>
                      </w:rPr>
                      <w:fldChar w:fldCharType="separate"/>
                    </w:r>
                    <w:r>
                      <w:rPr>
                        <w:rStyle w:val="36"/>
                        <w:rFonts w:ascii="宋体" w:hAnsi="宋体"/>
                        <w:sz w:val="26"/>
                        <w:szCs w:val="26"/>
                      </w:rPr>
                      <w:t>6</w:t>
                    </w:r>
                    <w:r>
                      <w:rPr>
                        <w:rFonts w:ascii="宋体" w:hAnsi="宋体"/>
                        <w:sz w:val="26"/>
                        <w:szCs w:val="26"/>
                      </w:rPr>
                      <w:fldChar w:fldCharType="end"/>
                    </w:r>
                    <w:r>
                      <w:rPr>
                        <w:rStyle w:val="36"/>
                        <w:rFonts w:hint="eastAsia" w:ascii="宋体" w:hAnsi="宋体"/>
                        <w:sz w:val="20"/>
                      </w:rPr>
                      <w:t xml:space="preserve">  </w:t>
                    </w:r>
                    <w:r>
                      <w:rPr>
                        <w:rStyle w:val="36"/>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rPr>
                              <w:rStyle w:val="36"/>
                              <w:rFonts w:ascii="宋体" w:hAnsi="宋体"/>
                              <w:sz w:val="28"/>
                              <w:szCs w:val="28"/>
                            </w:rPr>
                          </w:pPr>
                          <w:r>
                            <w:rPr>
                              <w:rStyle w:val="36"/>
                              <w:rFonts w:hint="eastAsia" w:ascii="宋体" w:hAnsi="宋体"/>
                              <w:sz w:val="28"/>
                              <w:szCs w:val="28"/>
                            </w:rPr>
                            <w:t>—</w:t>
                          </w:r>
                          <w:r>
                            <w:rPr>
                              <w:rStyle w:val="36"/>
                              <w:rFonts w:hint="eastAsia" w:ascii="宋体" w:hAnsi="宋体"/>
                              <w:sz w:val="20"/>
                            </w:rPr>
                            <w:t xml:space="preserve">  </w:t>
                          </w:r>
                          <w:r>
                            <w:rPr>
                              <w:rFonts w:ascii="宋体" w:hAnsi="宋体"/>
                              <w:sz w:val="26"/>
                              <w:szCs w:val="26"/>
                            </w:rPr>
                            <w:fldChar w:fldCharType="begin"/>
                          </w:r>
                          <w:r>
                            <w:rPr>
                              <w:rStyle w:val="36"/>
                              <w:rFonts w:ascii="宋体" w:hAnsi="宋体"/>
                              <w:sz w:val="26"/>
                              <w:szCs w:val="26"/>
                            </w:rPr>
                            <w:instrText xml:space="preserve">PAGE  </w:instrText>
                          </w:r>
                          <w:r>
                            <w:rPr>
                              <w:rFonts w:ascii="宋体" w:hAnsi="宋体"/>
                              <w:sz w:val="26"/>
                              <w:szCs w:val="26"/>
                            </w:rPr>
                            <w:fldChar w:fldCharType="separate"/>
                          </w:r>
                          <w:r>
                            <w:rPr>
                              <w:rStyle w:val="36"/>
                              <w:rFonts w:ascii="宋体" w:hAnsi="宋体"/>
                              <w:sz w:val="26"/>
                              <w:szCs w:val="26"/>
                            </w:rPr>
                            <w:t>11</w:t>
                          </w:r>
                          <w:r>
                            <w:rPr>
                              <w:rFonts w:ascii="宋体" w:hAnsi="宋体"/>
                              <w:sz w:val="26"/>
                              <w:szCs w:val="26"/>
                            </w:rPr>
                            <w:fldChar w:fldCharType="end"/>
                          </w:r>
                          <w:r>
                            <w:rPr>
                              <w:rStyle w:val="36"/>
                              <w:rFonts w:hint="eastAsia" w:ascii="宋体" w:hAnsi="宋体"/>
                              <w:sz w:val="20"/>
                            </w:rPr>
                            <w:t xml:space="preserve">  </w:t>
                          </w:r>
                          <w:r>
                            <w:rPr>
                              <w:rStyle w:val="36"/>
                              <w:rFonts w:hint="eastAsia" w:ascii="宋体" w:hAnsi="宋体"/>
                              <w:sz w:val="28"/>
                              <w:szCs w:val="28"/>
                            </w:rPr>
                            <w:t>—</w:t>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IQ2sMBAACO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llmfPkCNabcBE9Pw3g+4NbMf0JlpDyra/EVCBOOo7umirhwSEfnRarlaVRgSGJsviM/un4cI6YP0&#10;lmSjoRHHV1Tlx0+QxtQ5JVdz/kYbU0Zo3H8OxMwelnsfe8xWGnbDRGjn2xPy6XHyDXW46JSYjw6F&#10;zUsyG3E2dpORa0B4d0hYuPSTUUeoqRiOqTCaVirvwb/3knX/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e8hDawwEAAI4DAAAOAAAAAAAAAAEAIAAAAB4BAABkcnMvZTJvRG9jLnhtbFBL&#10;BQYAAAAABgAGAFkBAABTBQAAAAA=&#10;">
              <v:fill on="f" focussize="0,0"/>
              <v:stroke on="f"/>
              <v:imagedata o:title=""/>
              <o:lock v:ext="edit" aspectratio="f"/>
              <v:textbox inset="0mm,0mm,0mm,0mm" style="mso-fit-shape-to-text:t;">
                <w:txbxContent>
                  <w:p>
                    <w:pPr>
                      <w:pStyle w:val="24"/>
                      <w:rPr>
                        <w:rStyle w:val="36"/>
                        <w:rFonts w:ascii="宋体" w:hAnsi="宋体"/>
                        <w:sz w:val="28"/>
                        <w:szCs w:val="28"/>
                      </w:rPr>
                    </w:pPr>
                    <w:r>
                      <w:rPr>
                        <w:rStyle w:val="36"/>
                        <w:rFonts w:hint="eastAsia" w:ascii="宋体" w:hAnsi="宋体"/>
                        <w:sz w:val="28"/>
                        <w:szCs w:val="28"/>
                      </w:rPr>
                      <w:t>—</w:t>
                    </w:r>
                    <w:r>
                      <w:rPr>
                        <w:rStyle w:val="36"/>
                        <w:rFonts w:hint="eastAsia" w:ascii="宋体" w:hAnsi="宋体"/>
                        <w:sz w:val="20"/>
                      </w:rPr>
                      <w:t xml:space="preserve">  </w:t>
                    </w:r>
                    <w:r>
                      <w:rPr>
                        <w:rFonts w:ascii="宋体" w:hAnsi="宋体"/>
                        <w:sz w:val="26"/>
                        <w:szCs w:val="26"/>
                      </w:rPr>
                      <w:fldChar w:fldCharType="begin"/>
                    </w:r>
                    <w:r>
                      <w:rPr>
                        <w:rStyle w:val="36"/>
                        <w:rFonts w:ascii="宋体" w:hAnsi="宋体"/>
                        <w:sz w:val="26"/>
                        <w:szCs w:val="26"/>
                      </w:rPr>
                      <w:instrText xml:space="preserve">PAGE  </w:instrText>
                    </w:r>
                    <w:r>
                      <w:rPr>
                        <w:rFonts w:ascii="宋体" w:hAnsi="宋体"/>
                        <w:sz w:val="26"/>
                        <w:szCs w:val="26"/>
                      </w:rPr>
                      <w:fldChar w:fldCharType="separate"/>
                    </w:r>
                    <w:r>
                      <w:rPr>
                        <w:rStyle w:val="36"/>
                        <w:rFonts w:ascii="宋体" w:hAnsi="宋体"/>
                        <w:sz w:val="26"/>
                        <w:szCs w:val="26"/>
                      </w:rPr>
                      <w:t>11</w:t>
                    </w:r>
                    <w:r>
                      <w:rPr>
                        <w:rFonts w:ascii="宋体" w:hAnsi="宋体"/>
                        <w:sz w:val="26"/>
                        <w:szCs w:val="26"/>
                      </w:rPr>
                      <w:fldChar w:fldCharType="end"/>
                    </w:r>
                    <w:r>
                      <w:rPr>
                        <w:rStyle w:val="36"/>
                        <w:rFonts w:hint="eastAsia" w:ascii="宋体" w:hAnsi="宋体"/>
                        <w:sz w:val="20"/>
                      </w:rPr>
                      <w:t xml:space="preserve">  </w:t>
                    </w:r>
                    <w:r>
                      <w:rPr>
                        <w:rStyle w:val="36"/>
                        <w:rFonts w:hint="eastAsia" w:ascii="宋体" w:hAnsi="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141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F8822"/>
    <w:multiLevelType w:val="singleLevel"/>
    <w:tmpl w:val="E13F8822"/>
    <w:lvl w:ilvl="0" w:tentative="0">
      <w:start w:val="1"/>
      <w:numFmt w:val="upperLetter"/>
      <w:suff w:val="nothing"/>
      <w:lvlText w:val="%1、"/>
      <w:lvlJc w:val="left"/>
    </w:lvl>
  </w:abstractNum>
  <w:abstractNum w:abstractNumId="1">
    <w:nsid w:val="EC951A2B"/>
    <w:multiLevelType w:val="singleLevel"/>
    <w:tmpl w:val="EC951A2B"/>
    <w:lvl w:ilvl="0" w:tentative="0">
      <w:start w:val="2"/>
      <w:numFmt w:val="chineseCounting"/>
      <w:suff w:val="nothing"/>
      <w:lvlText w:val="（%1）"/>
      <w:lvlJc w:val="left"/>
      <w:rPr>
        <w:rFonts w:hint="eastAsia"/>
      </w:rPr>
    </w:lvl>
  </w:abstractNum>
  <w:abstractNum w:abstractNumId="2">
    <w:nsid w:val="42FEDF72"/>
    <w:multiLevelType w:val="singleLevel"/>
    <w:tmpl w:val="42FEDF72"/>
    <w:lvl w:ilvl="0" w:tentative="0">
      <w:start w:val="1"/>
      <w:numFmt w:val="decimal"/>
      <w:suff w:val="nothing"/>
      <w:lvlText w:val="（%1）"/>
      <w:lvlJc w:val="left"/>
    </w:lvl>
  </w:abstractNum>
  <w:abstractNum w:abstractNumId="3">
    <w:nsid w:val="4AE9A93B"/>
    <w:multiLevelType w:val="singleLevel"/>
    <w:tmpl w:val="4AE9A93B"/>
    <w:lvl w:ilvl="0" w:tentative="0">
      <w:start w:val="5"/>
      <w:numFmt w:val="chineseCounting"/>
      <w:suff w:val="nothing"/>
      <w:lvlText w:val="%1、"/>
      <w:lvlJc w:val="left"/>
      <w:rPr>
        <w:rFonts w:hint="eastAsia"/>
      </w:rPr>
    </w:lvl>
  </w:abstractNum>
  <w:abstractNum w:abstractNumId="4">
    <w:nsid w:val="5294B724"/>
    <w:multiLevelType w:val="singleLevel"/>
    <w:tmpl w:val="5294B724"/>
    <w:lvl w:ilvl="0" w:tentative="0">
      <w:start w:val="1"/>
      <w:numFmt w:val="decimal"/>
      <w:lvlText w:val="(%1)"/>
      <w:lvlJc w:val="left"/>
      <w:pPr>
        <w:tabs>
          <w:tab w:val="left" w:pos="312"/>
        </w:tabs>
      </w:pPr>
    </w:lvl>
  </w:abstractNum>
  <w:abstractNum w:abstractNumId="5">
    <w:nsid w:val="59486518"/>
    <w:multiLevelType w:val="multilevel"/>
    <w:tmpl w:val="5948651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
    <w:nsid w:val="5AB2C717"/>
    <w:multiLevelType w:val="singleLevel"/>
    <w:tmpl w:val="5AB2C717"/>
    <w:lvl w:ilvl="0" w:tentative="0">
      <w:start w:val="1"/>
      <w:numFmt w:val="chineseCounting"/>
      <w:suff w:val="nothing"/>
      <w:lvlText w:val="（%1）"/>
      <w:lvlJc w:val="left"/>
      <w:rPr>
        <w:rFonts w:hint="eastAsia"/>
      </w:rPr>
    </w:lvl>
  </w:abstractNum>
  <w:abstractNum w:abstractNumId="7">
    <w:nsid w:val="663A2391"/>
    <w:multiLevelType w:val="singleLevel"/>
    <w:tmpl w:val="663A2391"/>
    <w:lvl w:ilvl="0" w:tentative="0">
      <w:start w:val="1"/>
      <w:numFmt w:val="bullet"/>
      <w:pStyle w:val="21"/>
      <w:lvlText w:val=""/>
      <w:lvlJc w:val="left"/>
      <w:pPr>
        <w:tabs>
          <w:tab w:val="left" w:pos="2040"/>
        </w:tabs>
        <w:ind w:left="2040" w:hanging="360"/>
      </w:pPr>
      <w:rPr>
        <w:rFonts w:hint="default" w:ascii="Wingdings" w:hAnsi="Wingdings"/>
      </w:rPr>
    </w:lvl>
  </w:abstractNum>
  <w:num w:numId="1">
    <w:abstractNumId w:val="7"/>
  </w:num>
  <w:num w:numId="2">
    <w:abstractNumId w:val="2"/>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NhZTFmMzJlMTA5NmFjODU5NzFhZDJlM2NkYmYifQ=="/>
  </w:docVars>
  <w:rsids>
    <w:rsidRoot w:val="00172A27"/>
    <w:rsid w:val="00000106"/>
    <w:rsid w:val="000060B3"/>
    <w:rsid w:val="0004364B"/>
    <w:rsid w:val="000543CC"/>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05D0A"/>
    <w:rsid w:val="00131F42"/>
    <w:rsid w:val="001357F1"/>
    <w:rsid w:val="00140FA8"/>
    <w:rsid w:val="00142FEB"/>
    <w:rsid w:val="00143A2D"/>
    <w:rsid w:val="00145A41"/>
    <w:rsid w:val="00151675"/>
    <w:rsid w:val="00155EE4"/>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C7264"/>
    <w:rsid w:val="001D5595"/>
    <w:rsid w:val="001D7874"/>
    <w:rsid w:val="001D7F22"/>
    <w:rsid w:val="001F0F17"/>
    <w:rsid w:val="001F3347"/>
    <w:rsid w:val="001F69E4"/>
    <w:rsid w:val="00211B66"/>
    <w:rsid w:val="002125B4"/>
    <w:rsid w:val="002155B8"/>
    <w:rsid w:val="00223105"/>
    <w:rsid w:val="00224839"/>
    <w:rsid w:val="002249B2"/>
    <w:rsid w:val="00226574"/>
    <w:rsid w:val="002278EC"/>
    <w:rsid w:val="0023280E"/>
    <w:rsid w:val="002377D1"/>
    <w:rsid w:val="002506BC"/>
    <w:rsid w:val="00254345"/>
    <w:rsid w:val="00264557"/>
    <w:rsid w:val="002805AB"/>
    <w:rsid w:val="00284204"/>
    <w:rsid w:val="00291773"/>
    <w:rsid w:val="0029559C"/>
    <w:rsid w:val="002A168C"/>
    <w:rsid w:val="002A3DC7"/>
    <w:rsid w:val="002A5F28"/>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4792"/>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0F8C"/>
    <w:rsid w:val="003F6A8C"/>
    <w:rsid w:val="003F755C"/>
    <w:rsid w:val="00406F01"/>
    <w:rsid w:val="00416D50"/>
    <w:rsid w:val="00416FD5"/>
    <w:rsid w:val="00417772"/>
    <w:rsid w:val="00420E6A"/>
    <w:rsid w:val="00425A9E"/>
    <w:rsid w:val="00426D6B"/>
    <w:rsid w:val="00431E6C"/>
    <w:rsid w:val="00433CE7"/>
    <w:rsid w:val="00434C7C"/>
    <w:rsid w:val="00452738"/>
    <w:rsid w:val="00456091"/>
    <w:rsid w:val="00456121"/>
    <w:rsid w:val="00466321"/>
    <w:rsid w:val="00471E67"/>
    <w:rsid w:val="00477270"/>
    <w:rsid w:val="00484B9B"/>
    <w:rsid w:val="004855F6"/>
    <w:rsid w:val="0048661E"/>
    <w:rsid w:val="004928AF"/>
    <w:rsid w:val="00494670"/>
    <w:rsid w:val="004A1426"/>
    <w:rsid w:val="004A3823"/>
    <w:rsid w:val="004E6946"/>
    <w:rsid w:val="004F1AD8"/>
    <w:rsid w:val="005039CB"/>
    <w:rsid w:val="0050558F"/>
    <w:rsid w:val="00506286"/>
    <w:rsid w:val="00510813"/>
    <w:rsid w:val="00511990"/>
    <w:rsid w:val="00511DE0"/>
    <w:rsid w:val="00514870"/>
    <w:rsid w:val="00514B9B"/>
    <w:rsid w:val="00517F02"/>
    <w:rsid w:val="00521A7F"/>
    <w:rsid w:val="00524303"/>
    <w:rsid w:val="005258A2"/>
    <w:rsid w:val="00533B4E"/>
    <w:rsid w:val="0053672B"/>
    <w:rsid w:val="005401AE"/>
    <w:rsid w:val="00542E07"/>
    <w:rsid w:val="00545424"/>
    <w:rsid w:val="00554A7B"/>
    <w:rsid w:val="0055572C"/>
    <w:rsid w:val="0056106A"/>
    <w:rsid w:val="005720AE"/>
    <w:rsid w:val="00583FAA"/>
    <w:rsid w:val="00594D77"/>
    <w:rsid w:val="005969E4"/>
    <w:rsid w:val="005A06B7"/>
    <w:rsid w:val="005A1759"/>
    <w:rsid w:val="005A68A7"/>
    <w:rsid w:val="005D36AB"/>
    <w:rsid w:val="005E6F64"/>
    <w:rsid w:val="005F5C97"/>
    <w:rsid w:val="00617CC3"/>
    <w:rsid w:val="006377A6"/>
    <w:rsid w:val="00637A3D"/>
    <w:rsid w:val="006411EF"/>
    <w:rsid w:val="006748B8"/>
    <w:rsid w:val="006775C3"/>
    <w:rsid w:val="006922DA"/>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762D5"/>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9675F"/>
    <w:rsid w:val="008A2F4E"/>
    <w:rsid w:val="008A2F68"/>
    <w:rsid w:val="008B4FA6"/>
    <w:rsid w:val="008B5282"/>
    <w:rsid w:val="008B7C17"/>
    <w:rsid w:val="008C2D01"/>
    <w:rsid w:val="008C366E"/>
    <w:rsid w:val="008C40E6"/>
    <w:rsid w:val="008D0F7A"/>
    <w:rsid w:val="008D1849"/>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6657C"/>
    <w:rsid w:val="00976328"/>
    <w:rsid w:val="0097680D"/>
    <w:rsid w:val="00982438"/>
    <w:rsid w:val="0098404C"/>
    <w:rsid w:val="00985283"/>
    <w:rsid w:val="00995992"/>
    <w:rsid w:val="009A03E5"/>
    <w:rsid w:val="009A0F3B"/>
    <w:rsid w:val="009A1BB4"/>
    <w:rsid w:val="009A2628"/>
    <w:rsid w:val="009A3200"/>
    <w:rsid w:val="009B0897"/>
    <w:rsid w:val="009B66C1"/>
    <w:rsid w:val="009B7BD9"/>
    <w:rsid w:val="009C7DD5"/>
    <w:rsid w:val="009E227D"/>
    <w:rsid w:val="009E5019"/>
    <w:rsid w:val="00A04F1B"/>
    <w:rsid w:val="00A0501B"/>
    <w:rsid w:val="00A14947"/>
    <w:rsid w:val="00A27F9F"/>
    <w:rsid w:val="00A32A83"/>
    <w:rsid w:val="00A32BAB"/>
    <w:rsid w:val="00A368DB"/>
    <w:rsid w:val="00A423AA"/>
    <w:rsid w:val="00A53EC6"/>
    <w:rsid w:val="00A55C0F"/>
    <w:rsid w:val="00A64066"/>
    <w:rsid w:val="00A8713F"/>
    <w:rsid w:val="00A90BA1"/>
    <w:rsid w:val="00A97A9A"/>
    <w:rsid w:val="00AA0671"/>
    <w:rsid w:val="00AA2531"/>
    <w:rsid w:val="00AB1E09"/>
    <w:rsid w:val="00AB5330"/>
    <w:rsid w:val="00AB7747"/>
    <w:rsid w:val="00AC14CE"/>
    <w:rsid w:val="00AC2A56"/>
    <w:rsid w:val="00AC72B9"/>
    <w:rsid w:val="00AD055E"/>
    <w:rsid w:val="00AD47A7"/>
    <w:rsid w:val="00AF0CBF"/>
    <w:rsid w:val="00AF257F"/>
    <w:rsid w:val="00AF33CF"/>
    <w:rsid w:val="00AF4D50"/>
    <w:rsid w:val="00AF6179"/>
    <w:rsid w:val="00B0675F"/>
    <w:rsid w:val="00B1295A"/>
    <w:rsid w:val="00B20A45"/>
    <w:rsid w:val="00B22C5C"/>
    <w:rsid w:val="00B24F30"/>
    <w:rsid w:val="00B31ABF"/>
    <w:rsid w:val="00B33BE3"/>
    <w:rsid w:val="00B36D70"/>
    <w:rsid w:val="00B53B5D"/>
    <w:rsid w:val="00B6055E"/>
    <w:rsid w:val="00B6317D"/>
    <w:rsid w:val="00B7099E"/>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17FD3"/>
    <w:rsid w:val="00C2596A"/>
    <w:rsid w:val="00C27537"/>
    <w:rsid w:val="00C30F6B"/>
    <w:rsid w:val="00C328FE"/>
    <w:rsid w:val="00C33507"/>
    <w:rsid w:val="00C4409D"/>
    <w:rsid w:val="00C44E72"/>
    <w:rsid w:val="00C45A06"/>
    <w:rsid w:val="00C47E5B"/>
    <w:rsid w:val="00C61E4B"/>
    <w:rsid w:val="00C6320F"/>
    <w:rsid w:val="00C64BFF"/>
    <w:rsid w:val="00C704E9"/>
    <w:rsid w:val="00C763C9"/>
    <w:rsid w:val="00C80057"/>
    <w:rsid w:val="00C82232"/>
    <w:rsid w:val="00C82913"/>
    <w:rsid w:val="00C972B1"/>
    <w:rsid w:val="00CA2CCE"/>
    <w:rsid w:val="00CA43FD"/>
    <w:rsid w:val="00CA6A7A"/>
    <w:rsid w:val="00CA7EF8"/>
    <w:rsid w:val="00CC489B"/>
    <w:rsid w:val="00CD2BCD"/>
    <w:rsid w:val="00CD3A4C"/>
    <w:rsid w:val="00CD5314"/>
    <w:rsid w:val="00CE10E9"/>
    <w:rsid w:val="00CE2910"/>
    <w:rsid w:val="00CE5393"/>
    <w:rsid w:val="00CF36BE"/>
    <w:rsid w:val="00CF6000"/>
    <w:rsid w:val="00D003F3"/>
    <w:rsid w:val="00D0364F"/>
    <w:rsid w:val="00D06834"/>
    <w:rsid w:val="00D308ED"/>
    <w:rsid w:val="00D36D86"/>
    <w:rsid w:val="00D41A37"/>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3114F"/>
    <w:rsid w:val="00E412D0"/>
    <w:rsid w:val="00E56322"/>
    <w:rsid w:val="00E60982"/>
    <w:rsid w:val="00E62C62"/>
    <w:rsid w:val="00E654C1"/>
    <w:rsid w:val="00E65D97"/>
    <w:rsid w:val="00E72A5A"/>
    <w:rsid w:val="00E73354"/>
    <w:rsid w:val="00E9242D"/>
    <w:rsid w:val="00EA6914"/>
    <w:rsid w:val="00EB5255"/>
    <w:rsid w:val="00EB5C47"/>
    <w:rsid w:val="00ED0639"/>
    <w:rsid w:val="00EF4755"/>
    <w:rsid w:val="00EF7135"/>
    <w:rsid w:val="00F027DB"/>
    <w:rsid w:val="00F14A7A"/>
    <w:rsid w:val="00F22985"/>
    <w:rsid w:val="00F3383E"/>
    <w:rsid w:val="00F465A7"/>
    <w:rsid w:val="00F50B7C"/>
    <w:rsid w:val="00F550E6"/>
    <w:rsid w:val="00F6161F"/>
    <w:rsid w:val="00F74345"/>
    <w:rsid w:val="00F80A0A"/>
    <w:rsid w:val="00F82B19"/>
    <w:rsid w:val="00F9212D"/>
    <w:rsid w:val="00F965DA"/>
    <w:rsid w:val="00FA406A"/>
    <w:rsid w:val="00FB503A"/>
    <w:rsid w:val="00FB516C"/>
    <w:rsid w:val="00FC2A31"/>
    <w:rsid w:val="00FD0236"/>
    <w:rsid w:val="00FD18F4"/>
    <w:rsid w:val="00FD54DB"/>
    <w:rsid w:val="00FD619F"/>
    <w:rsid w:val="01290F7E"/>
    <w:rsid w:val="015D1E09"/>
    <w:rsid w:val="016130EB"/>
    <w:rsid w:val="01990216"/>
    <w:rsid w:val="020D7219"/>
    <w:rsid w:val="021E44BA"/>
    <w:rsid w:val="0246659A"/>
    <w:rsid w:val="02494ECC"/>
    <w:rsid w:val="02697903"/>
    <w:rsid w:val="026A7F7F"/>
    <w:rsid w:val="02754C36"/>
    <w:rsid w:val="027D6E7A"/>
    <w:rsid w:val="02F179B8"/>
    <w:rsid w:val="02F96569"/>
    <w:rsid w:val="030560A3"/>
    <w:rsid w:val="030F6088"/>
    <w:rsid w:val="031B60F3"/>
    <w:rsid w:val="031E038B"/>
    <w:rsid w:val="035A3F4A"/>
    <w:rsid w:val="036E60A6"/>
    <w:rsid w:val="037472F8"/>
    <w:rsid w:val="0392710A"/>
    <w:rsid w:val="03A02DB9"/>
    <w:rsid w:val="03EA7B21"/>
    <w:rsid w:val="03F41225"/>
    <w:rsid w:val="04341254"/>
    <w:rsid w:val="044D2402"/>
    <w:rsid w:val="04743DAC"/>
    <w:rsid w:val="047F2DA2"/>
    <w:rsid w:val="04847154"/>
    <w:rsid w:val="04860E14"/>
    <w:rsid w:val="04905B3E"/>
    <w:rsid w:val="04E80917"/>
    <w:rsid w:val="050977E4"/>
    <w:rsid w:val="051C0460"/>
    <w:rsid w:val="0596513B"/>
    <w:rsid w:val="05D067A2"/>
    <w:rsid w:val="05F146D3"/>
    <w:rsid w:val="05F83EAE"/>
    <w:rsid w:val="06020D60"/>
    <w:rsid w:val="061C47A9"/>
    <w:rsid w:val="063E7D85"/>
    <w:rsid w:val="0645240D"/>
    <w:rsid w:val="06874486"/>
    <w:rsid w:val="0696086E"/>
    <w:rsid w:val="06BE5B7B"/>
    <w:rsid w:val="06E31F58"/>
    <w:rsid w:val="06FD1421"/>
    <w:rsid w:val="07293586"/>
    <w:rsid w:val="07295285"/>
    <w:rsid w:val="075B6A1A"/>
    <w:rsid w:val="07636392"/>
    <w:rsid w:val="07770C56"/>
    <w:rsid w:val="07AC7982"/>
    <w:rsid w:val="07B90603"/>
    <w:rsid w:val="07C442AC"/>
    <w:rsid w:val="07E3378F"/>
    <w:rsid w:val="07EF4EAA"/>
    <w:rsid w:val="07F36615"/>
    <w:rsid w:val="07F71107"/>
    <w:rsid w:val="081465CD"/>
    <w:rsid w:val="08162E72"/>
    <w:rsid w:val="083C511A"/>
    <w:rsid w:val="0858402D"/>
    <w:rsid w:val="08AF71E4"/>
    <w:rsid w:val="08EB2CBD"/>
    <w:rsid w:val="08FE3363"/>
    <w:rsid w:val="090D6477"/>
    <w:rsid w:val="090F0357"/>
    <w:rsid w:val="091003CA"/>
    <w:rsid w:val="091C6F33"/>
    <w:rsid w:val="092217DD"/>
    <w:rsid w:val="093A7294"/>
    <w:rsid w:val="09510A7C"/>
    <w:rsid w:val="09714A6C"/>
    <w:rsid w:val="09BC571E"/>
    <w:rsid w:val="09D75580"/>
    <w:rsid w:val="09E96D66"/>
    <w:rsid w:val="0A263993"/>
    <w:rsid w:val="0A2D2CAF"/>
    <w:rsid w:val="0A2D3AC2"/>
    <w:rsid w:val="0AA755DF"/>
    <w:rsid w:val="0B120D44"/>
    <w:rsid w:val="0B1D276A"/>
    <w:rsid w:val="0B2154E5"/>
    <w:rsid w:val="0B543B99"/>
    <w:rsid w:val="0B69087B"/>
    <w:rsid w:val="0BC93F9D"/>
    <w:rsid w:val="0BD27BF6"/>
    <w:rsid w:val="0C0E264F"/>
    <w:rsid w:val="0C304C60"/>
    <w:rsid w:val="0C3B3C7D"/>
    <w:rsid w:val="0C79662A"/>
    <w:rsid w:val="0C933DB6"/>
    <w:rsid w:val="0C940A11"/>
    <w:rsid w:val="0CAB2EAE"/>
    <w:rsid w:val="0CE72815"/>
    <w:rsid w:val="0D062877"/>
    <w:rsid w:val="0D115C07"/>
    <w:rsid w:val="0D416FDA"/>
    <w:rsid w:val="0D5A61C3"/>
    <w:rsid w:val="0D621C7D"/>
    <w:rsid w:val="0D643242"/>
    <w:rsid w:val="0DE00CB6"/>
    <w:rsid w:val="0E245572"/>
    <w:rsid w:val="0E292B05"/>
    <w:rsid w:val="0E591E2F"/>
    <w:rsid w:val="0E73034D"/>
    <w:rsid w:val="0E7473AC"/>
    <w:rsid w:val="0EB70D5C"/>
    <w:rsid w:val="0EDB721F"/>
    <w:rsid w:val="0EEF0CAE"/>
    <w:rsid w:val="0F13775A"/>
    <w:rsid w:val="0F5F45FE"/>
    <w:rsid w:val="0F630FC3"/>
    <w:rsid w:val="0F733789"/>
    <w:rsid w:val="0F900A8A"/>
    <w:rsid w:val="0F99129F"/>
    <w:rsid w:val="0F9A112B"/>
    <w:rsid w:val="0FA36690"/>
    <w:rsid w:val="0FA42481"/>
    <w:rsid w:val="0FC079FC"/>
    <w:rsid w:val="0FC226D4"/>
    <w:rsid w:val="0FEA7FB8"/>
    <w:rsid w:val="0FFB544E"/>
    <w:rsid w:val="10037093"/>
    <w:rsid w:val="102E53CE"/>
    <w:rsid w:val="106D2F64"/>
    <w:rsid w:val="10863630"/>
    <w:rsid w:val="108F3FC5"/>
    <w:rsid w:val="10963781"/>
    <w:rsid w:val="10B63710"/>
    <w:rsid w:val="10BA4596"/>
    <w:rsid w:val="10E11B68"/>
    <w:rsid w:val="10F10820"/>
    <w:rsid w:val="11133078"/>
    <w:rsid w:val="111B3CA2"/>
    <w:rsid w:val="111C2F7A"/>
    <w:rsid w:val="112873DC"/>
    <w:rsid w:val="11356B11"/>
    <w:rsid w:val="113C371A"/>
    <w:rsid w:val="11625934"/>
    <w:rsid w:val="11665CA1"/>
    <w:rsid w:val="11716B66"/>
    <w:rsid w:val="118D733C"/>
    <w:rsid w:val="11C00EF9"/>
    <w:rsid w:val="11E63EEB"/>
    <w:rsid w:val="12437C0D"/>
    <w:rsid w:val="12720067"/>
    <w:rsid w:val="12725909"/>
    <w:rsid w:val="12873B1B"/>
    <w:rsid w:val="12DE26B4"/>
    <w:rsid w:val="131D4A3C"/>
    <w:rsid w:val="13291396"/>
    <w:rsid w:val="134B4226"/>
    <w:rsid w:val="1352499F"/>
    <w:rsid w:val="13951726"/>
    <w:rsid w:val="13A27A23"/>
    <w:rsid w:val="13C16461"/>
    <w:rsid w:val="13CC66FB"/>
    <w:rsid w:val="14396509"/>
    <w:rsid w:val="143E3F7E"/>
    <w:rsid w:val="14412810"/>
    <w:rsid w:val="1449520B"/>
    <w:rsid w:val="1467040E"/>
    <w:rsid w:val="147D46EF"/>
    <w:rsid w:val="14D567F9"/>
    <w:rsid w:val="14DD2C3C"/>
    <w:rsid w:val="14F32798"/>
    <w:rsid w:val="151F77AB"/>
    <w:rsid w:val="15304812"/>
    <w:rsid w:val="153B04FA"/>
    <w:rsid w:val="153D3FB8"/>
    <w:rsid w:val="15520056"/>
    <w:rsid w:val="15AB6F48"/>
    <w:rsid w:val="15DB6356"/>
    <w:rsid w:val="15ED1A1C"/>
    <w:rsid w:val="15F55BB2"/>
    <w:rsid w:val="16087E1D"/>
    <w:rsid w:val="16122532"/>
    <w:rsid w:val="16161345"/>
    <w:rsid w:val="163207FB"/>
    <w:rsid w:val="163855B9"/>
    <w:rsid w:val="16774701"/>
    <w:rsid w:val="16C93EF5"/>
    <w:rsid w:val="17701D14"/>
    <w:rsid w:val="17735226"/>
    <w:rsid w:val="17956507"/>
    <w:rsid w:val="179C6F06"/>
    <w:rsid w:val="17D05690"/>
    <w:rsid w:val="17EA5F7A"/>
    <w:rsid w:val="17EF1B5C"/>
    <w:rsid w:val="180A4125"/>
    <w:rsid w:val="185645F2"/>
    <w:rsid w:val="185D28BB"/>
    <w:rsid w:val="1869446B"/>
    <w:rsid w:val="18845256"/>
    <w:rsid w:val="189F624C"/>
    <w:rsid w:val="18C13F1E"/>
    <w:rsid w:val="19293AEA"/>
    <w:rsid w:val="195F0AAC"/>
    <w:rsid w:val="196A01A7"/>
    <w:rsid w:val="197B7DF9"/>
    <w:rsid w:val="19966F04"/>
    <w:rsid w:val="19B13DE9"/>
    <w:rsid w:val="19B55C80"/>
    <w:rsid w:val="19BD31DA"/>
    <w:rsid w:val="1A01497A"/>
    <w:rsid w:val="1A1C66C0"/>
    <w:rsid w:val="1A257294"/>
    <w:rsid w:val="1A42393B"/>
    <w:rsid w:val="1A51290F"/>
    <w:rsid w:val="1A584291"/>
    <w:rsid w:val="1AAD45DE"/>
    <w:rsid w:val="1B046F80"/>
    <w:rsid w:val="1B3267B5"/>
    <w:rsid w:val="1B40161D"/>
    <w:rsid w:val="1B441859"/>
    <w:rsid w:val="1B6606B1"/>
    <w:rsid w:val="1B716318"/>
    <w:rsid w:val="1B813C63"/>
    <w:rsid w:val="1BE6789E"/>
    <w:rsid w:val="1BEF2D2A"/>
    <w:rsid w:val="1BF048DD"/>
    <w:rsid w:val="1C252021"/>
    <w:rsid w:val="1C2A3ADB"/>
    <w:rsid w:val="1C5E7925"/>
    <w:rsid w:val="1C882BB9"/>
    <w:rsid w:val="1CFD070F"/>
    <w:rsid w:val="1D0F1FA2"/>
    <w:rsid w:val="1D5F6196"/>
    <w:rsid w:val="1D6132A5"/>
    <w:rsid w:val="1D632EBE"/>
    <w:rsid w:val="1D8E3FE2"/>
    <w:rsid w:val="1D8E56D5"/>
    <w:rsid w:val="1DB15BC9"/>
    <w:rsid w:val="1DBB0E8E"/>
    <w:rsid w:val="1DCD6CA3"/>
    <w:rsid w:val="1DEA0062"/>
    <w:rsid w:val="1DF51610"/>
    <w:rsid w:val="1E2B7E0D"/>
    <w:rsid w:val="1E455778"/>
    <w:rsid w:val="1E4C76CB"/>
    <w:rsid w:val="1E54400D"/>
    <w:rsid w:val="1E63121F"/>
    <w:rsid w:val="1E7A43DA"/>
    <w:rsid w:val="1E815605"/>
    <w:rsid w:val="1EB520E8"/>
    <w:rsid w:val="1EE00481"/>
    <w:rsid w:val="1EFB1193"/>
    <w:rsid w:val="1F0B26A4"/>
    <w:rsid w:val="1F180825"/>
    <w:rsid w:val="1F3543D1"/>
    <w:rsid w:val="1F396E36"/>
    <w:rsid w:val="1F3C1F78"/>
    <w:rsid w:val="1F8F188F"/>
    <w:rsid w:val="1FBD5DDF"/>
    <w:rsid w:val="1FC35DD8"/>
    <w:rsid w:val="1FD2672E"/>
    <w:rsid w:val="1FDA4F3D"/>
    <w:rsid w:val="1FE7539E"/>
    <w:rsid w:val="205B1553"/>
    <w:rsid w:val="20671BE0"/>
    <w:rsid w:val="20963CB8"/>
    <w:rsid w:val="209D0D1F"/>
    <w:rsid w:val="20A27827"/>
    <w:rsid w:val="20A81A1B"/>
    <w:rsid w:val="20B07FB6"/>
    <w:rsid w:val="20B646FB"/>
    <w:rsid w:val="20B87680"/>
    <w:rsid w:val="20DC6620"/>
    <w:rsid w:val="213B74B1"/>
    <w:rsid w:val="21507EF7"/>
    <w:rsid w:val="215A2310"/>
    <w:rsid w:val="216F04D8"/>
    <w:rsid w:val="217E2260"/>
    <w:rsid w:val="217F028C"/>
    <w:rsid w:val="2183579A"/>
    <w:rsid w:val="21A77899"/>
    <w:rsid w:val="21DE318A"/>
    <w:rsid w:val="21DE41F7"/>
    <w:rsid w:val="21E0250F"/>
    <w:rsid w:val="21EF5B80"/>
    <w:rsid w:val="22006E76"/>
    <w:rsid w:val="22515385"/>
    <w:rsid w:val="22576990"/>
    <w:rsid w:val="225D6CE1"/>
    <w:rsid w:val="225F2AD3"/>
    <w:rsid w:val="226752A2"/>
    <w:rsid w:val="22A20FA7"/>
    <w:rsid w:val="22F47480"/>
    <w:rsid w:val="23921E9B"/>
    <w:rsid w:val="23DE1C48"/>
    <w:rsid w:val="23F3423A"/>
    <w:rsid w:val="240210CD"/>
    <w:rsid w:val="24117D16"/>
    <w:rsid w:val="2419493C"/>
    <w:rsid w:val="24520B81"/>
    <w:rsid w:val="248C6AA2"/>
    <w:rsid w:val="248F3D6A"/>
    <w:rsid w:val="24BF09F7"/>
    <w:rsid w:val="24E25AE6"/>
    <w:rsid w:val="24ED63A1"/>
    <w:rsid w:val="25145D5F"/>
    <w:rsid w:val="25263BD7"/>
    <w:rsid w:val="252D53FE"/>
    <w:rsid w:val="252E3D1B"/>
    <w:rsid w:val="254003C4"/>
    <w:rsid w:val="25B75F7D"/>
    <w:rsid w:val="25EC2D81"/>
    <w:rsid w:val="25F10BEC"/>
    <w:rsid w:val="26030FC9"/>
    <w:rsid w:val="26193926"/>
    <w:rsid w:val="262A2531"/>
    <w:rsid w:val="266F0C71"/>
    <w:rsid w:val="267A53F0"/>
    <w:rsid w:val="267B499F"/>
    <w:rsid w:val="26800FCC"/>
    <w:rsid w:val="26966275"/>
    <w:rsid w:val="26A51ADF"/>
    <w:rsid w:val="26D64007"/>
    <w:rsid w:val="26EE2542"/>
    <w:rsid w:val="27646A9C"/>
    <w:rsid w:val="277057A2"/>
    <w:rsid w:val="278812EB"/>
    <w:rsid w:val="279952A9"/>
    <w:rsid w:val="27C67F21"/>
    <w:rsid w:val="27D919B5"/>
    <w:rsid w:val="27F36D6B"/>
    <w:rsid w:val="28085C47"/>
    <w:rsid w:val="28164755"/>
    <w:rsid w:val="284524C1"/>
    <w:rsid w:val="28524A62"/>
    <w:rsid w:val="287D7D0C"/>
    <w:rsid w:val="289E0862"/>
    <w:rsid w:val="28C87089"/>
    <w:rsid w:val="28EB0C2F"/>
    <w:rsid w:val="29206EB8"/>
    <w:rsid w:val="29264159"/>
    <w:rsid w:val="292C2CB7"/>
    <w:rsid w:val="2945526D"/>
    <w:rsid w:val="29595666"/>
    <w:rsid w:val="295F6920"/>
    <w:rsid w:val="2961005D"/>
    <w:rsid w:val="29874881"/>
    <w:rsid w:val="29B8730F"/>
    <w:rsid w:val="29DD440B"/>
    <w:rsid w:val="29E325E0"/>
    <w:rsid w:val="29FD7826"/>
    <w:rsid w:val="2A125E04"/>
    <w:rsid w:val="2A452503"/>
    <w:rsid w:val="2ABE0808"/>
    <w:rsid w:val="2AEA4B61"/>
    <w:rsid w:val="2AF26F65"/>
    <w:rsid w:val="2B0C7065"/>
    <w:rsid w:val="2B191EEE"/>
    <w:rsid w:val="2BA936A8"/>
    <w:rsid w:val="2BB36B7D"/>
    <w:rsid w:val="2BD00358"/>
    <w:rsid w:val="2C1A44DE"/>
    <w:rsid w:val="2C2372FA"/>
    <w:rsid w:val="2C315A5A"/>
    <w:rsid w:val="2C4B1C25"/>
    <w:rsid w:val="2C597EEF"/>
    <w:rsid w:val="2C7D1A05"/>
    <w:rsid w:val="2C8B0D64"/>
    <w:rsid w:val="2CCE7BBD"/>
    <w:rsid w:val="2D1E271E"/>
    <w:rsid w:val="2D47243F"/>
    <w:rsid w:val="2D580E67"/>
    <w:rsid w:val="2D60420C"/>
    <w:rsid w:val="2D856BEC"/>
    <w:rsid w:val="2D9E56F5"/>
    <w:rsid w:val="2DAA1932"/>
    <w:rsid w:val="2DD240A1"/>
    <w:rsid w:val="2DEC744F"/>
    <w:rsid w:val="2DF91615"/>
    <w:rsid w:val="2E1609D3"/>
    <w:rsid w:val="2E2E435C"/>
    <w:rsid w:val="2E4528FC"/>
    <w:rsid w:val="2E565881"/>
    <w:rsid w:val="2E667F96"/>
    <w:rsid w:val="2E711609"/>
    <w:rsid w:val="2E726B25"/>
    <w:rsid w:val="2E7554B1"/>
    <w:rsid w:val="2E8226AB"/>
    <w:rsid w:val="2E94389C"/>
    <w:rsid w:val="2EC43410"/>
    <w:rsid w:val="2EC66869"/>
    <w:rsid w:val="2EDE1B52"/>
    <w:rsid w:val="2EF34AC9"/>
    <w:rsid w:val="2F1B01DD"/>
    <w:rsid w:val="2F345E03"/>
    <w:rsid w:val="2F5162BA"/>
    <w:rsid w:val="2F7D23CB"/>
    <w:rsid w:val="2F904AFB"/>
    <w:rsid w:val="2F916674"/>
    <w:rsid w:val="2FA33530"/>
    <w:rsid w:val="2FA8676C"/>
    <w:rsid w:val="2FA954B0"/>
    <w:rsid w:val="2FAD0853"/>
    <w:rsid w:val="2FBE1483"/>
    <w:rsid w:val="2FCF5A45"/>
    <w:rsid w:val="2FD065E6"/>
    <w:rsid w:val="2FD96870"/>
    <w:rsid w:val="2FE31AD2"/>
    <w:rsid w:val="2FF57A1C"/>
    <w:rsid w:val="30283D73"/>
    <w:rsid w:val="303560CE"/>
    <w:rsid w:val="3050461E"/>
    <w:rsid w:val="30580BC9"/>
    <w:rsid w:val="30A63CC6"/>
    <w:rsid w:val="30C25A2F"/>
    <w:rsid w:val="30E070EF"/>
    <w:rsid w:val="30FF2EAD"/>
    <w:rsid w:val="311B77D4"/>
    <w:rsid w:val="311E2ED7"/>
    <w:rsid w:val="315619EE"/>
    <w:rsid w:val="315C449C"/>
    <w:rsid w:val="315D437F"/>
    <w:rsid w:val="31651A05"/>
    <w:rsid w:val="316C6889"/>
    <w:rsid w:val="31B05E08"/>
    <w:rsid w:val="31B82709"/>
    <w:rsid w:val="31D05482"/>
    <w:rsid w:val="31D07744"/>
    <w:rsid w:val="320F3EE4"/>
    <w:rsid w:val="32133015"/>
    <w:rsid w:val="32207918"/>
    <w:rsid w:val="32230A25"/>
    <w:rsid w:val="32400B34"/>
    <w:rsid w:val="324E7FF4"/>
    <w:rsid w:val="32572665"/>
    <w:rsid w:val="329E6876"/>
    <w:rsid w:val="32D77C88"/>
    <w:rsid w:val="32E47929"/>
    <w:rsid w:val="32E93136"/>
    <w:rsid w:val="32F34A1C"/>
    <w:rsid w:val="33053BE6"/>
    <w:rsid w:val="333015F2"/>
    <w:rsid w:val="33371B79"/>
    <w:rsid w:val="334358FC"/>
    <w:rsid w:val="33443C30"/>
    <w:rsid w:val="334B6320"/>
    <w:rsid w:val="334C7380"/>
    <w:rsid w:val="33666FF1"/>
    <w:rsid w:val="336F01A8"/>
    <w:rsid w:val="337D1DE2"/>
    <w:rsid w:val="338E4A99"/>
    <w:rsid w:val="33CD485B"/>
    <w:rsid w:val="33D1227A"/>
    <w:rsid w:val="33D934D4"/>
    <w:rsid w:val="33F36464"/>
    <w:rsid w:val="33FE2F6A"/>
    <w:rsid w:val="340E07E5"/>
    <w:rsid w:val="3416559D"/>
    <w:rsid w:val="341A7D33"/>
    <w:rsid w:val="34235BF7"/>
    <w:rsid w:val="34702825"/>
    <w:rsid w:val="34933DD4"/>
    <w:rsid w:val="34BA4111"/>
    <w:rsid w:val="34CD705B"/>
    <w:rsid w:val="353C16BC"/>
    <w:rsid w:val="356D4F9D"/>
    <w:rsid w:val="358641FD"/>
    <w:rsid w:val="358C5FA8"/>
    <w:rsid w:val="359416AE"/>
    <w:rsid w:val="35BB7D1F"/>
    <w:rsid w:val="35C15DF1"/>
    <w:rsid w:val="35D6331F"/>
    <w:rsid w:val="35E12C8E"/>
    <w:rsid w:val="35EB3299"/>
    <w:rsid w:val="35FE20AF"/>
    <w:rsid w:val="36074A7F"/>
    <w:rsid w:val="360D29C8"/>
    <w:rsid w:val="361C5DEB"/>
    <w:rsid w:val="361D4F94"/>
    <w:rsid w:val="362A0182"/>
    <w:rsid w:val="364C0EFB"/>
    <w:rsid w:val="366E3F64"/>
    <w:rsid w:val="36923549"/>
    <w:rsid w:val="36B75FBF"/>
    <w:rsid w:val="36BD0C45"/>
    <w:rsid w:val="36D90FD6"/>
    <w:rsid w:val="36E71942"/>
    <w:rsid w:val="37133D87"/>
    <w:rsid w:val="37172D68"/>
    <w:rsid w:val="37B80F10"/>
    <w:rsid w:val="37D33606"/>
    <w:rsid w:val="37DB2D06"/>
    <w:rsid w:val="37E00298"/>
    <w:rsid w:val="37EB7B3F"/>
    <w:rsid w:val="382519EF"/>
    <w:rsid w:val="385D6A23"/>
    <w:rsid w:val="38994F68"/>
    <w:rsid w:val="38B302F9"/>
    <w:rsid w:val="38F12CD3"/>
    <w:rsid w:val="38F67B83"/>
    <w:rsid w:val="38F94775"/>
    <w:rsid w:val="391C02F3"/>
    <w:rsid w:val="392971ED"/>
    <w:rsid w:val="39325651"/>
    <w:rsid w:val="39554F75"/>
    <w:rsid w:val="396A563A"/>
    <w:rsid w:val="396D6ECE"/>
    <w:rsid w:val="39BB2CAB"/>
    <w:rsid w:val="39CA2BC5"/>
    <w:rsid w:val="39E97402"/>
    <w:rsid w:val="3A501F38"/>
    <w:rsid w:val="3A7726A3"/>
    <w:rsid w:val="3A872856"/>
    <w:rsid w:val="3A9F7E02"/>
    <w:rsid w:val="3AFD5237"/>
    <w:rsid w:val="3B0A5E29"/>
    <w:rsid w:val="3B3763D1"/>
    <w:rsid w:val="3B4D6492"/>
    <w:rsid w:val="3BB64DEA"/>
    <w:rsid w:val="3BB663E5"/>
    <w:rsid w:val="3C18323E"/>
    <w:rsid w:val="3C2F6E1E"/>
    <w:rsid w:val="3C342F13"/>
    <w:rsid w:val="3C373897"/>
    <w:rsid w:val="3C3D079C"/>
    <w:rsid w:val="3C4452EA"/>
    <w:rsid w:val="3C4F64BA"/>
    <w:rsid w:val="3C5928B0"/>
    <w:rsid w:val="3CDA245A"/>
    <w:rsid w:val="3D020876"/>
    <w:rsid w:val="3D170DEA"/>
    <w:rsid w:val="3D1E06B7"/>
    <w:rsid w:val="3D421E06"/>
    <w:rsid w:val="3D5A0B79"/>
    <w:rsid w:val="3D6D3B83"/>
    <w:rsid w:val="3D72372C"/>
    <w:rsid w:val="3E104017"/>
    <w:rsid w:val="3E332389"/>
    <w:rsid w:val="3E660A3B"/>
    <w:rsid w:val="3E6A025E"/>
    <w:rsid w:val="3EDA0523"/>
    <w:rsid w:val="3F1D5C5C"/>
    <w:rsid w:val="3F3E6DD2"/>
    <w:rsid w:val="3F76414B"/>
    <w:rsid w:val="3F85150B"/>
    <w:rsid w:val="3F885B04"/>
    <w:rsid w:val="3F9410E8"/>
    <w:rsid w:val="3FFB2B16"/>
    <w:rsid w:val="3FFE66B6"/>
    <w:rsid w:val="40180D21"/>
    <w:rsid w:val="405B04B1"/>
    <w:rsid w:val="406353A6"/>
    <w:rsid w:val="40700120"/>
    <w:rsid w:val="407A6407"/>
    <w:rsid w:val="408F7B29"/>
    <w:rsid w:val="40953BC7"/>
    <w:rsid w:val="40A51A55"/>
    <w:rsid w:val="40AC2859"/>
    <w:rsid w:val="40D901C1"/>
    <w:rsid w:val="40DD79B5"/>
    <w:rsid w:val="40F07BB0"/>
    <w:rsid w:val="416B1775"/>
    <w:rsid w:val="41A74FDC"/>
    <w:rsid w:val="41C85040"/>
    <w:rsid w:val="4200449D"/>
    <w:rsid w:val="423009B4"/>
    <w:rsid w:val="423A3BCC"/>
    <w:rsid w:val="424E57D2"/>
    <w:rsid w:val="425A02DC"/>
    <w:rsid w:val="42957B12"/>
    <w:rsid w:val="42B26C49"/>
    <w:rsid w:val="43034564"/>
    <w:rsid w:val="43273210"/>
    <w:rsid w:val="4329643C"/>
    <w:rsid w:val="433A6FE6"/>
    <w:rsid w:val="433F0D5C"/>
    <w:rsid w:val="43480868"/>
    <w:rsid w:val="4350713C"/>
    <w:rsid w:val="435941F1"/>
    <w:rsid w:val="436653E0"/>
    <w:rsid w:val="436B1094"/>
    <w:rsid w:val="4399036C"/>
    <w:rsid w:val="43C4431A"/>
    <w:rsid w:val="43DF7E12"/>
    <w:rsid w:val="43E814B4"/>
    <w:rsid w:val="43F80BBA"/>
    <w:rsid w:val="440C719A"/>
    <w:rsid w:val="44116432"/>
    <w:rsid w:val="441D262C"/>
    <w:rsid w:val="44AD0EBD"/>
    <w:rsid w:val="44B951CC"/>
    <w:rsid w:val="44C355C4"/>
    <w:rsid w:val="44CD14E0"/>
    <w:rsid w:val="44F20B0B"/>
    <w:rsid w:val="44F8458E"/>
    <w:rsid w:val="450E0CAE"/>
    <w:rsid w:val="45173EE8"/>
    <w:rsid w:val="45202DCD"/>
    <w:rsid w:val="452E5F4C"/>
    <w:rsid w:val="45612018"/>
    <w:rsid w:val="458946E9"/>
    <w:rsid w:val="459050A5"/>
    <w:rsid w:val="459E5A72"/>
    <w:rsid w:val="45A47C0E"/>
    <w:rsid w:val="45AB166D"/>
    <w:rsid w:val="45DC0B0B"/>
    <w:rsid w:val="45DF6BAF"/>
    <w:rsid w:val="460802DF"/>
    <w:rsid w:val="46577FD6"/>
    <w:rsid w:val="46610E84"/>
    <w:rsid w:val="46A637CB"/>
    <w:rsid w:val="46CE1CE7"/>
    <w:rsid w:val="46D955A7"/>
    <w:rsid w:val="46F04196"/>
    <w:rsid w:val="470603E8"/>
    <w:rsid w:val="47133957"/>
    <w:rsid w:val="472B1837"/>
    <w:rsid w:val="47666BD1"/>
    <w:rsid w:val="47767D66"/>
    <w:rsid w:val="479F0B82"/>
    <w:rsid w:val="47A07E0C"/>
    <w:rsid w:val="47B45E53"/>
    <w:rsid w:val="47E215B4"/>
    <w:rsid w:val="47E32BDC"/>
    <w:rsid w:val="480614F5"/>
    <w:rsid w:val="480F7DEA"/>
    <w:rsid w:val="483A1661"/>
    <w:rsid w:val="485B33EB"/>
    <w:rsid w:val="486F6F46"/>
    <w:rsid w:val="4870272E"/>
    <w:rsid w:val="48B05CBC"/>
    <w:rsid w:val="48C9414A"/>
    <w:rsid w:val="48CC18F2"/>
    <w:rsid w:val="48D53BE1"/>
    <w:rsid w:val="48EC1ED4"/>
    <w:rsid w:val="49177B0D"/>
    <w:rsid w:val="493319DD"/>
    <w:rsid w:val="49DC7715"/>
    <w:rsid w:val="4A023139"/>
    <w:rsid w:val="4A112779"/>
    <w:rsid w:val="4A420661"/>
    <w:rsid w:val="4A476DAD"/>
    <w:rsid w:val="4A5E47CC"/>
    <w:rsid w:val="4A7B576F"/>
    <w:rsid w:val="4AA62C09"/>
    <w:rsid w:val="4AC408E4"/>
    <w:rsid w:val="4AE361B4"/>
    <w:rsid w:val="4AF561A9"/>
    <w:rsid w:val="4B0D4243"/>
    <w:rsid w:val="4B0D6B9A"/>
    <w:rsid w:val="4B147C35"/>
    <w:rsid w:val="4B2F1F61"/>
    <w:rsid w:val="4B3A1D5E"/>
    <w:rsid w:val="4B856BD7"/>
    <w:rsid w:val="4B9550DB"/>
    <w:rsid w:val="4BA63F51"/>
    <w:rsid w:val="4BCF57F6"/>
    <w:rsid w:val="4BDD0AFD"/>
    <w:rsid w:val="4BF56892"/>
    <w:rsid w:val="4C2E3605"/>
    <w:rsid w:val="4C4A0649"/>
    <w:rsid w:val="4C5226A3"/>
    <w:rsid w:val="4C7E5ECA"/>
    <w:rsid w:val="4C876AA5"/>
    <w:rsid w:val="4CAA0AAD"/>
    <w:rsid w:val="4CAD0BB5"/>
    <w:rsid w:val="4CB04CC0"/>
    <w:rsid w:val="4CD10A2C"/>
    <w:rsid w:val="4D0E00FB"/>
    <w:rsid w:val="4D16458C"/>
    <w:rsid w:val="4D176606"/>
    <w:rsid w:val="4D587BF8"/>
    <w:rsid w:val="4D7001EC"/>
    <w:rsid w:val="4D801BF3"/>
    <w:rsid w:val="4D880D6A"/>
    <w:rsid w:val="4DBF7A28"/>
    <w:rsid w:val="4DEC4FB0"/>
    <w:rsid w:val="4DF12B6F"/>
    <w:rsid w:val="4DF200CA"/>
    <w:rsid w:val="4DFA5E64"/>
    <w:rsid w:val="4DFE10C7"/>
    <w:rsid w:val="4E075D8A"/>
    <w:rsid w:val="4E3F6C93"/>
    <w:rsid w:val="4EA165C3"/>
    <w:rsid w:val="4EA53DD6"/>
    <w:rsid w:val="4EB14C0F"/>
    <w:rsid w:val="4EC00FAD"/>
    <w:rsid w:val="4F9563E9"/>
    <w:rsid w:val="4F9843DC"/>
    <w:rsid w:val="4F9E2F1E"/>
    <w:rsid w:val="4FC62A8C"/>
    <w:rsid w:val="4FE20F0D"/>
    <w:rsid w:val="4FE51552"/>
    <w:rsid w:val="50130821"/>
    <w:rsid w:val="50504C4B"/>
    <w:rsid w:val="50672190"/>
    <w:rsid w:val="509C6E7C"/>
    <w:rsid w:val="50DE0552"/>
    <w:rsid w:val="50F92314"/>
    <w:rsid w:val="514E57A5"/>
    <w:rsid w:val="51617B57"/>
    <w:rsid w:val="5162104E"/>
    <w:rsid w:val="519A258E"/>
    <w:rsid w:val="51EC649B"/>
    <w:rsid w:val="522A611F"/>
    <w:rsid w:val="524D493D"/>
    <w:rsid w:val="52552C07"/>
    <w:rsid w:val="526C075F"/>
    <w:rsid w:val="529D1584"/>
    <w:rsid w:val="52E4399A"/>
    <w:rsid w:val="52E75AB2"/>
    <w:rsid w:val="52EA0FBF"/>
    <w:rsid w:val="53024B3F"/>
    <w:rsid w:val="53034B35"/>
    <w:rsid w:val="530E04F0"/>
    <w:rsid w:val="534E1C07"/>
    <w:rsid w:val="535500C9"/>
    <w:rsid w:val="5361780D"/>
    <w:rsid w:val="53690469"/>
    <w:rsid w:val="53752D00"/>
    <w:rsid w:val="53A02B63"/>
    <w:rsid w:val="53A039CC"/>
    <w:rsid w:val="53A1505A"/>
    <w:rsid w:val="53D012CF"/>
    <w:rsid w:val="53E520B4"/>
    <w:rsid w:val="54063E08"/>
    <w:rsid w:val="54314B72"/>
    <w:rsid w:val="543437E8"/>
    <w:rsid w:val="548459B6"/>
    <w:rsid w:val="548C3B38"/>
    <w:rsid w:val="54975456"/>
    <w:rsid w:val="549D32A6"/>
    <w:rsid w:val="54AC322C"/>
    <w:rsid w:val="54D90C6B"/>
    <w:rsid w:val="54DD775A"/>
    <w:rsid w:val="54F73313"/>
    <w:rsid w:val="54F80955"/>
    <w:rsid w:val="555170A7"/>
    <w:rsid w:val="556D403D"/>
    <w:rsid w:val="5577607E"/>
    <w:rsid w:val="5587536D"/>
    <w:rsid w:val="559B174B"/>
    <w:rsid w:val="55A16125"/>
    <w:rsid w:val="55AF1344"/>
    <w:rsid w:val="55CE0CF4"/>
    <w:rsid w:val="562A6031"/>
    <w:rsid w:val="565F18AC"/>
    <w:rsid w:val="566003CD"/>
    <w:rsid w:val="56B22A9C"/>
    <w:rsid w:val="56D92400"/>
    <w:rsid w:val="56FA762A"/>
    <w:rsid w:val="57034309"/>
    <w:rsid w:val="574436DA"/>
    <w:rsid w:val="57503DEE"/>
    <w:rsid w:val="57601B83"/>
    <w:rsid w:val="577C6FC3"/>
    <w:rsid w:val="57B72A76"/>
    <w:rsid w:val="57C3426C"/>
    <w:rsid w:val="57CE1F93"/>
    <w:rsid w:val="57E200A3"/>
    <w:rsid w:val="58403BE0"/>
    <w:rsid w:val="5845799F"/>
    <w:rsid w:val="586D5450"/>
    <w:rsid w:val="588378F8"/>
    <w:rsid w:val="588743D1"/>
    <w:rsid w:val="5887701A"/>
    <w:rsid w:val="588A40DB"/>
    <w:rsid w:val="58AA11EA"/>
    <w:rsid w:val="58B11A27"/>
    <w:rsid w:val="58D41C07"/>
    <w:rsid w:val="58E460CF"/>
    <w:rsid w:val="58E52E67"/>
    <w:rsid w:val="590E1578"/>
    <w:rsid w:val="5945561B"/>
    <w:rsid w:val="597040A3"/>
    <w:rsid w:val="59B81BCF"/>
    <w:rsid w:val="59C0439F"/>
    <w:rsid w:val="59EB03CD"/>
    <w:rsid w:val="59EE26F0"/>
    <w:rsid w:val="5A1C3233"/>
    <w:rsid w:val="5A2F1A45"/>
    <w:rsid w:val="5A387B5A"/>
    <w:rsid w:val="5A63577F"/>
    <w:rsid w:val="5A7458A3"/>
    <w:rsid w:val="5A7E3159"/>
    <w:rsid w:val="5A936435"/>
    <w:rsid w:val="5AAB4CAC"/>
    <w:rsid w:val="5ABE2233"/>
    <w:rsid w:val="5AC70954"/>
    <w:rsid w:val="5ACA35E0"/>
    <w:rsid w:val="5B185030"/>
    <w:rsid w:val="5B237159"/>
    <w:rsid w:val="5B24111A"/>
    <w:rsid w:val="5B3942C4"/>
    <w:rsid w:val="5B7412D6"/>
    <w:rsid w:val="5B762465"/>
    <w:rsid w:val="5BD70E12"/>
    <w:rsid w:val="5BDF5D95"/>
    <w:rsid w:val="5BFE1F5A"/>
    <w:rsid w:val="5BFE7528"/>
    <w:rsid w:val="5C563555"/>
    <w:rsid w:val="5C6159BE"/>
    <w:rsid w:val="5C784F3B"/>
    <w:rsid w:val="5C884E53"/>
    <w:rsid w:val="5CD75A8B"/>
    <w:rsid w:val="5D007E88"/>
    <w:rsid w:val="5D1651F6"/>
    <w:rsid w:val="5D552A4F"/>
    <w:rsid w:val="5DA17280"/>
    <w:rsid w:val="5DD50E01"/>
    <w:rsid w:val="5DDA5DA1"/>
    <w:rsid w:val="5DDF19CB"/>
    <w:rsid w:val="5DEA5D5E"/>
    <w:rsid w:val="5DFE5C52"/>
    <w:rsid w:val="5DFF097F"/>
    <w:rsid w:val="5E0A7399"/>
    <w:rsid w:val="5E19016A"/>
    <w:rsid w:val="5E2467F1"/>
    <w:rsid w:val="5E2F29E1"/>
    <w:rsid w:val="5E3D3D4D"/>
    <w:rsid w:val="5E63113D"/>
    <w:rsid w:val="5E823574"/>
    <w:rsid w:val="5EAD7B76"/>
    <w:rsid w:val="5EB74A92"/>
    <w:rsid w:val="5ED903A7"/>
    <w:rsid w:val="5F0D15F1"/>
    <w:rsid w:val="5F1A2B43"/>
    <w:rsid w:val="5F59417E"/>
    <w:rsid w:val="5F97635E"/>
    <w:rsid w:val="5F984D27"/>
    <w:rsid w:val="5FB837BB"/>
    <w:rsid w:val="5FCD3278"/>
    <w:rsid w:val="5FEE4C0C"/>
    <w:rsid w:val="60535729"/>
    <w:rsid w:val="605976FA"/>
    <w:rsid w:val="609A01FB"/>
    <w:rsid w:val="60B64C42"/>
    <w:rsid w:val="60BE5E4A"/>
    <w:rsid w:val="60CB67FA"/>
    <w:rsid w:val="60CC405A"/>
    <w:rsid w:val="60D235C8"/>
    <w:rsid w:val="60E73121"/>
    <w:rsid w:val="60F64387"/>
    <w:rsid w:val="60F66071"/>
    <w:rsid w:val="61186D8B"/>
    <w:rsid w:val="61544903"/>
    <w:rsid w:val="61545C4A"/>
    <w:rsid w:val="615C160D"/>
    <w:rsid w:val="61D65D50"/>
    <w:rsid w:val="61E215D8"/>
    <w:rsid w:val="61E45198"/>
    <w:rsid w:val="61ED6BB0"/>
    <w:rsid w:val="61F40D0D"/>
    <w:rsid w:val="621B3775"/>
    <w:rsid w:val="62364782"/>
    <w:rsid w:val="6269416D"/>
    <w:rsid w:val="62756458"/>
    <w:rsid w:val="62835E65"/>
    <w:rsid w:val="62AD107E"/>
    <w:rsid w:val="62CF187B"/>
    <w:rsid w:val="62DD368E"/>
    <w:rsid w:val="62FD5A88"/>
    <w:rsid w:val="631B066A"/>
    <w:rsid w:val="632D70E9"/>
    <w:rsid w:val="637649C5"/>
    <w:rsid w:val="6394356A"/>
    <w:rsid w:val="63C61B2C"/>
    <w:rsid w:val="63D40BE9"/>
    <w:rsid w:val="63ED4609"/>
    <w:rsid w:val="63F91251"/>
    <w:rsid w:val="64102431"/>
    <w:rsid w:val="64665384"/>
    <w:rsid w:val="64A439A6"/>
    <w:rsid w:val="64A5243A"/>
    <w:rsid w:val="64F531DE"/>
    <w:rsid w:val="651B2A4B"/>
    <w:rsid w:val="6522609B"/>
    <w:rsid w:val="6524556B"/>
    <w:rsid w:val="65373578"/>
    <w:rsid w:val="65377372"/>
    <w:rsid w:val="65D60074"/>
    <w:rsid w:val="65D75478"/>
    <w:rsid w:val="65DF6369"/>
    <w:rsid w:val="65E258D7"/>
    <w:rsid w:val="65EF5387"/>
    <w:rsid w:val="660035B2"/>
    <w:rsid w:val="669B7B6B"/>
    <w:rsid w:val="669D71F3"/>
    <w:rsid w:val="66F273CB"/>
    <w:rsid w:val="671F124A"/>
    <w:rsid w:val="67406C20"/>
    <w:rsid w:val="6749721C"/>
    <w:rsid w:val="67560823"/>
    <w:rsid w:val="677A33C6"/>
    <w:rsid w:val="67B15AA5"/>
    <w:rsid w:val="67F75096"/>
    <w:rsid w:val="68036093"/>
    <w:rsid w:val="681F6961"/>
    <w:rsid w:val="68456D65"/>
    <w:rsid w:val="68610A2F"/>
    <w:rsid w:val="68805514"/>
    <w:rsid w:val="68B35C1D"/>
    <w:rsid w:val="68C114FA"/>
    <w:rsid w:val="68F505D1"/>
    <w:rsid w:val="690E1E0F"/>
    <w:rsid w:val="69187B56"/>
    <w:rsid w:val="691E0712"/>
    <w:rsid w:val="691F2500"/>
    <w:rsid w:val="69316E2F"/>
    <w:rsid w:val="694E2071"/>
    <w:rsid w:val="694F2375"/>
    <w:rsid w:val="695138EE"/>
    <w:rsid w:val="69661497"/>
    <w:rsid w:val="69766163"/>
    <w:rsid w:val="697A3B33"/>
    <w:rsid w:val="697E5BD0"/>
    <w:rsid w:val="69C83032"/>
    <w:rsid w:val="69D44760"/>
    <w:rsid w:val="69E056AC"/>
    <w:rsid w:val="69F63387"/>
    <w:rsid w:val="6A1B06CD"/>
    <w:rsid w:val="6A422766"/>
    <w:rsid w:val="6A520EC7"/>
    <w:rsid w:val="6A6B3750"/>
    <w:rsid w:val="6ABB660F"/>
    <w:rsid w:val="6AC33DB7"/>
    <w:rsid w:val="6ACC7244"/>
    <w:rsid w:val="6ACE2BF0"/>
    <w:rsid w:val="6AD13942"/>
    <w:rsid w:val="6AD40E1E"/>
    <w:rsid w:val="6AE94799"/>
    <w:rsid w:val="6AF61B39"/>
    <w:rsid w:val="6AF87E20"/>
    <w:rsid w:val="6AFA462A"/>
    <w:rsid w:val="6B322639"/>
    <w:rsid w:val="6B323CBF"/>
    <w:rsid w:val="6B4D03EB"/>
    <w:rsid w:val="6B6569A6"/>
    <w:rsid w:val="6B794B79"/>
    <w:rsid w:val="6B8F210E"/>
    <w:rsid w:val="6BBA1E46"/>
    <w:rsid w:val="6C097366"/>
    <w:rsid w:val="6C3928FF"/>
    <w:rsid w:val="6C4C3649"/>
    <w:rsid w:val="6C5D23FF"/>
    <w:rsid w:val="6C636C38"/>
    <w:rsid w:val="6C8D405B"/>
    <w:rsid w:val="6C9030B7"/>
    <w:rsid w:val="6C903713"/>
    <w:rsid w:val="6CFF5A7A"/>
    <w:rsid w:val="6D0D6EF8"/>
    <w:rsid w:val="6D1D5209"/>
    <w:rsid w:val="6D4B08C3"/>
    <w:rsid w:val="6D947DE9"/>
    <w:rsid w:val="6DA43AE0"/>
    <w:rsid w:val="6DB34098"/>
    <w:rsid w:val="6DB545B6"/>
    <w:rsid w:val="6DE02FB4"/>
    <w:rsid w:val="6DF77990"/>
    <w:rsid w:val="6E063E06"/>
    <w:rsid w:val="6E514CED"/>
    <w:rsid w:val="6E551B5B"/>
    <w:rsid w:val="6E6E08EE"/>
    <w:rsid w:val="6E906A25"/>
    <w:rsid w:val="6EB563D5"/>
    <w:rsid w:val="6ED92677"/>
    <w:rsid w:val="6EDC2D88"/>
    <w:rsid w:val="6EF01245"/>
    <w:rsid w:val="6F225983"/>
    <w:rsid w:val="6F394F51"/>
    <w:rsid w:val="6F6C08B9"/>
    <w:rsid w:val="6F833042"/>
    <w:rsid w:val="6FFC5590"/>
    <w:rsid w:val="6FFE363D"/>
    <w:rsid w:val="701179DB"/>
    <w:rsid w:val="702356CC"/>
    <w:rsid w:val="70440970"/>
    <w:rsid w:val="706D1DD0"/>
    <w:rsid w:val="707B17AF"/>
    <w:rsid w:val="7082657D"/>
    <w:rsid w:val="70856B87"/>
    <w:rsid w:val="70D527EE"/>
    <w:rsid w:val="714E48D5"/>
    <w:rsid w:val="715B5300"/>
    <w:rsid w:val="71AD42F4"/>
    <w:rsid w:val="71CC5EE0"/>
    <w:rsid w:val="71D27F8A"/>
    <w:rsid w:val="71F14AF3"/>
    <w:rsid w:val="721D44A4"/>
    <w:rsid w:val="72263C29"/>
    <w:rsid w:val="724651E3"/>
    <w:rsid w:val="72507D60"/>
    <w:rsid w:val="72553024"/>
    <w:rsid w:val="72723E32"/>
    <w:rsid w:val="728C6806"/>
    <w:rsid w:val="72FB69C2"/>
    <w:rsid w:val="73070F3B"/>
    <w:rsid w:val="73122968"/>
    <w:rsid w:val="731F5D5E"/>
    <w:rsid w:val="73210FB0"/>
    <w:rsid w:val="73751E5F"/>
    <w:rsid w:val="73784B15"/>
    <w:rsid w:val="73A905BB"/>
    <w:rsid w:val="73C51AD5"/>
    <w:rsid w:val="73D94061"/>
    <w:rsid w:val="73F33556"/>
    <w:rsid w:val="741E793C"/>
    <w:rsid w:val="742379DB"/>
    <w:rsid w:val="745E3944"/>
    <w:rsid w:val="74741565"/>
    <w:rsid w:val="74841862"/>
    <w:rsid w:val="74BA1537"/>
    <w:rsid w:val="74BD2EE6"/>
    <w:rsid w:val="74D05E6E"/>
    <w:rsid w:val="74EC4844"/>
    <w:rsid w:val="74F9765A"/>
    <w:rsid w:val="750B205E"/>
    <w:rsid w:val="75234697"/>
    <w:rsid w:val="75342DCA"/>
    <w:rsid w:val="755B470F"/>
    <w:rsid w:val="75BA02DB"/>
    <w:rsid w:val="75C90BC7"/>
    <w:rsid w:val="7635099D"/>
    <w:rsid w:val="76402745"/>
    <w:rsid w:val="764C24C6"/>
    <w:rsid w:val="764C5733"/>
    <w:rsid w:val="76693D0D"/>
    <w:rsid w:val="76985CF9"/>
    <w:rsid w:val="76A84E99"/>
    <w:rsid w:val="76C03F95"/>
    <w:rsid w:val="76C364B7"/>
    <w:rsid w:val="76D71BB5"/>
    <w:rsid w:val="77216056"/>
    <w:rsid w:val="77762421"/>
    <w:rsid w:val="778418C8"/>
    <w:rsid w:val="77986AF2"/>
    <w:rsid w:val="77B56B1F"/>
    <w:rsid w:val="77BC7D69"/>
    <w:rsid w:val="780F09F4"/>
    <w:rsid w:val="781B5D3C"/>
    <w:rsid w:val="783C3374"/>
    <w:rsid w:val="788F7D86"/>
    <w:rsid w:val="78A90480"/>
    <w:rsid w:val="78BE07B9"/>
    <w:rsid w:val="78C42D0E"/>
    <w:rsid w:val="78CB70AC"/>
    <w:rsid w:val="78D44923"/>
    <w:rsid w:val="78DD0C76"/>
    <w:rsid w:val="78F637DD"/>
    <w:rsid w:val="792E5413"/>
    <w:rsid w:val="79597C6D"/>
    <w:rsid w:val="79AC747D"/>
    <w:rsid w:val="79BC0732"/>
    <w:rsid w:val="79EE3569"/>
    <w:rsid w:val="79F95BAF"/>
    <w:rsid w:val="7A044914"/>
    <w:rsid w:val="7A0E415B"/>
    <w:rsid w:val="7A2C72CE"/>
    <w:rsid w:val="7A364017"/>
    <w:rsid w:val="7A4773F3"/>
    <w:rsid w:val="7A7969C9"/>
    <w:rsid w:val="7A8265E1"/>
    <w:rsid w:val="7ACE19E9"/>
    <w:rsid w:val="7B2A6109"/>
    <w:rsid w:val="7B686D42"/>
    <w:rsid w:val="7B841746"/>
    <w:rsid w:val="7BA27CA9"/>
    <w:rsid w:val="7BE6461F"/>
    <w:rsid w:val="7C130D93"/>
    <w:rsid w:val="7C6C5AC7"/>
    <w:rsid w:val="7CA43D7A"/>
    <w:rsid w:val="7CC6544B"/>
    <w:rsid w:val="7CD872ED"/>
    <w:rsid w:val="7CEF376C"/>
    <w:rsid w:val="7D0239FF"/>
    <w:rsid w:val="7D4E71BA"/>
    <w:rsid w:val="7D5E40CD"/>
    <w:rsid w:val="7D6E64F9"/>
    <w:rsid w:val="7D730F85"/>
    <w:rsid w:val="7D9352D0"/>
    <w:rsid w:val="7DCD56F2"/>
    <w:rsid w:val="7DE6133B"/>
    <w:rsid w:val="7DE642E1"/>
    <w:rsid w:val="7E02418A"/>
    <w:rsid w:val="7E060918"/>
    <w:rsid w:val="7E10776E"/>
    <w:rsid w:val="7E2E0D8C"/>
    <w:rsid w:val="7E3625D4"/>
    <w:rsid w:val="7E3922DB"/>
    <w:rsid w:val="7E4B3379"/>
    <w:rsid w:val="7E5A152A"/>
    <w:rsid w:val="7E6E68B2"/>
    <w:rsid w:val="7E786F03"/>
    <w:rsid w:val="7E952513"/>
    <w:rsid w:val="7EBA4768"/>
    <w:rsid w:val="7ECA0929"/>
    <w:rsid w:val="7EEA6F2F"/>
    <w:rsid w:val="7F001CE7"/>
    <w:rsid w:val="7F1407BA"/>
    <w:rsid w:val="7F1F56BF"/>
    <w:rsid w:val="7F392402"/>
    <w:rsid w:val="7F6B4F8F"/>
    <w:rsid w:val="7F723FF6"/>
    <w:rsid w:val="7FCE70E9"/>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qFormat="1" w:unhideWhenUsed="0" w:uiPriority="99"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7"/>
    <w:next w:val="8"/>
    <w:qFormat/>
    <w:uiPriority w:val="0"/>
    <w:pPr>
      <w:outlineLvl w:val="1"/>
    </w:pPr>
    <w:rPr>
      <w:bCs/>
      <w:kern w:val="0"/>
      <w:sz w:val="30"/>
      <w:szCs w:val="32"/>
    </w:rPr>
  </w:style>
  <w:style w:type="paragraph" w:styleId="7">
    <w:name w:val="heading 3"/>
    <w:basedOn w:val="1"/>
    <w:next w:val="1"/>
    <w:qFormat/>
    <w:uiPriority w:val="0"/>
    <w:pPr>
      <w:keepNext/>
      <w:keepLines/>
      <w:adjustRightInd w:val="0"/>
      <w:spacing w:line="360" w:lineRule="auto"/>
      <w:ind w:left="397"/>
      <w:textAlignment w:val="baseline"/>
      <w:outlineLvl w:val="2"/>
    </w:pPr>
    <w:rPr>
      <w:rFonts w:ascii="宋体" w:hAnsi="Arial"/>
      <w:b/>
      <w:szCs w:val="20"/>
    </w:rPr>
  </w:style>
  <w:style w:type="paragraph" w:styleId="10">
    <w:name w:val="heading 4"/>
    <w:basedOn w:val="1"/>
    <w:next w:val="1"/>
    <w:qFormat/>
    <w:uiPriority w:val="0"/>
    <w:pPr>
      <w:keepNext/>
      <w:keepLines/>
      <w:outlineLvl w:val="3"/>
    </w:pPr>
    <w:rPr>
      <w:b/>
      <w:bCs/>
      <w:kern w:val="0"/>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51"/>
    <w:qFormat/>
    <w:uiPriority w:val="0"/>
    <w:pPr>
      <w:spacing w:after="120"/>
      <w:ind w:left="420" w:leftChars="200"/>
    </w:pPr>
    <w:rPr>
      <w:kern w:val="0"/>
      <w:sz w:val="24"/>
      <w:szCs w:val="20"/>
    </w:rPr>
  </w:style>
  <w:style w:type="paragraph" w:styleId="3">
    <w:name w:val="Body Text Indent 2"/>
    <w:basedOn w:val="1"/>
    <w:next w:val="4"/>
    <w:unhideWhenUsed/>
    <w:qFormat/>
    <w:uiPriority w:val="99"/>
    <w:pPr>
      <w:spacing w:after="120" w:line="480" w:lineRule="auto"/>
      <w:ind w:left="420" w:leftChars="200"/>
    </w:pPr>
  </w:style>
  <w:style w:type="paragraph" w:styleId="4">
    <w:name w:val="Body Text First Indent 2"/>
    <w:basedOn w:val="2"/>
    <w:next w:val="1"/>
    <w:unhideWhenUsed/>
    <w:qFormat/>
    <w:uiPriority w:val="99"/>
    <w:pPr>
      <w:ind w:firstLine="420" w:firstLineChars="200"/>
    </w:pPr>
    <w:rPr>
      <w:sz w:val="21"/>
    </w:rPr>
  </w:style>
  <w:style w:type="paragraph" w:styleId="8">
    <w:name w:val="Normal Indent"/>
    <w:basedOn w:val="1"/>
    <w:next w:val="9"/>
    <w:qFormat/>
    <w:uiPriority w:val="0"/>
    <w:pPr>
      <w:ind w:firstLine="200" w:firstLineChars="200"/>
    </w:pPr>
    <w:rPr>
      <w:sz w:val="28"/>
      <w:szCs w:val="20"/>
    </w:rPr>
  </w:style>
  <w:style w:type="paragraph" w:styleId="9">
    <w:name w:val="envelope return"/>
    <w:basedOn w:val="1"/>
    <w:qFormat/>
    <w:uiPriority w:val="0"/>
    <w:pPr>
      <w:snapToGrid w:val="0"/>
      <w:spacing w:line="360" w:lineRule="auto"/>
      <w:ind w:firstLine="200" w:firstLineChars="200"/>
    </w:pPr>
    <w:rPr>
      <w:rFonts w:ascii="Arial" w:hAnsi="Arial"/>
      <w:sz w:val="24"/>
    </w:rPr>
  </w:style>
  <w:style w:type="paragraph" w:styleId="11">
    <w:name w:val="toc 7"/>
    <w:basedOn w:val="1"/>
    <w:next w:val="1"/>
    <w:unhideWhenUsed/>
    <w:qFormat/>
    <w:uiPriority w:val="39"/>
    <w:pPr>
      <w:ind w:left="1440"/>
      <w:jc w:val="left"/>
    </w:pPr>
    <w:rPr>
      <w:rFonts w:ascii="Calibri" w:hAnsi="Calibri" w:cs="Calibri"/>
      <w:sz w:val="18"/>
      <w:szCs w:val="18"/>
    </w:rPr>
  </w:style>
  <w:style w:type="paragraph" w:styleId="12">
    <w:name w:val="E-mail Signature"/>
    <w:basedOn w:val="1"/>
    <w:next w:val="13"/>
    <w:qFormat/>
    <w:uiPriority w:val="99"/>
    <w:pPr>
      <w:spacing w:line="460" w:lineRule="exact"/>
      <w:ind w:firstLine="200"/>
    </w:pPr>
  </w:style>
  <w:style w:type="paragraph" w:customStyle="1" w:styleId="13">
    <w:name w:val="文章"/>
    <w:next w:val="14"/>
    <w:qFormat/>
    <w:uiPriority w:val="0"/>
    <w:pPr>
      <w:ind w:firstLine="480"/>
      <w:jc w:val="center"/>
    </w:pPr>
    <w:rPr>
      <w:rFonts w:ascii="Times New Roman" w:hAnsi="Times New Roman" w:eastAsia="宋体" w:cs="Times New Roman"/>
      <w:kern w:val="2"/>
      <w:sz w:val="26"/>
      <w:szCs w:val="22"/>
      <w:lang w:val="en-US" w:eastAsia="zh-CN" w:bidi="ar-SA"/>
    </w:rPr>
  </w:style>
  <w:style w:type="paragraph" w:styleId="14">
    <w:name w:val="List"/>
    <w:basedOn w:val="1"/>
    <w:next w:val="1"/>
    <w:unhideWhenUsed/>
    <w:qFormat/>
    <w:uiPriority w:val="99"/>
    <w:pPr>
      <w:ind w:left="200" w:hanging="200" w:hangingChars="200"/>
      <w:contextualSpacing/>
    </w:pPr>
  </w:style>
  <w:style w:type="paragraph" w:styleId="15">
    <w:name w:val="annotation text"/>
    <w:basedOn w:val="1"/>
    <w:link w:val="50"/>
    <w:semiHidden/>
    <w:qFormat/>
    <w:uiPriority w:val="0"/>
    <w:pPr>
      <w:jc w:val="left"/>
    </w:pPr>
    <w:rPr>
      <w:kern w:val="0"/>
      <w:sz w:val="24"/>
      <w:szCs w:val="20"/>
    </w:rPr>
  </w:style>
  <w:style w:type="paragraph" w:styleId="16">
    <w:name w:val="Body Text 3"/>
    <w:basedOn w:val="1"/>
    <w:qFormat/>
    <w:uiPriority w:val="0"/>
    <w:pPr>
      <w:spacing w:after="120"/>
    </w:pPr>
    <w:rPr>
      <w:sz w:val="16"/>
      <w:szCs w:val="16"/>
    </w:rPr>
  </w:style>
  <w:style w:type="paragraph" w:styleId="17">
    <w:name w:val="Body Text"/>
    <w:basedOn w:val="1"/>
    <w:next w:val="1"/>
    <w:link w:val="49"/>
    <w:qFormat/>
    <w:uiPriority w:val="0"/>
    <w:pPr>
      <w:widowControl/>
      <w:snapToGrid w:val="0"/>
      <w:spacing w:before="60" w:after="160" w:line="259" w:lineRule="auto"/>
      <w:ind w:right="113"/>
    </w:pPr>
    <w:rPr>
      <w:kern w:val="0"/>
      <w:sz w:val="18"/>
      <w:szCs w:val="20"/>
    </w:rPr>
  </w:style>
  <w:style w:type="paragraph" w:styleId="18">
    <w:name w:val="Block Text"/>
    <w:basedOn w:val="1"/>
    <w:unhideWhenUsed/>
    <w:qFormat/>
    <w:uiPriority w:val="99"/>
    <w:pPr>
      <w:adjustRightInd w:val="0"/>
      <w:spacing w:line="500" w:lineRule="exact"/>
      <w:ind w:left="54" w:right="113"/>
      <w:textAlignment w:val="baseline"/>
    </w:pPr>
    <w:rPr>
      <w:rFonts w:ascii="楷体_GB2312" w:eastAsia="楷体_GB2312"/>
      <w:kern w:val="0"/>
      <w:sz w:val="28"/>
    </w:rPr>
  </w:style>
  <w:style w:type="paragraph" w:styleId="19">
    <w:name w:val="Plain Text"/>
    <w:basedOn w:val="1"/>
    <w:next w:val="20"/>
    <w:unhideWhenUsed/>
    <w:qFormat/>
    <w:uiPriority w:val="99"/>
    <w:rPr>
      <w:rFonts w:ascii="宋体" w:hAnsi="Courier New" w:cs="Courier New"/>
      <w:szCs w:val="21"/>
    </w:rPr>
  </w:style>
  <w:style w:type="paragraph" w:styleId="20">
    <w:name w:val="toc 1"/>
    <w:basedOn w:val="1"/>
    <w:next w:val="1"/>
    <w:qFormat/>
    <w:uiPriority w:val="0"/>
    <w:rPr>
      <w:b/>
      <w:sz w:val="28"/>
    </w:rPr>
  </w:style>
  <w:style w:type="paragraph" w:styleId="21">
    <w:name w:val="List Bullet 5"/>
    <w:basedOn w:val="1"/>
    <w:qFormat/>
    <w:uiPriority w:val="0"/>
    <w:pPr>
      <w:numPr>
        <w:ilvl w:val="0"/>
        <w:numId w:val="1"/>
      </w:numPr>
    </w:pPr>
  </w:style>
  <w:style w:type="paragraph" w:styleId="22">
    <w:name w:val="Date"/>
    <w:basedOn w:val="1"/>
    <w:next w:val="1"/>
    <w:link w:val="52"/>
    <w:qFormat/>
    <w:uiPriority w:val="0"/>
    <w:pPr>
      <w:ind w:left="100" w:leftChars="2500"/>
    </w:pPr>
    <w:rPr>
      <w:kern w:val="0"/>
      <w:sz w:val="24"/>
      <w:szCs w:val="20"/>
    </w:rPr>
  </w:style>
  <w:style w:type="paragraph" w:styleId="23">
    <w:name w:val="Balloon Text"/>
    <w:basedOn w:val="1"/>
    <w:link w:val="53"/>
    <w:semiHidden/>
    <w:qFormat/>
    <w:uiPriority w:val="0"/>
    <w:rPr>
      <w:kern w:val="0"/>
      <w:sz w:val="18"/>
      <w:szCs w:val="20"/>
    </w:rPr>
  </w:style>
  <w:style w:type="paragraph" w:styleId="24">
    <w:name w:val="footer"/>
    <w:basedOn w:val="1"/>
    <w:link w:val="54"/>
    <w:qFormat/>
    <w:uiPriority w:val="99"/>
    <w:pPr>
      <w:tabs>
        <w:tab w:val="center" w:pos="4153"/>
        <w:tab w:val="right" w:pos="8306"/>
      </w:tabs>
      <w:snapToGrid w:val="0"/>
      <w:jc w:val="left"/>
    </w:pPr>
    <w:rPr>
      <w:kern w:val="0"/>
      <w:sz w:val="18"/>
      <w:szCs w:val="20"/>
    </w:rPr>
  </w:style>
  <w:style w:type="paragraph" w:styleId="25">
    <w:name w:val="header"/>
    <w:basedOn w:val="1"/>
    <w:link w:val="55"/>
    <w:qFormat/>
    <w:uiPriority w:val="0"/>
    <w:pPr>
      <w:pBdr>
        <w:bottom w:val="single" w:color="auto" w:sz="6" w:space="1"/>
      </w:pBdr>
      <w:tabs>
        <w:tab w:val="center" w:pos="4153"/>
        <w:tab w:val="right" w:pos="8306"/>
      </w:tabs>
      <w:snapToGrid w:val="0"/>
      <w:jc w:val="center"/>
    </w:pPr>
    <w:rPr>
      <w:kern w:val="0"/>
      <w:sz w:val="18"/>
      <w:szCs w:val="20"/>
    </w:rPr>
  </w:style>
  <w:style w:type="paragraph" w:styleId="26">
    <w:name w:val="Body Text Indent 3"/>
    <w:basedOn w:val="1"/>
    <w:unhideWhenUsed/>
    <w:qFormat/>
    <w:uiPriority w:val="99"/>
    <w:pPr>
      <w:spacing w:after="120"/>
      <w:ind w:left="420" w:leftChars="200"/>
    </w:pPr>
    <w:rPr>
      <w:sz w:val="16"/>
    </w:rPr>
  </w:style>
  <w:style w:type="paragraph" w:styleId="27">
    <w:name w:val="toc 2"/>
    <w:basedOn w:val="1"/>
    <w:next w:val="1"/>
    <w:unhideWhenUsed/>
    <w:qFormat/>
    <w:uiPriority w:val="39"/>
    <w:pPr>
      <w:ind w:left="420" w:leftChars="200"/>
    </w:pPr>
  </w:style>
  <w:style w:type="paragraph" w:styleId="28">
    <w:name w:val="Body Text 2"/>
    <w:basedOn w:val="1"/>
    <w:qFormat/>
    <w:uiPriority w:val="0"/>
    <w:rPr>
      <w:b/>
      <w:sz w:val="24"/>
      <w:szCs w:val="20"/>
    </w:rPr>
  </w:style>
  <w:style w:type="paragraph" w:styleId="29">
    <w:name w:val="Normal (Web)"/>
    <w:basedOn w:val="1"/>
    <w:next w:val="30"/>
    <w:link w:val="56"/>
    <w:qFormat/>
    <w:uiPriority w:val="0"/>
    <w:pPr>
      <w:widowControl/>
      <w:spacing w:before="100" w:beforeAutospacing="1" w:after="100" w:afterAutospacing="1"/>
      <w:jc w:val="left"/>
    </w:pPr>
    <w:rPr>
      <w:rFonts w:ascii="宋体" w:hAnsi="宋体"/>
      <w:kern w:val="0"/>
      <w:sz w:val="24"/>
      <w:szCs w:val="20"/>
    </w:rPr>
  </w:style>
  <w:style w:type="paragraph" w:customStyle="1" w:styleId="30">
    <w:name w:val="toc 84"/>
    <w:next w:val="1"/>
    <w:qFormat/>
    <w:uiPriority w:val="99"/>
    <w:pPr>
      <w:wordWrap w:val="0"/>
      <w:ind w:left="2975"/>
      <w:jc w:val="both"/>
    </w:pPr>
    <w:rPr>
      <w:rFonts w:ascii="Times New Roman" w:hAnsi="Times New Roman" w:eastAsia="宋体" w:cs="Times New Roman"/>
      <w:sz w:val="21"/>
      <w:szCs w:val="22"/>
      <w:lang w:val="en-US" w:eastAsia="zh-CN" w:bidi="ar-SA"/>
    </w:rPr>
  </w:style>
  <w:style w:type="paragraph" w:styleId="31">
    <w:name w:val="annotation subject"/>
    <w:basedOn w:val="15"/>
    <w:next w:val="15"/>
    <w:link w:val="57"/>
    <w:semiHidden/>
    <w:qFormat/>
    <w:uiPriority w:val="0"/>
    <w:rPr>
      <w:b/>
    </w:rPr>
  </w:style>
  <w:style w:type="paragraph" w:styleId="32">
    <w:name w:val="Body Text First Indent"/>
    <w:basedOn w:val="17"/>
    <w:next w:val="1"/>
    <w:qFormat/>
    <w:uiPriority w:val="0"/>
    <w:pPr>
      <w:ind w:firstLine="420" w:firstLineChars="100"/>
    </w:p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qFormat/>
    <w:uiPriority w:val="0"/>
  </w:style>
  <w:style w:type="character" w:styleId="37">
    <w:name w:val="FollowedHyperlink"/>
    <w:qFormat/>
    <w:uiPriority w:val="0"/>
    <w:rPr>
      <w:color w:val="333333"/>
      <w:u w:val="none"/>
    </w:rPr>
  </w:style>
  <w:style w:type="character" w:styleId="38">
    <w:name w:val="Hyperlink"/>
    <w:qFormat/>
    <w:uiPriority w:val="0"/>
    <w:rPr>
      <w:color w:val="333333"/>
      <w:u w:val="none"/>
    </w:rPr>
  </w:style>
  <w:style w:type="character" w:styleId="39">
    <w:name w:val="annotation reference"/>
    <w:semiHidden/>
    <w:qFormat/>
    <w:uiPriority w:val="0"/>
    <w:rPr>
      <w:sz w:val="21"/>
    </w:rPr>
  </w:style>
  <w:style w:type="paragraph" w:customStyle="1" w:styleId="40">
    <w:name w:val="Default1"/>
    <w:basedOn w:val="41"/>
    <w:next w:val="1"/>
    <w:qFormat/>
    <w:uiPriority w:val="0"/>
    <w:pPr>
      <w:widowControl w:val="0"/>
      <w:autoSpaceDE w:val="0"/>
      <w:autoSpaceDN w:val="0"/>
      <w:adjustRightInd w:val="0"/>
    </w:pPr>
    <w:rPr>
      <w:rFonts w:ascii="宋体" w:hAnsi="Times New Roman" w:eastAsia="宋体" w:cs="宋体"/>
      <w:color w:val="000000"/>
      <w:sz w:val="24"/>
      <w:szCs w:val="24"/>
      <w:lang w:val="en-US" w:eastAsia="zh-CN"/>
    </w:rPr>
  </w:style>
  <w:style w:type="paragraph" w:customStyle="1" w:styleId="41">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42">
    <w:name w:val="样式 标题 1 + 四号 段前: 0 磅 段后: 0 磅 行距: 1.5 倍行距"/>
    <w:basedOn w:val="43"/>
    <w:next w:val="1"/>
    <w:qFormat/>
    <w:uiPriority w:val="0"/>
    <w:pPr>
      <w:spacing w:line="360" w:lineRule="auto"/>
      <w:jc w:val="center"/>
    </w:pPr>
    <w:rPr>
      <w:rFonts w:hAnsi="黑体"/>
      <w:sz w:val="21"/>
    </w:rPr>
  </w:style>
  <w:style w:type="paragraph" w:customStyle="1" w:styleId="43">
    <w:name w:val="1正文"/>
    <w:qFormat/>
    <w:uiPriority w:val="0"/>
    <w:pPr>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44">
    <w:name w:val="Default"/>
    <w:basedOn w:val="45"/>
    <w:next w:val="4"/>
    <w:qFormat/>
    <w:uiPriority w:val="0"/>
    <w:pPr>
      <w:autoSpaceDE w:val="0"/>
      <w:autoSpaceDN w:val="0"/>
    </w:pPr>
    <w:rPr>
      <w:rFonts w:ascii="仿宋_GB2312" w:hAnsi="Calibri" w:eastAsia="仿宋_GB2312" w:cs="仿宋_GB2312"/>
    </w:rPr>
  </w:style>
  <w:style w:type="paragraph" w:customStyle="1" w:styleId="4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46">
    <w:name w:val="xl27"/>
    <w:basedOn w:val="1"/>
    <w:qFormat/>
    <w:uiPriority w:val="0"/>
    <w:pPr>
      <w:widowControl/>
      <w:pBdr>
        <w:bottom w:val="single" w:color="auto" w:sz="12" w:space="0"/>
        <w:right w:val="single" w:color="auto" w:sz="8" w:space="0"/>
      </w:pBdr>
      <w:spacing w:before="100" w:beforeAutospacing="1" w:after="100" w:afterAutospacing="1"/>
      <w:jc w:val="center"/>
    </w:pPr>
    <w:rPr>
      <w:rFonts w:ascii="宋体" w:hAnsi="宋体" w:cs="宋体"/>
      <w:kern w:val="0"/>
      <w:szCs w:val="21"/>
    </w:rPr>
  </w:style>
  <w:style w:type="paragraph" w:customStyle="1" w:styleId="47">
    <w:name w:val="纯文本1"/>
    <w:qFormat/>
    <w:uiPriority w:val="0"/>
    <w:pPr>
      <w:widowControl w:val="0"/>
      <w:adjustRightInd w:val="0"/>
      <w:spacing w:line="360" w:lineRule="auto"/>
      <w:ind w:firstLine="465"/>
      <w:jc w:val="both"/>
    </w:pPr>
    <w:rPr>
      <w:rFonts w:ascii="宋体" w:hAnsi="Courier New" w:eastAsia="宋体" w:cs="Times New Roman"/>
      <w:kern w:val="2"/>
      <w:sz w:val="24"/>
      <w:lang w:val="en-US" w:eastAsia="zh-CN" w:bidi="ar-SA"/>
    </w:rPr>
  </w:style>
  <w:style w:type="paragraph" w:customStyle="1" w:styleId="48">
    <w:name w:val="YH正文"/>
    <w:basedOn w:val="1"/>
    <w:qFormat/>
    <w:uiPriority w:val="0"/>
    <w:pPr>
      <w:snapToGrid w:val="0"/>
      <w:spacing w:line="360" w:lineRule="auto"/>
      <w:ind w:firstLine="1044" w:firstLineChars="200"/>
    </w:pPr>
    <w:rPr>
      <w:sz w:val="24"/>
    </w:rPr>
  </w:style>
  <w:style w:type="character" w:customStyle="1" w:styleId="49">
    <w:name w:val="正文文本 字符"/>
    <w:link w:val="17"/>
    <w:qFormat/>
    <w:uiPriority w:val="0"/>
    <w:rPr>
      <w:sz w:val="18"/>
    </w:rPr>
  </w:style>
  <w:style w:type="character" w:customStyle="1" w:styleId="50">
    <w:name w:val="批注文字 字符"/>
    <w:link w:val="15"/>
    <w:qFormat/>
    <w:uiPriority w:val="0"/>
    <w:rPr>
      <w:rFonts w:ascii="Times New Roman" w:hAnsi="Times New Roman" w:eastAsia="宋体"/>
      <w:sz w:val="24"/>
    </w:rPr>
  </w:style>
  <w:style w:type="character" w:customStyle="1" w:styleId="51">
    <w:name w:val="正文文本缩进 字符"/>
    <w:link w:val="2"/>
    <w:semiHidden/>
    <w:qFormat/>
    <w:uiPriority w:val="0"/>
    <w:rPr>
      <w:rFonts w:ascii="Times New Roman" w:hAnsi="Times New Roman" w:eastAsia="宋体"/>
      <w:sz w:val="24"/>
    </w:rPr>
  </w:style>
  <w:style w:type="character" w:customStyle="1" w:styleId="52">
    <w:name w:val="日期 字符1"/>
    <w:link w:val="22"/>
    <w:qFormat/>
    <w:uiPriority w:val="0"/>
    <w:rPr>
      <w:rFonts w:ascii="Times New Roman" w:hAnsi="Times New Roman" w:eastAsia="宋体"/>
      <w:sz w:val="24"/>
    </w:rPr>
  </w:style>
  <w:style w:type="character" w:customStyle="1" w:styleId="53">
    <w:name w:val="批注框文本 字符"/>
    <w:link w:val="23"/>
    <w:semiHidden/>
    <w:qFormat/>
    <w:uiPriority w:val="0"/>
    <w:rPr>
      <w:rFonts w:ascii="Times New Roman" w:hAnsi="Times New Roman" w:eastAsia="宋体"/>
      <w:sz w:val="18"/>
    </w:rPr>
  </w:style>
  <w:style w:type="character" w:customStyle="1" w:styleId="54">
    <w:name w:val="页脚 字符1"/>
    <w:link w:val="24"/>
    <w:qFormat/>
    <w:uiPriority w:val="99"/>
    <w:rPr>
      <w:sz w:val="18"/>
    </w:rPr>
  </w:style>
  <w:style w:type="character" w:customStyle="1" w:styleId="55">
    <w:name w:val="页眉 字符"/>
    <w:link w:val="25"/>
    <w:qFormat/>
    <w:uiPriority w:val="0"/>
    <w:rPr>
      <w:sz w:val="18"/>
    </w:rPr>
  </w:style>
  <w:style w:type="character" w:customStyle="1" w:styleId="56">
    <w:name w:val="普通(网站) 字符"/>
    <w:link w:val="29"/>
    <w:qFormat/>
    <w:uiPriority w:val="0"/>
    <w:rPr>
      <w:rFonts w:ascii="宋体" w:hAnsi="宋体" w:eastAsia="宋体"/>
      <w:sz w:val="24"/>
    </w:rPr>
  </w:style>
  <w:style w:type="character" w:customStyle="1" w:styleId="57">
    <w:name w:val="批注主题 字符"/>
    <w:link w:val="31"/>
    <w:semiHidden/>
    <w:qFormat/>
    <w:uiPriority w:val="0"/>
    <w:rPr>
      <w:rFonts w:ascii="Times New Roman" w:hAnsi="Times New Roman" w:eastAsia="宋体"/>
      <w:b/>
      <w:kern w:val="2"/>
      <w:sz w:val="24"/>
    </w:rPr>
  </w:style>
  <w:style w:type="paragraph" w:customStyle="1" w:styleId="58">
    <w:name w:val="样式 标题 2"/>
    <w:basedOn w:val="6"/>
    <w:next w:val="40"/>
    <w:qFormat/>
    <w:uiPriority w:val="0"/>
    <w:pPr>
      <w:spacing w:before="50" w:after="50"/>
    </w:pPr>
    <w:rPr>
      <w:szCs w:val="28"/>
    </w:rPr>
  </w:style>
  <w:style w:type="paragraph" w:customStyle="1" w:styleId="59">
    <w:name w:val="样式35"/>
    <w:next w:val="60"/>
    <w:qFormat/>
    <w:uiPriority w:val="0"/>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60">
    <w:name w:val="font6"/>
    <w:next w:val="27"/>
    <w:qFormat/>
    <w:uiPriority w:val="0"/>
    <w:pPr>
      <w:spacing w:before="280" w:after="280"/>
      <w:jc w:val="both"/>
    </w:pPr>
    <w:rPr>
      <w:rFonts w:ascii="Times New Roman" w:hAnsi="Times New Roman" w:eastAsia="宋体" w:cs="Times New Roman"/>
      <w:kern w:val="2"/>
      <w:sz w:val="21"/>
      <w:szCs w:val="22"/>
      <w:lang w:val="en-US" w:eastAsia="zh-CN" w:bidi="ar-SA"/>
    </w:rPr>
  </w:style>
  <w:style w:type="character" w:customStyle="1" w:styleId="61">
    <w:name w:val="layui-layer-tabnow"/>
    <w:qFormat/>
    <w:uiPriority w:val="0"/>
    <w:rPr>
      <w:shd w:val="clear" w:color="auto" w:fill="FFFFFF"/>
    </w:rPr>
  </w:style>
  <w:style w:type="character" w:customStyle="1" w:styleId="62">
    <w:name w:val="first-child1"/>
    <w:qFormat/>
    <w:uiPriority w:val="0"/>
  </w:style>
  <w:style w:type="character" w:customStyle="1" w:styleId="63">
    <w:name w:val="first-child"/>
    <w:qFormat/>
    <w:uiPriority w:val="0"/>
    <w:rPr>
      <w:b/>
      <w:bCs/>
      <w:color w:val="333333"/>
    </w:rPr>
  </w:style>
  <w:style w:type="character" w:customStyle="1" w:styleId="64">
    <w:name w:val="日期 字符"/>
    <w:semiHidden/>
    <w:qFormat/>
    <w:uiPriority w:val="0"/>
    <w:rPr>
      <w:rFonts w:ascii="Times New Roman" w:hAnsi="Times New Roman" w:eastAsia="宋体"/>
      <w:sz w:val="24"/>
    </w:rPr>
  </w:style>
  <w:style w:type="character" w:customStyle="1" w:styleId="65">
    <w:name w:val="批注文字 字符1"/>
    <w:semiHidden/>
    <w:qFormat/>
    <w:uiPriority w:val="0"/>
    <w:rPr>
      <w:rFonts w:ascii="Times New Roman" w:hAnsi="Times New Roman" w:eastAsia="宋体"/>
      <w:sz w:val="24"/>
    </w:rPr>
  </w:style>
  <w:style w:type="character" w:customStyle="1" w:styleId="66">
    <w:name w:val="正文文本 字符1"/>
    <w:semiHidden/>
    <w:qFormat/>
    <w:uiPriority w:val="0"/>
    <w:rPr>
      <w:rFonts w:ascii="Times New Roman" w:hAnsi="Times New Roman" w:eastAsia="宋体"/>
      <w:sz w:val="24"/>
    </w:rPr>
  </w:style>
  <w:style w:type="character" w:customStyle="1" w:styleId="67">
    <w:name w:val="表格 Char"/>
    <w:link w:val="68"/>
    <w:qFormat/>
    <w:uiPriority w:val="0"/>
    <w:rPr>
      <w:rFonts w:ascii="宋体"/>
      <w:sz w:val="21"/>
    </w:rPr>
  </w:style>
  <w:style w:type="paragraph" w:customStyle="1" w:styleId="68">
    <w:name w:val="表格"/>
    <w:basedOn w:val="1"/>
    <w:next w:val="1"/>
    <w:link w:val="67"/>
    <w:qFormat/>
    <w:uiPriority w:val="0"/>
    <w:pPr>
      <w:adjustRightInd w:val="0"/>
      <w:snapToGrid w:val="0"/>
      <w:spacing w:beforeLines="10" w:afterLines="10" w:line="259" w:lineRule="auto"/>
      <w:jc w:val="center"/>
    </w:pPr>
    <w:rPr>
      <w:rFonts w:ascii="宋体"/>
      <w:kern w:val="0"/>
      <w:szCs w:val="20"/>
    </w:rPr>
  </w:style>
  <w:style w:type="character" w:customStyle="1" w:styleId="69">
    <w:name w:val="页脚 字符"/>
    <w:qFormat/>
    <w:uiPriority w:val="99"/>
  </w:style>
  <w:style w:type="character" w:customStyle="1" w:styleId="70">
    <w:name w:val="NormalCharacter"/>
    <w:qFormat/>
    <w:uiPriority w:val="0"/>
    <w:rPr>
      <w:kern w:val="2"/>
      <w:sz w:val="21"/>
      <w:szCs w:val="24"/>
      <w:lang w:val="en-US" w:eastAsia="zh-CN" w:bidi="ar-SA"/>
    </w:rPr>
  </w:style>
  <w:style w:type="paragraph" w:customStyle="1" w:styleId="71">
    <w:name w:val="p0"/>
    <w:basedOn w:val="1"/>
    <w:qFormat/>
    <w:uiPriority w:val="0"/>
    <w:pPr>
      <w:widowControl/>
    </w:pPr>
    <w:rPr>
      <w:kern w:val="0"/>
      <w:szCs w:val="21"/>
    </w:rPr>
  </w:style>
  <w:style w:type="paragraph" w:customStyle="1" w:styleId="72">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73">
    <w:name w:val="六表内容"/>
    <w:basedOn w:val="1"/>
    <w:qFormat/>
    <w:uiPriority w:val="0"/>
    <w:pPr>
      <w:spacing w:line="340" w:lineRule="exact"/>
      <w:jc w:val="center"/>
    </w:pPr>
    <w:rPr>
      <w:rFonts w:ascii="Calibri" w:hAnsi="Calibri"/>
      <w:szCs w:val="21"/>
    </w:rPr>
  </w:style>
  <w:style w:type="paragraph" w:customStyle="1" w:styleId="7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HJN-ZZ"/>
    <w:basedOn w:val="1"/>
    <w:unhideWhenUsed/>
    <w:qFormat/>
    <w:uiPriority w:val="0"/>
    <w:pPr>
      <w:spacing w:line="360" w:lineRule="auto"/>
      <w:ind w:firstLine="482"/>
      <w:jc w:val="left"/>
      <w:textAlignment w:val="baseline"/>
    </w:pPr>
    <w:rPr>
      <w:rFonts w:hint="eastAsia" w:ascii="宋体" w:hAnsi="宋体"/>
      <w:kern w:val="21"/>
      <w:sz w:val="24"/>
    </w:rPr>
  </w:style>
  <w:style w:type="paragraph" w:customStyle="1" w:styleId="76">
    <w:name w:val="表格中文字"/>
    <w:basedOn w:val="1"/>
    <w:qFormat/>
    <w:uiPriority w:val="0"/>
    <w:pPr>
      <w:adjustRightInd w:val="0"/>
      <w:snapToGrid w:val="0"/>
      <w:jc w:val="center"/>
    </w:pPr>
    <w:rPr>
      <w:kern w:val="18"/>
      <w:szCs w:val="21"/>
    </w:rPr>
  </w:style>
  <w:style w:type="paragraph" w:customStyle="1" w:styleId="77">
    <w:name w:val="文本正文"/>
    <w:basedOn w:val="1"/>
    <w:qFormat/>
    <w:uiPriority w:val="0"/>
    <w:pPr>
      <w:autoSpaceDE w:val="0"/>
      <w:autoSpaceDN w:val="0"/>
      <w:adjustRightInd w:val="0"/>
      <w:spacing w:line="360" w:lineRule="auto"/>
      <w:ind w:firstLine="200" w:firstLineChars="200"/>
      <w:textAlignment w:val="baseline"/>
    </w:pPr>
    <w:rPr>
      <w:rFonts w:ascii="宋体" w:hAnsi="宋体"/>
      <w:snapToGrid w:val="0"/>
      <w:color w:val="000000"/>
      <w:spacing w:val="4"/>
      <w:kern w:val="18"/>
      <w:sz w:val="24"/>
      <w:szCs w:val="22"/>
    </w:rPr>
  </w:style>
  <w:style w:type="paragraph" w:customStyle="1" w:styleId="78">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79">
    <w:name w:val="表的标题"/>
    <w:basedOn w:val="1"/>
    <w:next w:val="1"/>
    <w:unhideWhenUsed/>
    <w:qFormat/>
    <w:uiPriority w:val="0"/>
    <w:pPr>
      <w:snapToGrid w:val="0"/>
      <w:spacing w:before="156" w:beforeLines="50"/>
      <w:jc w:val="center"/>
    </w:pPr>
    <w:rPr>
      <w:rFonts w:eastAsia="黑体"/>
      <w:sz w:val="24"/>
    </w:rPr>
  </w:style>
  <w:style w:type="paragraph" w:customStyle="1" w:styleId="80">
    <w:name w:val="4正文"/>
    <w:basedOn w:val="1"/>
    <w:qFormat/>
    <w:uiPriority w:val="0"/>
    <w:pPr>
      <w:ind w:firstLine="480"/>
    </w:pPr>
    <w:rPr>
      <w:rFonts w:cs="宋体"/>
      <w:szCs w:val="20"/>
    </w:rPr>
  </w:style>
  <w:style w:type="paragraph" w:customStyle="1" w:styleId="81">
    <w:name w:val="B表头"/>
    <w:basedOn w:val="1"/>
    <w:qFormat/>
    <w:uiPriority w:val="0"/>
    <w:pPr>
      <w:spacing w:before="50" w:beforeLines="50"/>
      <w:jc w:val="center"/>
    </w:pPr>
    <w:rPr>
      <w:b/>
      <w:kern w:val="0"/>
      <w:sz w:val="24"/>
    </w:rPr>
  </w:style>
  <w:style w:type="paragraph" w:customStyle="1" w:styleId="82">
    <w:name w:val="正文4号"/>
    <w:qFormat/>
    <w:uiPriority w:val="0"/>
    <w:pPr>
      <w:widowControl w:val="0"/>
      <w:adjustRightInd w:val="0"/>
      <w:snapToGrid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customStyle="1" w:styleId="83">
    <w:name w:val="表格内容"/>
    <w:basedOn w:val="1"/>
    <w:qFormat/>
    <w:uiPriority w:val="0"/>
    <w:pPr>
      <w:pBdr>
        <w:top w:val="none" w:color="auto" w:sz="0" w:space="1"/>
        <w:left w:val="none" w:color="auto" w:sz="0" w:space="4"/>
        <w:bottom w:val="none" w:color="auto" w:sz="0" w:space="1"/>
        <w:right w:val="none" w:color="auto" w:sz="0" w:space="4"/>
      </w:pBdr>
      <w:spacing w:line="340" w:lineRule="exact"/>
      <w:jc w:val="center"/>
    </w:pPr>
  </w:style>
  <w:style w:type="paragraph" w:customStyle="1" w:styleId="84">
    <w:name w:val="表格名称"/>
    <w:basedOn w:val="1"/>
    <w:qFormat/>
    <w:uiPriority w:val="0"/>
    <w:pPr>
      <w:spacing w:line="360" w:lineRule="auto"/>
      <w:ind w:firstLine="200" w:firstLineChars="200"/>
      <w:jc w:val="left"/>
    </w:pPr>
    <w:rPr>
      <w:rFonts w:eastAsia="黑体"/>
      <w:b/>
      <w:snapToGrid w:val="0"/>
      <w:kern w:val="18"/>
      <w:sz w:val="24"/>
    </w:rPr>
  </w:style>
  <w:style w:type="paragraph" w:customStyle="1" w:styleId="85">
    <w:name w:val="B正文"/>
    <w:basedOn w:val="1"/>
    <w:qFormat/>
    <w:uiPriority w:val="0"/>
    <w:pPr>
      <w:spacing w:line="360" w:lineRule="auto"/>
      <w:ind w:firstLine="200" w:firstLineChars="200"/>
    </w:pPr>
    <w:rPr>
      <w:kern w:val="0"/>
      <w:sz w:val="24"/>
    </w:rPr>
  </w:style>
  <w:style w:type="paragraph" w:customStyle="1" w:styleId="86">
    <w:name w:val="5表头"/>
    <w:basedOn w:val="1"/>
    <w:qFormat/>
    <w:uiPriority w:val="0"/>
    <w:pPr>
      <w:spacing w:before="156" w:beforeLines="50"/>
      <w:jc w:val="center"/>
    </w:pPr>
    <w:rPr>
      <w:rFonts w:ascii="宋体" w:hAnsi="宋体" w:eastAsia="黑体" w:cs="宋体"/>
      <w:szCs w:val="20"/>
    </w:rPr>
  </w:style>
  <w:style w:type="paragraph" w:customStyle="1" w:styleId="87">
    <w:name w:val="B表内"/>
    <w:basedOn w:val="1"/>
    <w:qFormat/>
    <w:uiPriority w:val="0"/>
    <w:pPr>
      <w:spacing w:line="0" w:lineRule="atLeast"/>
      <w:jc w:val="center"/>
    </w:pPr>
    <w:rPr>
      <w:rFonts w:cs="宋体"/>
      <w:szCs w:val="20"/>
    </w:rPr>
  </w:style>
  <w:style w:type="paragraph" w:customStyle="1" w:styleId="88">
    <w:name w:val="表内1号"/>
    <w:qFormat/>
    <w:uiPriority w:val="0"/>
    <w:pPr>
      <w:jc w:val="center"/>
    </w:pPr>
    <w:rPr>
      <w:rFonts w:ascii="Calibri" w:hAnsi="Calibri" w:eastAsia="仿宋_GB2312" w:cs="Times New Roman"/>
      <w:sz w:val="21"/>
      <w:szCs w:val="21"/>
      <w:lang w:val="en-US" w:eastAsia="zh-CN" w:bidi="ar-SA"/>
    </w:rPr>
  </w:style>
  <w:style w:type="character" w:customStyle="1" w:styleId="89">
    <w:name w:val="正文（首行缩进两字） Char Char Char"/>
    <w:unhideWhenUsed/>
    <w:qFormat/>
    <w:uiPriority w:val="0"/>
    <w:rPr>
      <w:rFonts w:hint="default" w:ascii="Times New Roman" w:hAnsi="Times New Roman" w:eastAsia="宋体"/>
      <w:kern w:val="2"/>
      <w:sz w:val="24"/>
      <w:lang w:val="en-US" w:eastAsia="zh-CN"/>
    </w:rPr>
  </w:style>
  <w:style w:type="paragraph" w:customStyle="1" w:styleId="90">
    <w:name w:val="表格内文字 小5"/>
    <w:basedOn w:val="1"/>
    <w:next w:val="17"/>
    <w:qFormat/>
    <w:uiPriority w:val="0"/>
    <w:pPr>
      <w:widowControl/>
      <w:tabs>
        <w:tab w:val="left" w:pos="3345"/>
      </w:tabs>
      <w:snapToGrid w:val="0"/>
      <w:spacing w:line="340" w:lineRule="exact"/>
      <w:jc w:val="center"/>
    </w:pPr>
    <w:rPr>
      <w:iCs/>
      <w:snapToGrid w:val="0"/>
      <w:kern w:val="0"/>
      <w:szCs w:val="18"/>
    </w:rPr>
  </w:style>
  <w:style w:type="paragraph" w:customStyle="1" w:styleId="91">
    <w:name w:val="RH-1正文"/>
    <w:unhideWhenUsed/>
    <w:qFormat/>
    <w:uiPriority w:val="99"/>
    <w:pPr>
      <w:spacing w:line="480" w:lineRule="exact"/>
      <w:ind w:firstLine="200" w:firstLineChars="200"/>
      <w:jc w:val="both"/>
    </w:pPr>
    <w:rPr>
      <w:rFonts w:ascii="Calibri" w:hAnsi="Calibri" w:eastAsia="宋体" w:cs="宋体"/>
      <w:color w:val="000000"/>
      <w:kern w:val="2"/>
      <w:sz w:val="24"/>
      <w:szCs w:val="24"/>
      <w:lang w:val="en-US" w:eastAsia="zh-CN" w:bidi="ar-SA"/>
    </w:rPr>
  </w:style>
  <w:style w:type="paragraph" w:customStyle="1" w:styleId="92">
    <w:name w:val="正本文字"/>
    <w:basedOn w:val="1"/>
    <w:qFormat/>
    <w:uiPriority w:val="0"/>
    <w:pPr>
      <w:adjustRightInd w:val="0"/>
      <w:snapToGrid w:val="0"/>
      <w:spacing w:line="360" w:lineRule="auto"/>
      <w:ind w:firstLine="480" w:firstLineChars="200"/>
      <w:jc w:val="left"/>
    </w:pPr>
    <w:rPr>
      <w:kern w:val="18"/>
      <w:sz w:val="24"/>
      <w:szCs w:val="20"/>
    </w:rPr>
  </w:style>
  <w:style w:type="paragraph" w:customStyle="1" w:styleId="93">
    <w:name w:val="报告"/>
    <w:basedOn w:val="1"/>
    <w:qFormat/>
    <w:uiPriority w:val="0"/>
    <w:pPr>
      <w:widowControl/>
      <w:suppressAutoHyphens/>
      <w:overflowPunct w:val="0"/>
      <w:topLinePunct/>
      <w:adjustRightInd w:val="0"/>
      <w:spacing w:line="360" w:lineRule="auto"/>
      <w:ind w:firstLine="480" w:firstLineChars="200"/>
      <w:textAlignment w:val="baseline"/>
    </w:pPr>
    <w:rPr>
      <w:sz w:val="24"/>
    </w:rPr>
  </w:style>
  <w:style w:type="paragraph" w:customStyle="1" w:styleId="94">
    <w:name w:val="正文(首行缩进)"/>
    <w:basedOn w:val="1"/>
    <w:qFormat/>
    <w:uiPriority w:val="0"/>
    <w:pPr>
      <w:adjustRightInd w:val="0"/>
      <w:snapToGrid w:val="0"/>
      <w:spacing w:line="360" w:lineRule="auto"/>
      <w:ind w:firstLine="200" w:firstLineChars="200"/>
    </w:pPr>
    <w:rPr>
      <w:kern w:val="0"/>
      <w:sz w:val="24"/>
    </w:rPr>
  </w:style>
  <w:style w:type="paragraph" w:styleId="95">
    <w:name w:val="List Paragraph"/>
    <w:basedOn w:val="1"/>
    <w:qFormat/>
    <w:uiPriority w:val="99"/>
    <w:pPr>
      <w:ind w:firstLine="420" w:firstLineChars="200"/>
    </w:pPr>
  </w:style>
  <w:style w:type="paragraph" w:customStyle="1" w:styleId="96">
    <w:name w:val="表头标题"/>
    <w:basedOn w:val="97"/>
    <w:qFormat/>
    <w:uiPriority w:val="0"/>
    <w:pPr>
      <w:tabs>
        <w:tab w:val="left" w:pos="0"/>
        <w:tab w:val="left" w:pos="720"/>
      </w:tabs>
      <w:spacing w:before="120"/>
    </w:pPr>
    <w:rPr>
      <w:rFonts w:ascii="Times New Roman"/>
    </w:rPr>
  </w:style>
  <w:style w:type="paragraph" w:customStyle="1" w:styleId="97">
    <w:name w:val="表格标题新"/>
    <w:basedOn w:val="98"/>
    <w:qFormat/>
    <w:uiPriority w:val="0"/>
    <w:pPr>
      <w:tabs>
        <w:tab w:val="left" w:pos="0"/>
        <w:tab w:val="left" w:pos="720"/>
      </w:tabs>
      <w:spacing w:before="156" w:beforeLines="50"/>
      <w:ind w:firstLine="562"/>
    </w:pPr>
    <w:rPr>
      <w:rFonts w:ascii="仿宋_GB2312" w:eastAsia="黑体"/>
      <w:b/>
    </w:rPr>
  </w:style>
  <w:style w:type="paragraph" w:customStyle="1" w:styleId="98">
    <w:name w:val="表格内文字"/>
    <w:basedOn w:val="99"/>
    <w:next w:val="1"/>
    <w:qFormat/>
    <w:uiPriority w:val="0"/>
    <w:pPr>
      <w:tabs>
        <w:tab w:val="left" w:pos="0"/>
        <w:tab w:val="left" w:pos="720"/>
      </w:tabs>
    </w:pPr>
    <w:rPr>
      <w:rFonts w:eastAsia="仿宋_GB2312"/>
    </w:rPr>
  </w:style>
  <w:style w:type="paragraph" w:customStyle="1" w:styleId="99">
    <w:name w:val="表头"/>
    <w:basedOn w:val="17"/>
    <w:qFormat/>
    <w:uiPriority w:val="0"/>
    <w:pPr>
      <w:tabs>
        <w:tab w:val="left" w:pos="720"/>
      </w:tabs>
      <w:adjustRightInd w:val="0"/>
      <w:spacing w:after="0" w:line="360" w:lineRule="auto"/>
      <w:jc w:val="center"/>
      <w:textAlignment w:val="baseline"/>
    </w:pPr>
    <w:rPr>
      <w:rFonts w:ascii="宋体"/>
      <w:snapToGrid w:val="0"/>
      <w:spacing w:val="4"/>
      <w:kern w:val="18"/>
      <w:sz w:val="24"/>
    </w:rPr>
  </w:style>
  <w:style w:type="paragraph" w:customStyle="1" w:styleId="100">
    <w:name w:val="表头表格"/>
    <w:basedOn w:val="1"/>
    <w:qFormat/>
    <w:uiPriority w:val="0"/>
    <w:pPr>
      <w:spacing w:beforeLines="50"/>
      <w:jc w:val="center"/>
    </w:pPr>
    <w:rPr>
      <w:b/>
      <w:bCs/>
      <w:color w:val="000000"/>
      <w:szCs w:val="21"/>
    </w:rPr>
  </w:style>
  <w:style w:type="paragraph" w:customStyle="1" w:styleId="101">
    <w:name w:val="06F图名表名"/>
    <w:basedOn w:val="102"/>
    <w:next w:val="102"/>
    <w:qFormat/>
    <w:uiPriority w:val="0"/>
    <w:rPr>
      <w:b/>
      <w:kern w:val="0"/>
      <w:sz w:val="20"/>
      <w:szCs w:val="20"/>
    </w:rPr>
  </w:style>
  <w:style w:type="paragraph" w:customStyle="1" w:styleId="102">
    <w:name w:val="07F表格文字"/>
    <w:basedOn w:val="1"/>
    <w:next w:val="1"/>
    <w:qFormat/>
    <w:uiPriority w:val="0"/>
    <w:pPr>
      <w:jc w:val="center"/>
    </w:pPr>
    <w:rPr>
      <w:szCs w:val="21"/>
    </w:rPr>
  </w:style>
  <w:style w:type="paragraph" w:customStyle="1" w:styleId="103">
    <w:name w:val="样式 标题 1一级标题 + 段前: 0.5 行 段后: 0.5 行"/>
    <w:basedOn w:val="5"/>
    <w:qFormat/>
    <w:uiPriority w:val="99"/>
    <w:pPr>
      <w:spacing w:line="320" w:lineRule="exact"/>
      <w:outlineLvl w:val="9"/>
    </w:pPr>
    <w:rPr>
      <w:spacing w:val="-6"/>
      <w:sz w:val="21"/>
      <w:szCs w:val="21"/>
    </w:rPr>
  </w:style>
  <w:style w:type="paragraph" w:customStyle="1" w:styleId="104">
    <w:name w:val="123456"/>
    <w:basedOn w:val="1"/>
    <w:qFormat/>
    <w:uiPriority w:val="0"/>
    <w:pPr>
      <w:spacing w:line="360" w:lineRule="auto"/>
      <w:ind w:firstLine="200" w:firstLineChars="200"/>
    </w:pPr>
    <w:rPr>
      <w:sz w:val="24"/>
    </w:rPr>
  </w:style>
  <w:style w:type="paragraph" w:customStyle="1" w:styleId="105">
    <w:name w:val="B3"/>
    <w:basedOn w:val="1"/>
    <w:qFormat/>
    <w:uiPriority w:val="0"/>
    <w:pPr>
      <w:widowControl/>
      <w:spacing w:line="640" w:lineRule="exact"/>
      <w:ind w:firstLine="562" w:firstLineChars="200"/>
      <w:jc w:val="left"/>
    </w:pPr>
    <w:rPr>
      <w:rFonts w:ascii="仿宋_GB2312" w:hAnsi="黑体" w:eastAsia="仿宋_GB2312"/>
      <w:b/>
      <w:sz w:val="28"/>
    </w:rPr>
  </w:style>
  <w:style w:type="paragraph" w:customStyle="1" w:styleId="106">
    <w:name w:val="表格内正文"/>
    <w:basedOn w:val="1"/>
    <w:qFormat/>
    <w:uiPriority w:val="0"/>
    <w:pPr>
      <w:spacing w:line="360" w:lineRule="auto"/>
      <w:ind w:firstLine="493"/>
    </w:pPr>
    <w:rPr>
      <w:rFonts w:ascii="宋体" w:hAnsi="宋体"/>
      <w:spacing w:val="4"/>
      <w:kern w:val="18"/>
      <w:sz w:val="24"/>
    </w:rPr>
  </w:style>
  <w:style w:type="table" w:customStyle="1" w:styleId="107">
    <w:name w:val="Table Normal"/>
    <w:unhideWhenUsed/>
    <w:qFormat/>
    <w:uiPriority w:val="0"/>
    <w:tblPr>
      <w:tblCellMar>
        <w:top w:w="0" w:type="dxa"/>
        <w:left w:w="0" w:type="dxa"/>
        <w:bottom w:w="0" w:type="dxa"/>
        <w:right w:w="0" w:type="dxa"/>
      </w:tblCellMar>
    </w:tblPr>
  </w:style>
  <w:style w:type="character" w:customStyle="1" w:styleId="108">
    <w:name w:val="font01"/>
    <w:qFormat/>
    <w:uiPriority w:val="0"/>
    <w:rPr>
      <w:rFonts w:hint="default" w:ascii="MingLiU" w:hAnsi="MingLiU" w:eastAsia="MingLiU" w:cs="MingLiU"/>
      <w:color w:val="000000"/>
      <w:sz w:val="20"/>
      <w:szCs w:val="20"/>
      <w:u w:val="none"/>
    </w:rPr>
  </w:style>
  <w:style w:type="character" w:customStyle="1" w:styleId="109">
    <w:name w:val="font21"/>
    <w:qFormat/>
    <w:uiPriority w:val="0"/>
    <w:rPr>
      <w:rFonts w:hint="default" w:ascii="Times New Roman" w:hAnsi="Times New Roman" w:cs="Times New Roman"/>
      <w:color w:val="000000"/>
      <w:sz w:val="24"/>
      <w:szCs w:val="24"/>
      <w:u w:val="none"/>
    </w:rPr>
  </w:style>
  <w:style w:type="paragraph" w:customStyle="1" w:styleId="110">
    <w:name w:val="样式1"/>
    <w:basedOn w:val="111"/>
    <w:next w:val="1"/>
    <w:qFormat/>
    <w:uiPriority w:val="0"/>
    <w:pPr>
      <w:spacing w:line="360" w:lineRule="auto"/>
      <w:ind w:firstLine="510"/>
    </w:pPr>
  </w:style>
  <w:style w:type="paragraph" w:customStyle="1" w:styleId="111">
    <w:name w:val="表格文字"/>
    <w:basedOn w:val="17"/>
    <w:qFormat/>
    <w:uiPriority w:val="0"/>
    <w:pPr>
      <w:widowControl w:val="0"/>
      <w:autoSpaceDE w:val="0"/>
      <w:autoSpaceDN w:val="0"/>
      <w:adjustRightInd w:val="0"/>
      <w:textAlignment w:val="baseline"/>
    </w:pPr>
    <w:rPr>
      <w:rFonts w:ascii="宋体"/>
      <w:color w:val="000000"/>
      <w:sz w:val="24"/>
    </w:rPr>
  </w:style>
  <w:style w:type="paragraph" w:customStyle="1" w:styleId="112">
    <w:name w:val="表格注解"/>
    <w:basedOn w:val="1"/>
    <w:qFormat/>
    <w:uiPriority w:val="0"/>
    <w:pPr>
      <w:adjustRightInd w:val="0"/>
      <w:ind w:firstLine="480" w:firstLineChars="200"/>
      <w:textAlignment w:val="baseline"/>
    </w:pPr>
    <w:rPr>
      <w:kern w:val="0"/>
      <w:szCs w:val="20"/>
    </w:rPr>
  </w:style>
  <w:style w:type="paragraph" w:customStyle="1" w:styleId="113">
    <w:name w:val="Table Paragraph"/>
    <w:basedOn w:val="1"/>
    <w:qFormat/>
    <w:uiPriority w:val="1"/>
    <w:pPr>
      <w:autoSpaceDE w:val="0"/>
      <w:autoSpaceDN w:val="0"/>
      <w:adjustRightInd w:val="0"/>
      <w:jc w:val="left"/>
    </w:pPr>
    <w:rPr>
      <w:kern w:val="0"/>
      <w:sz w:val="24"/>
    </w:rPr>
  </w:style>
  <w:style w:type="character" w:customStyle="1" w:styleId="114">
    <w:name w:val="font41"/>
    <w:qFormat/>
    <w:uiPriority w:val="0"/>
    <w:rPr>
      <w:rFonts w:hint="eastAsia" w:ascii="宋体" w:hAnsi="宋体" w:eastAsia="宋体" w:cs="宋体"/>
      <w:b/>
      <w:bCs/>
      <w:color w:val="000000"/>
      <w:sz w:val="18"/>
      <w:szCs w:val="18"/>
      <w:u w:val="none"/>
    </w:rPr>
  </w:style>
  <w:style w:type="character" w:customStyle="1" w:styleId="115">
    <w:name w:val="font11"/>
    <w:qFormat/>
    <w:uiPriority w:val="0"/>
    <w:rPr>
      <w:rFonts w:hint="eastAsia" w:ascii="宋体" w:hAnsi="宋体" w:eastAsia="宋体" w:cs="宋体"/>
      <w:color w:val="000000"/>
      <w:sz w:val="18"/>
      <w:szCs w:val="18"/>
      <w:u w:val="none"/>
    </w:rPr>
  </w:style>
  <w:style w:type="paragraph" w:customStyle="1" w:styleId="116">
    <w:name w:val="文本"/>
    <w:basedOn w:val="1"/>
    <w:link w:val="132"/>
    <w:qFormat/>
    <w:uiPriority w:val="0"/>
    <w:pPr>
      <w:spacing w:line="360" w:lineRule="auto"/>
      <w:ind w:firstLine="480" w:firstLineChars="200"/>
    </w:pPr>
    <w:rPr>
      <w:sz w:val="24"/>
    </w:rPr>
  </w:style>
  <w:style w:type="character" w:customStyle="1" w:styleId="117">
    <w:name w:val="_Style 110"/>
    <w:unhideWhenUsed/>
    <w:qFormat/>
    <w:uiPriority w:val="99"/>
    <w:rPr>
      <w:color w:val="605E5C"/>
      <w:shd w:val="clear" w:color="auto" w:fill="E1DFDD"/>
    </w:rPr>
  </w:style>
  <w:style w:type="paragraph" w:customStyle="1" w:styleId="118">
    <w:name w:val="D正文"/>
    <w:basedOn w:val="1"/>
    <w:qFormat/>
    <w:uiPriority w:val="0"/>
    <w:pPr>
      <w:autoSpaceDE w:val="0"/>
      <w:autoSpaceDN w:val="0"/>
      <w:adjustRightInd w:val="0"/>
      <w:snapToGrid w:val="0"/>
      <w:spacing w:line="324" w:lineRule="auto"/>
      <w:ind w:firstLine="200" w:firstLineChars="200"/>
      <w:jc w:val="left"/>
      <w:textAlignment w:val="baseline"/>
    </w:pPr>
    <w:rPr>
      <w:rFonts w:ascii="Calibri" w:hAnsi="Calibri"/>
      <w:kern w:val="0"/>
      <w:sz w:val="24"/>
    </w:rPr>
  </w:style>
  <w:style w:type="paragraph" w:customStyle="1" w:styleId="119">
    <w:name w:val="D表内"/>
    <w:basedOn w:val="120"/>
    <w:qFormat/>
    <w:uiPriority w:val="0"/>
    <w:pPr>
      <w:spacing w:before="40" w:after="40"/>
    </w:pPr>
  </w:style>
  <w:style w:type="paragraph" w:customStyle="1" w:styleId="120">
    <w:name w:val="图表"/>
    <w:basedOn w:val="1"/>
    <w:qFormat/>
    <w:uiPriority w:val="0"/>
    <w:pPr>
      <w:spacing w:before="120" w:after="120"/>
      <w:jc w:val="center"/>
    </w:pPr>
    <w:rPr>
      <w:szCs w:val="21"/>
    </w:rPr>
  </w:style>
  <w:style w:type="paragraph" w:customStyle="1" w:styleId="121">
    <w:name w:val="!正文"/>
    <w:basedOn w:val="1"/>
    <w:qFormat/>
    <w:uiPriority w:val="0"/>
    <w:pPr>
      <w:adjustRightInd w:val="0"/>
      <w:snapToGrid w:val="0"/>
      <w:spacing w:line="360" w:lineRule="auto"/>
      <w:ind w:firstLine="480" w:firstLineChars="200"/>
    </w:pPr>
    <w:rPr>
      <w:sz w:val="24"/>
      <w:szCs w:val="21"/>
    </w:rPr>
  </w:style>
  <w:style w:type="paragraph" w:customStyle="1" w:styleId="122">
    <w:name w:val="YH表1表格内文字"/>
    <w:basedOn w:val="1"/>
    <w:qFormat/>
    <w:uiPriority w:val="0"/>
    <w:pPr>
      <w:jc w:val="center"/>
    </w:pPr>
    <w:rPr>
      <w:sz w:val="24"/>
    </w:rPr>
  </w:style>
  <w:style w:type="paragraph" w:customStyle="1" w:styleId="123">
    <w:name w:val="表1.1-1"/>
    <w:basedOn w:val="1"/>
    <w:qFormat/>
    <w:uiPriority w:val="0"/>
    <w:pPr>
      <w:widowControl/>
      <w:adjustRightInd w:val="0"/>
      <w:snapToGrid w:val="0"/>
      <w:spacing w:beforeLines="50"/>
      <w:jc w:val="center"/>
    </w:pPr>
    <w:rPr>
      <w:b/>
      <w:color w:val="000000"/>
      <w:sz w:val="24"/>
    </w:rPr>
  </w:style>
  <w:style w:type="paragraph" w:customStyle="1" w:styleId="124">
    <w:name w:val="0正文"/>
    <w:basedOn w:val="1"/>
    <w:qFormat/>
    <w:uiPriority w:val="0"/>
    <w:pPr>
      <w:adjustRightInd w:val="0"/>
      <w:snapToGrid w:val="0"/>
      <w:spacing w:line="360" w:lineRule="auto"/>
      <w:ind w:firstLine="200" w:firstLineChars="200"/>
    </w:pPr>
    <w:rPr>
      <w:sz w:val="24"/>
    </w:rPr>
  </w:style>
  <w:style w:type="paragraph" w:customStyle="1" w:styleId="125">
    <w:name w:val="5文章(治)"/>
    <w:basedOn w:val="1"/>
    <w:qFormat/>
    <w:uiPriority w:val="0"/>
    <w:pPr>
      <w:spacing w:line="360" w:lineRule="auto"/>
      <w:ind w:firstLine="560" w:firstLineChars="200"/>
    </w:pPr>
    <w:rPr>
      <w:sz w:val="24"/>
    </w:rPr>
  </w:style>
  <w:style w:type="paragraph" w:customStyle="1" w:styleId="126">
    <w:name w:val="YH表格内文字"/>
    <w:basedOn w:val="1"/>
    <w:qFormat/>
    <w:uiPriority w:val="0"/>
    <w:pPr>
      <w:snapToGrid w:val="0"/>
      <w:jc w:val="center"/>
    </w:pPr>
    <w:rPr>
      <w:szCs w:val="21"/>
    </w:rPr>
  </w:style>
  <w:style w:type="paragraph" w:customStyle="1" w:styleId="127">
    <w:name w:val="YH表头"/>
    <w:basedOn w:val="1"/>
    <w:qFormat/>
    <w:uiPriority w:val="0"/>
    <w:pPr>
      <w:snapToGrid w:val="0"/>
      <w:spacing w:after="60"/>
      <w:jc w:val="center"/>
    </w:pPr>
    <w:rPr>
      <w:b/>
      <w:bCs/>
      <w:szCs w:val="21"/>
    </w:rPr>
  </w:style>
  <w:style w:type="paragraph" w:customStyle="1" w:styleId="128">
    <w:name w:val="段落 Char"/>
    <w:basedOn w:val="1"/>
    <w:qFormat/>
    <w:uiPriority w:val="0"/>
    <w:pPr>
      <w:topLinePunct/>
      <w:snapToGrid w:val="0"/>
      <w:spacing w:line="360" w:lineRule="auto"/>
      <w:ind w:firstLine="200" w:firstLineChars="200"/>
    </w:pPr>
    <w:rPr>
      <w:sz w:val="24"/>
    </w:rPr>
  </w:style>
  <w:style w:type="character" w:customStyle="1" w:styleId="129">
    <w:name w:val="font31"/>
    <w:qFormat/>
    <w:uiPriority w:val="0"/>
    <w:rPr>
      <w:rFonts w:hint="eastAsia" w:ascii="宋体" w:hAnsi="宋体" w:eastAsia="宋体" w:cs="宋体"/>
      <w:color w:val="000000"/>
      <w:sz w:val="21"/>
      <w:szCs w:val="21"/>
      <w:u w:val="none"/>
    </w:rPr>
  </w:style>
  <w:style w:type="paragraph" w:customStyle="1" w:styleId="130">
    <w:name w:val="05F凡式正文"/>
    <w:basedOn w:val="1"/>
    <w:qFormat/>
    <w:uiPriority w:val="0"/>
    <w:pPr>
      <w:spacing w:line="360" w:lineRule="auto"/>
      <w:ind w:firstLine="720" w:firstLineChars="200"/>
    </w:pPr>
    <w:rPr>
      <w:kern w:val="0"/>
      <w:sz w:val="24"/>
      <w:szCs w:val="20"/>
    </w:rPr>
  </w:style>
  <w:style w:type="paragraph" w:customStyle="1" w:styleId="131">
    <w:name w:val="样式 正文001 + Times New Roman"/>
    <w:basedOn w:val="1"/>
    <w:qFormat/>
    <w:uiPriority w:val="0"/>
    <w:pPr>
      <w:spacing w:before="60" w:line="460" w:lineRule="exact"/>
      <w:ind w:firstLine="482"/>
    </w:pPr>
    <w:rPr>
      <w:sz w:val="24"/>
      <w:szCs w:val="20"/>
    </w:rPr>
  </w:style>
  <w:style w:type="character" w:customStyle="1" w:styleId="132">
    <w:name w:val="文本 Char"/>
    <w:link w:val="116"/>
    <w:qFormat/>
    <w:uiPriority w:val="0"/>
    <w:rPr>
      <w:sz w:val="24"/>
    </w:rPr>
  </w:style>
  <w:style w:type="paragraph" w:customStyle="1" w:styleId="133">
    <w:name w:val="表格式"/>
    <w:basedOn w:val="14"/>
    <w:qFormat/>
    <w:uiPriority w:val="0"/>
    <w:pPr>
      <w:spacing w:before="80"/>
      <w:ind w:left="0" w:firstLine="0" w:firstLineChars="0"/>
      <w:jc w:val="center"/>
    </w:pPr>
    <w:rPr>
      <w:b/>
      <w:bCs/>
      <w:color w:val="000000"/>
      <w:szCs w:val="20"/>
    </w:rPr>
  </w:style>
  <w:style w:type="paragraph" w:customStyle="1" w:styleId="134">
    <w:name w:val="表格内容居中"/>
    <w:qFormat/>
    <w:uiPriority w:val="0"/>
    <w:pPr>
      <w:adjustRightInd w:val="0"/>
      <w:snapToGrid w:val="0"/>
      <w:jc w:val="center"/>
    </w:pPr>
    <w:rPr>
      <w:rFonts w:ascii="Times New Roman" w:hAnsi="Times New Roman" w:eastAsia="宋体" w:cs="Times New Roman"/>
      <w:snapToGrid w:val="0"/>
      <w:sz w:val="21"/>
      <w:szCs w:val="21"/>
      <w:lang w:val="en-US" w:eastAsia="zh-CN" w:bidi="ar-SA"/>
    </w:rPr>
  </w:style>
  <w:style w:type="paragraph" w:customStyle="1" w:styleId="135">
    <w:name w:val="报告书表格"/>
    <w:basedOn w:val="1"/>
    <w:qFormat/>
    <w:uiPriority w:val="0"/>
    <w:pPr>
      <w:adjustRightInd w:val="0"/>
      <w:spacing w:before="60" w:after="60" w:line="240" w:lineRule="atLeast"/>
      <w:jc w:val="center"/>
      <w:textAlignment w:val="baseline"/>
    </w:pPr>
    <w:rPr>
      <w:kern w:val="0"/>
    </w:rPr>
  </w:style>
  <w:style w:type="paragraph" w:customStyle="1" w:styleId="136">
    <w:name w:val="正文样式"/>
    <w:basedOn w:val="1"/>
    <w:qFormat/>
    <w:uiPriority w:val="0"/>
    <w:pPr>
      <w:spacing w:line="360" w:lineRule="auto"/>
      <w:ind w:right="170" w:firstLine="480" w:firstLineChars="200"/>
    </w:pPr>
    <w:rPr>
      <w:rFonts w:hAnsi="宋体"/>
      <w:sz w:val="24"/>
    </w:rPr>
  </w:style>
  <w:style w:type="paragraph" w:customStyle="1" w:styleId="137">
    <w:name w:val="报告正文-连续目录"/>
    <w:basedOn w:val="1"/>
    <w:qFormat/>
    <w:uiPriority w:val="0"/>
    <w:pPr>
      <w:spacing w:line="440" w:lineRule="exact"/>
      <w:ind w:firstLine="200" w:firstLineChars="200"/>
    </w:pPr>
    <w:rPr>
      <w:rFonts w:ascii="Arial" w:hAnsi="Arial"/>
      <w:snapToGrid w:val="0"/>
      <w:kern w:val="0"/>
      <w:sz w:val="24"/>
    </w:rPr>
  </w:style>
  <w:style w:type="character" w:customStyle="1" w:styleId="138">
    <w:name w:val="font121"/>
    <w:qFormat/>
    <w:uiPriority w:val="0"/>
    <w:rPr>
      <w:rFonts w:hint="eastAsia" w:ascii="宋体" w:hAnsi="宋体" w:eastAsia="宋体" w:cs="宋体"/>
      <w:color w:val="000000"/>
      <w:sz w:val="24"/>
      <w:szCs w:val="24"/>
      <w:u w:val="none"/>
    </w:rPr>
  </w:style>
  <w:style w:type="paragraph" w:customStyle="1" w:styleId="139">
    <w:name w:val="表格内"/>
    <w:basedOn w:val="1"/>
    <w:qFormat/>
    <w:uiPriority w:val="0"/>
    <w:pPr>
      <w:jc w:val="center"/>
    </w:pPr>
    <w:rPr>
      <w:bCs/>
      <w:sz w:val="20"/>
      <w:szCs w:val="21"/>
    </w:rPr>
  </w:style>
  <w:style w:type="paragraph" w:customStyle="1" w:styleId="140">
    <w:name w:val="表格居中"/>
    <w:basedOn w:val="1"/>
    <w:qFormat/>
    <w:uiPriority w:val="0"/>
    <w:pPr>
      <w:jc w:val="center"/>
    </w:pPr>
    <w:rPr>
      <w:rFonts w:ascii="宋体" w:hAnsi="宋体" w:cs="宋体"/>
      <w:snapToGrid w:val="0"/>
      <w:spacing w:val="-4"/>
      <w:w w:val="90"/>
      <w:kern w:val="0"/>
      <w:sz w:val="24"/>
    </w:rPr>
  </w:style>
  <w:style w:type="paragraph" w:customStyle="1" w:styleId="141">
    <w:name w:val="a表格"/>
    <w:next w:val="1"/>
    <w:qFormat/>
    <w:uiPriority w:val="0"/>
    <w:pPr>
      <w:jc w:val="center"/>
    </w:pPr>
    <w:rPr>
      <w:rFonts w:ascii="Times New Roman" w:hAnsi="Times New Roman" w:eastAsia="宋体" w:cs="Times New Roman"/>
      <w:sz w:val="21"/>
      <w:szCs w:val="24"/>
      <w:lang w:val="en-US" w:eastAsia="zh-CN" w:bidi="ar-SA"/>
    </w:rPr>
  </w:style>
  <w:style w:type="paragraph" w:customStyle="1" w:styleId="142">
    <w:name w:val="36表格内"/>
    <w:basedOn w:val="143"/>
    <w:qFormat/>
    <w:uiPriority w:val="0"/>
    <w:rPr>
      <w:b w:val="0"/>
      <w:sz w:val="21"/>
    </w:rPr>
  </w:style>
  <w:style w:type="paragraph" w:customStyle="1" w:styleId="143">
    <w:name w:val="36表头"/>
    <w:qFormat/>
    <w:uiPriority w:val="0"/>
    <w:pPr>
      <w:jc w:val="center"/>
    </w:pPr>
    <w:rPr>
      <w:rFonts w:ascii="Times New Roman" w:hAnsi="Times New Roman" w:eastAsia="宋体" w:cs="Times New Roman"/>
      <w:b/>
      <w:kern w:val="2"/>
      <w:sz w:val="24"/>
      <w:lang w:val="en-US" w:eastAsia="zh-CN" w:bidi="ar-SA"/>
    </w:rPr>
  </w:style>
  <w:style w:type="paragraph" w:customStyle="1" w:styleId="144">
    <w:name w:val="正文1"/>
    <w:basedOn w:val="1"/>
    <w:qFormat/>
    <w:uiPriority w:val="0"/>
    <w:pPr>
      <w:adjustRightInd w:val="0"/>
      <w:snapToGrid w:val="0"/>
      <w:spacing w:line="360" w:lineRule="auto"/>
      <w:ind w:firstLine="482"/>
    </w:pPr>
    <w:rPr>
      <w:rFonts w:ascii="宋体" w:hAnsi="宋体"/>
      <w:kern w:val="0"/>
      <w:sz w:val="24"/>
    </w:rPr>
  </w:style>
  <w:style w:type="paragraph" w:customStyle="1" w:styleId="145">
    <w:name w:val="正文文本 21"/>
    <w:basedOn w:val="1"/>
    <w:qFormat/>
    <w:uiPriority w:val="0"/>
    <w:pPr>
      <w:adjustRightInd w:val="0"/>
      <w:jc w:val="center"/>
      <w:textAlignment w:val="baseline"/>
    </w:pPr>
    <w:rPr>
      <w:sz w:val="24"/>
      <w:szCs w:val="20"/>
    </w:rPr>
  </w:style>
  <w:style w:type="paragraph" w:customStyle="1" w:styleId="146">
    <w:name w:val="表中文字"/>
    <w:basedOn w:val="16"/>
    <w:qFormat/>
    <w:uiPriority w:val="0"/>
    <w:pPr>
      <w:spacing w:after="0"/>
      <w:jc w:val="center"/>
    </w:pPr>
    <w:rPr>
      <w:rFonts w:ascii="宋体"/>
      <w:spacing w:val="4"/>
      <w:w w:val="90"/>
      <w:sz w:val="24"/>
      <w:szCs w:val="20"/>
    </w:rPr>
  </w:style>
  <w:style w:type="paragraph" w:customStyle="1" w:styleId="147">
    <w:name w:val="s表格正文"/>
    <w:basedOn w:val="1"/>
    <w:next w:val="1"/>
    <w:qFormat/>
    <w:uiPriority w:val="0"/>
    <w:pPr>
      <w:jc w:val="center"/>
    </w:pPr>
  </w:style>
  <w:style w:type="paragraph" w:customStyle="1" w:styleId="148">
    <w:name w:val="小四+首行缩进"/>
    <w:basedOn w:val="1"/>
    <w:qFormat/>
    <w:uiPriority w:val="0"/>
    <w:pPr>
      <w:spacing w:line="360" w:lineRule="auto"/>
      <w:ind w:firstLine="482"/>
    </w:pPr>
    <w:rPr>
      <w:rFonts w:ascii="宋体" w:hAnsi="宋体"/>
      <w:sz w:val="24"/>
    </w:rPr>
  </w:style>
  <w:style w:type="paragraph" w:customStyle="1" w:styleId="149">
    <w:name w:val="a表头"/>
    <w:basedOn w:val="1"/>
    <w:qFormat/>
    <w:uiPriority w:val="0"/>
    <w:pPr>
      <w:widowControl/>
      <w:snapToGrid w:val="0"/>
      <w:jc w:val="center"/>
    </w:pPr>
    <w:rPr>
      <w:b/>
      <w:shd w:val="clear" w:color="auto" w:fill="FFFFFF"/>
      <w:lang w:val="zh-CN"/>
    </w:rPr>
  </w:style>
  <w:style w:type="paragraph" w:customStyle="1" w:styleId="150">
    <w:name w:val="正文 New New New New New New New New New New New New New New New New New New New New New New New New New New New New New New New New New"/>
    <w:qFormat/>
    <w:uiPriority w:val="0"/>
    <w:pPr>
      <w:spacing w:line="425" w:lineRule="atLeast"/>
      <w:jc w:val="both"/>
      <w:textAlignment w:val="baseline"/>
    </w:pPr>
    <w:rPr>
      <w:rFonts w:ascii="Times New Roman" w:hAnsi="Times New Roman" w:eastAsia="宋体" w:cs="Times New Roman"/>
      <w:color w:val="000000"/>
      <w:sz w:val="21"/>
      <w:szCs w:val="22"/>
      <w:u w:color="000000"/>
      <w:lang w:val="en-US" w:eastAsia="zh-CN" w:bidi="ar-SA"/>
    </w:rPr>
  </w:style>
  <w:style w:type="paragraph" w:customStyle="1" w:styleId="151">
    <w:name w:val="正文(邵)"/>
    <w:basedOn w:val="1"/>
    <w:qFormat/>
    <w:uiPriority w:val="0"/>
    <w:pPr>
      <w:widowControl/>
      <w:adjustRightInd w:val="0"/>
      <w:snapToGrid w:val="0"/>
      <w:spacing w:line="360" w:lineRule="auto"/>
      <w:ind w:firstLine="480"/>
      <w:jc w:val="left"/>
    </w:pPr>
    <w:rPr>
      <w:kern w:val="0"/>
      <w:sz w:val="24"/>
      <w:lang w:bidi="en-US"/>
    </w:rPr>
  </w:style>
  <w:style w:type="paragraph" w:customStyle="1" w:styleId="152">
    <w:name w:val="魏秀珍   正文"/>
    <w:basedOn w:val="8"/>
    <w:qFormat/>
    <w:uiPriority w:val="0"/>
    <w:pPr>
      <w:adjustRightInd w:val="0"/>
      <w:snapToGrid w:val="0"/>
      <w:spacing w:line="360" w:lineRule="auto"/>
      <w:ind w:firstLine="480"/>
    </w:pPr>
    <w:rPr>
      <w:rFonts w:hAnsi="宋体"/>
      <w:bCs/>
      <w:kern w:val="0"/>
    </w:rPr>
  </w:style>
  <w:style w:type="paragraph" w:customStyle="1" w:styleId="153">
    <w:name w:val="A0正文"/>
    <w:basedOn w:val="1"/>
    <w:qFormat/>
    <w:uiPriority w:val="0"/>
    <w:pPr>
      <w:spacing w:line="560" w:lineRule="exact"/>
      <w:ind w:firstLine="200" w:firstLineChars="200"/>
    </w:pPr>
    <w:rPr>
      <w:rFonts w:cs="宋体"/>
      <w:sz w:val="24"/>
      <w:szCs w:val="20"/>
      <w:lang w:val="zh-CN"/>
    </w:rPr>
  </w:style>
  <w:style w:type="paragraph" w:customStyle="1" w:styleId="154">
    <w:name w:val="正文首行缩进 2 + Times New Roman"/>
    <w:basedOn w:val="1"/>
    <w:qFormat/>
    <w:uiPriority w:val="0"/>
    <w:pPr>
      <w:tabs>
        <w:tab w:val="left" w:pos="0"/>
        <w:tab w:val="left" w:pos="870"/>
        <w:tab w:val="left" w:pos="3150"/>
      </w:tabs>
      <w:autoSpaceDE w:val="0"/>
      <w:autoSpaceDN w:val="0"/>
      <w:spacing w:line="360" w:lineRule="auto"/>
      <w:ind w:firstLine="480" w:firstLineChars="200"/>
      <w:jc w:val="left"/>
    </w:pPr>
    <w:rPr>
      <w:kern w:val="0"/>
      <w:sz w:val="24"/>
    </w:rPr>
  </w:style>
  <w:style w:type="paragraph" w:customStyle="1" w:styleId="155">
    <w:name w:val="正文2"/>
    <w:basedOn w:val="1"/>
    <w:qFormat/>
    <w:uiPriority w:val="0"/>
    <w:pPr>
      <w:adjustRightInd w:val="0"/>
      <w:spacing w:line="360" w:lineRule="auto"/>
      <w:ind w:firstLine="480" w:firstLineChars="200"/>
      <w:textAlignment w:val="baseline"/>
    </w:pPr>
    <w:rPr>
      <w:rFonts w:ascii="宋体" w:hAnsi="宋体"/>
      <w:kern w:val="21"/>
      <w:sz w:val="24"/>
    </w:rPr>
  </w:style>
  <w:style w:type="paragraph" w:customStyle="1" w:styleId="156">
    <w:name w:val="五花肉的表格"/>
    <w:basedOn w:val="1"/>
    <w:qFormat/>
    <w:uiPriority w:val="0"/>
  </w:style>
  <w:style w:type="paragraph" w:customStyle="1" w:styleId="157">
    <w:name w:val="表格标题"/>
    <w:basedOn w:val="1"/>
    <w:next w:val="1"/>
    <w:qFormat/>
    <w:uiPriority w:val="0"/>
    <w:pPr>
      <w:spacing w:line="300" w:lineRule="auto"/>
      <w:jc w:val="center"/>
    </w:pPr>
    <w:rPr>
      <w:sz w:val="24"/>
    </w:rPr>
  </w:style>
  <w:style w:type="paragraph" w:customStyle="1" w:styleId="158">
    <w:name w:val="内容"/>
    <w:basedOn w:val="1"/>
    <w:qFormat/>
    <w:uiPriority w:val="0"/>
    <w:pPr>
      <w:adjustRightInd w:val="0"/>
      <w:snapToGrid w:val="0"/>
      <w:spacing w:line="360" w:lineRule="auto"/>
      <w:ind w:left="280" w:leftChars="100" w:right="280" w:rightChars="100" w:firstLine="560" w:firstLineChars="200"/>
      <w:jc w:val="left"/>
    </w:pPr>
    <w:rPr>
      <w:sz w:val="28"/>
      <w:szCs w:val="28"/>
    </w:rPr>
  </w:style>
  <w:style w:type="paragraph" w:customStyle="1" w:styleId="159">
    <w:name w:val="s表格标题"/>
    <w:basedOn w:val="1"/>
    <w:next w:val="147"/>
    <w:qFormat/>
    <w:uiPriority w:val="0"/>
    <w:pPr>
      <w:jc w:val="center"/>
    </w:pPr>
  </w:style>
  <w:style w:type="paragraph" w:customStyle="1" w:styleId="160">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61">
    <w:name w:val="正文首行缩进2个字"/>
    <w:basedOn w:val="1"/>
    <w:qFormat/>
    <w:uiPriority w:val="0"/>
    <w:pPr>
      <w:spacing w:line="360" w:lineRule="auto"/>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1" Type="http://schemas.openxmlformats.org/officeDocument/2006/relationships/fontTable" Target="fontTable.xml"/><Relationship Id="rId80" Type="http://schemas.openxmlformats.org/officeDocument/2006/relationships/numbering" Target="numbering.xml"/><Relationship Id="rId8" Type="http://schemas.openxmlformats.org/officeDocument/2006/relationships/footer" Target="footer6.xml"/><Relationship Id="rId79" Type="http://schemas.openxmlformats.org/officeDocument/2006/relationships/customXml" Target="../customXml/item1.xml"/><Relationship Id="rId78" Type="http://schemas.openxmlformats.org/officeDocument/2006/relationships/image" Target="media/image42.png"/><Relationship Id="rId77" Type="http://schemas.openxmlformats.org/officeDocument/2006/relationships/image" Target="media/image41.png"/><Relationship Id="rId76" Type="http://schemas.openxmlformats.org/officeDocument/2006/relationships/image" Target="media/image40.jpeg"/><Relationship Id="rId75" Type="http://schemas.openxmlformats.org/officeDocument/2006/relationships/image" Target="media/image39.png"/><Relationship Id="rId74" Type="http://schemas.openxmlformats.org/officeDocument/2006/relationships/image" Target="media/image38.png"/><Relationship Id="rId73" Type="http://schemas.openxmlformats.org/officeDocument/2006/relationships/image" Target="media/image37.png"/><Relationship Id="rId72" Type="http://schemas.openxmlformats.org/officeDocument/2006/relationships/image" Target="media/image36.png"/><Relationship Id="rId71" Type="http://schemas.openxmlformats.org/officeDocument/2006/relationships/image" Target="media/image35.png"/><Relationship Id="rId70" Type="http://schemas.openxmlformats.org/officeDocument/2006/relationships/image" Target="media/image34.png"/><Relationship Id="rId7" Type="http://schemas.openxmlformats.org/officeDocument/2006/relationships/footer" Target="footer5.xml"/><Relationship Id="rId69" Type="http://schemas.openxmlformats.org/officeDocument/2006/relationships/image" Target="media/image33.png"/><Relationship Id="rId68" Type="http://schemas.openxmlformats.org/officeDocument/2006/relationships/oleObject" Target="embeddings/oleObject27.bin"/><Relationship Id="rId67" Type="http://schemas.openxmlformats.org/officeDocument/2006/relationships/image" Target="media/image32.wmf"/><Relationship Id="rId66" Type="http://schemas.openxmlformats.org/officeDocument/2006/relationships/oleObject" Target="embeddings/oleObject26.bin"/><Relationship Id="rId65" Type="http://schemas.openxmlformats.org/officeDocument/2006/relationships/image" Target="media/image31.wmf"/><Relationship Id="rId64" Type="http://schemas.openxmlformats.org/officeDocument/2006/relationships/oleObject" Target="embeddings/oleObject25.bin"/><Relationship Id="rId63" Type="http://schemas.openxmlformats.org/officeDocument/2006/relationships/image" Target="media/image30.wmf"/><Relationship Id="rId62" Type="http://schemas.openxmlformats.org/officeDocument/2006/relationships/oleObject" Target="embeddings/oleObject24.bin"/><Relationship Id="rId61" Type="http://schemas.openxmlformats.org/officeDocument/2006/relationships/oleObject" Target="embeddings/oleObject23.bin"/><Relationship Id="rId60" Type="http://schemas.openxmlformats.org/officeDocument/2006/relationships/image" Target="media/image29.wmf"/><Relationship Id="rId6" Type="http://schemas.openxmlformats.org/officeDocument/2006/relationships/footer" Target="footer4.xml"/><Relationship Id="rId59" Type="http://schemas.openxmlformats.org/officeDocument/2006/relationships/oleObject" Target="embeddings/oleObject22.bin"/><Relationship Id="rId58" Type="http://schemas.openxmlformats.org/officeDocument/2006/relationships/oleObject" Target="embeddings/oleObject21.bin"/><Relationship Id="rId57" Type="http://schemas.openxmlformats.org/officeDocument/2006/relationships/image" Target="media/image28.wmf"/><Relationship Id="rId56" Type="http://schemas.openxmlformats.org/officeDocument/2006/relationships/oleObject" Target="embeddings/oleObject20.bin"/><Relationship Id="rId55" Type="http://schemas.openxmlformats.org/officeDocument/2006/relationships/oleObject" Target="embeddings/oleObject19.bin"/><Relationship Id="rId54" Type="http://schemas.openxmlformats.org/officeDocument/2006/relationships/image" Target="media/image27.wmf"/><Relationship Id="rId53" Type="http://schemas.openxmlformats.org/officeDocument/2006/relationships/oleObject" Target="embeddings/oleObject18.bin"/><Relationship Id="rId52" Type="http://schemas.openxmlformats.org/officeDocument/2006/relationships/oleObject" Target="embeddings/oleObject17.bin"/><Relationship Id="rId51" Type="http://schemas.openxmlformats.org/officeDocument/2006/relationships/image" Target="media/image26.wmf"/><Relationship Id="rId50" Type="http://schemas.openxmlformats.org/officeDocument/2006/relationships/oleObject" Target="embeddings/oleObject16.bin"/><Relationship Id="rId5" Type="http://schemas.openxmlformats.org/officeDocument/2006/relationships/footer" Target="footer3.xml"/><Relationship Id="rId49" Type="http://schemas.openxmlformats.org/officeDocument/2006/relationships/oleObject" Target="embeddings/oleObject15.bin"/><Relationship Id="rId48" Type="http://schemas.openxmlformats.org/officeDocument/2006/relationships/image" Target="media/image25.wmf"/><Relationship Id="rId47" Type="http://schemas.openxmlformats.org/officeDocument/2006/relationships/oleObject" Target="embeddings/oleObject14.bin"/><Relationship Id="rId46" Type="http://schemas.openxmlformats.org/officeDocument/2006/relationships/image" Target="media/image24.wmf"/><Relationship Id="rId45" Type="http://schemas.openxmlformats.org/officeDocument/2006/relationships/oleObject" Target="embeddings/oleObject13.bin"/><Relationship Id="rId44" Type="http://schemas.openxmlformats.org/officeDocument/2006/relationships/oleObject" Target="embeddings/oleObject12.bin"/><Relationship Id="rId43" Type="http://schemas.openxmlformats.org/officeDocument/2006/relationships/image" Target="media/image23.wmf"/><Relationship Id="rId42" Type="http://schemas.openxmlformats.org/officeDocument/2006/relationships/oleObject" Target="embeddings/oleObject11.bin"/><Relationship Id="rId41" Type="http://schemas.openxmlformats.org/officeDocument/2006/relationships/oleObject" Target="embeddings/oleObject10.bin"/><Relationship Id="rId40" Type="http://schemas.openxmlformats.org/officeDocument/2006/relationships/image" Target="media/image22.wmf"/><Relationship Id="rId4" Type="http://schemas.openxmlformats.org/officeDocument/2006/relationships/footer" Target="footer2.xml"/><Relationship Id="rId39" Type="http://schemas.openxmlformats.org/officeDocument/2006/relationships/oleObject" Target="embeddings/oleObject9.bin"/><Relationship Id="rId38" Type="http://schemas.openxmlformats.org/officeDocument/2006/relationships/image" Target="media/image21.wmf"/><Relationship Id="rId37" Type="http://schemas.openxmlformats.org/officeDocument/2006/relationships/oleObject" Target="embeddings/oleObject8.bin"/><Relationship Id="rId36" Type="http://schemas.openxmlformats.org/officeDocument/2006/relationships/image" Target="media/image20.png"/><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wmf"/><Relationship Id="rId31" Type="http://schemas.openxmlformats.org/officeDocument/2006/relationships/oleObject" Target="embeddings/oleObject7.bin"/><Relationship Id="rId30" Type="http://schemas.openxmlformats.org/officeDocument/2006/relationships/image" Target="media/image15.wmf"/><Relationship Id="rId3" Type="http://schemas.openxmlformats.org/officeDocument/2006/relationships/footer" Target="footer1.xml"/><Relationship Id="rId29" Type="http://schemas.openxmlformats.org/officeDocument/2006/relationships/oleObject" Target="embeddings/oleObject6.bin"/><Relationship Id="rId28" Type="http://schemas.openxmlformats.org/officeDocument/2006/relationships/image" Target="media/image14.wmf"/><Relationship Id="rId27" Type="http://schemas.openxmlformats.org/officeDocument/2006/relationships/oleObject" Target="embeddings/oleObject5.bin"/><Relationship Id="rId26" Type="http://schemas.openxmlformats.org/officeDocument/2006/relationships/image" Target="media/image13.wmf"/><Relationship Id="rId25" Type="http://schemas.openxmlformats.org/officeDocument/2006/relationships/oleObject" Target="embeddings/oleObject4.bin"/><Relationship Id="rId24" Type="http://schemas.openxmlformats.org/officeDocument/2006/relationships/image" Target="media/image12.emf"/><Relationship Id="rId23" Type="http://schemas.openxmlformats.org/officeDocument/2006/relationships/oleObject" Target="embeddings/oleObject3.bin"/><Relationship Id="rId22" Type="http://schemas.openxmlformats.org/officeDocument/2006/relationships/image" Target="media/image11.wmf"/><Relationship Id="rId21" Type="http://schemas.openxmlformats.org/officeDocument/2006/relationships/image" Target="media/image10.wmf"/><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emf"/><Relationship Id="rId16" Type="http://schemas.openxmlformats.org/officeDocument/2006/relationships/oleObject" Target="embeddings/oleObject2.bin"/><Relationship Id="rId15" Type="http://schemas.openxmlformats.org/officeDocument/2006/relationships/image" Target="media/image5.emf"/><Relationship Id="rId14" Type="http://schemas.openxmlformats.org/officeDocument/2006/relationships/oleObject" Target="embeddings/oleObject1.bin"/><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99</Pages>
  <Words>51162</Words>
  <Characters>59514</Characters>
  <Lines>475</Lines>
  <Paragraphs>133</Paragraphs>
  <TotalTime>1</TotalTime>
  <ScaleCrop>false</ScaleCrop>
  <LinksUpToDate>false</LinksUpToDate>
  <CharactersWithSpaces>59981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2021-01-04T05:53:00Z</dcterms:created>
  <dc:creator>lhj</dc:creator>
  <cp:lastModifiedBy>稷</cp:lastModifiedBy>
  <cp:lastPrinted>2023-05-05T05:55:00Z</cp:lastPrinted>
  <dcterms:modified xsi:type="dcterms:W3CDTF">2023-08-25T09:42:24Z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941D36BD296C437DB4F8E23676E27696_13</vt:lpwstr>
  </property>
</Properties>
</file>