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lang w:val="en-US" w:eastAsia="zh-CN"/>
        </w:rPr>
        <w:t>余干县残联</w:t>
      </w:r>
      <w:r>
        <w:t>2023行政执法事项清单及依据</w:t>
      </w:r>
    </w:p>
    <w:tbl>
      <w:tblPr>
        <w:tblStyle w:val="3"/>
        <w:tblW w:w="46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21"/>
        <w:gridCol w:w="671"/>
        <w:gridCol w:w="668"/>
        <w:gridCol w:w="854"/>
        <w:gridCol w:w="6798"/>
        <w:gridCol w:w="547"/>
        <w:gridCol w:w="2187"/>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237"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事项编码</w:t>
            </w:r>
          </w:p>
        </w:tc>
        <w:tc>
          <w:tcPr>
            <w:tcW w:w="256"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主项</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名称</w:t>
            </w:r>
          </w:p>
        </w:tc>
        <w:tc>
          <w:tcPr>
            <w:tcW w:w="25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子项</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名称</w:t>
            </w:r>
          </w:p>
        </w:tc>
        <w:tc>
          <w:tcPr>
            <w:tcW w:w="326"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权力</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类型</w:t>
            </w:r>
          </w:p>
        </w:tc>
        <w:tc>
          <w:tcPr>
            <w:tcW w:w="259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设定依据</w:t>
            </w:r>
          </w:p>
        </w:tc>
        <w:tc>
          <w:tcPr>
            <w:tcW w:w="209"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行使</w:t>
            </w:r>
            <w:r>
              <w:rPr>
                <w:rFonts w:hint="eastAsia" w:ascii="黑体" w:hAnsi="宋体" w:eastAsia="黑体" w:cs="黑体"/>
                <w:i w:val="0"/>
                <w:iCs w:val="0"/>
                <w:caps w:val="0"/>
                <w:color w:val="000000"/>
                <w:spacing w:val="0"/>
                <w:kern w:val="0"/>
                <w:sz w:val="22"/>
                <w:szCs w:val="22"/>
                <w:u w:val="none"/>
                <w:lang w:val="en-US" w:eastAsia="zh-CN" w:bidi="ar"/>
              </w:rPr>
              <w:br w:type="textWrapping"/>
            </w:r>
            <w:r>
              <w:rPr>
                <w:rFonts w:hint="eastAsia" w:ascii="黑体" w:hAnsi="宋体" w:eastAsia="黑体" w:cs="黑体"/>
                <w:i w:val="0"/>
                <w:iCs w:val="0"/>
                <w:caps w:val="0"/>
                <w:color w:val="000000"/>
                <w:spacing w:val="0"/>
                <w:kern w:val="0"/>
                <w:sz w:val="22"/>
                <w:szCs w:val="22"/>
                <w:u w:val="none"/>
                <w:lang w:val="en-US" w:eastAsia="zh-CN" w:bidi="ar"/>
              </w:rPr>
              <w:t>层级</w:t>
            </w:r>
          </w:p>
        </w:tc>
        <w:tc>
          <w:tcPr>
            <w:tcW w:w="83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aps w:val="0"/>
                <w:color w:val="000000"/>
                <w:spacing w:val="0"/>
                <w:sz w:val="22"/>
                <w:szCs w:val="22"/>
                <w:u w:val="none"/>
                <w:lang w:val="en-US" w:eastAsia="zh-CN"/>
              </w:rPr>
            </w:pPr>
            <w:r>
              <w:rPr>
                <w:rFonts w:hint="eastAsia" w:ascii="黑体" w:hAnsi="宋体" w:eastAsia="黑体" w:cs="黑体"/>
                <w:i w:val="0"/>
                <w:iCs w:val="0"/>
                <w:caps w:val="0"/>
                <w:color w:val="000000"/>
                <w:spacing w:val="0"/>
                <w:sz w:val="22"/>
                <w:szCs w:val="22"/>
                <w:u w:val="none"/>
                <w:lang w:val="en-US" w:eastAsia="zh-CN"/>
              </w:rPr>
              <w:t>执法人员</w:t>
            </w:r>
          </w:p>
        </w:tc>
        <w:tc>
          <w:tcPr>
            <w:tcW w:w="284"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aps w:val="0"/>
                <w:color w:val="000000"/>
                <w:spacing w:val="0"/>
                <w:kern w:val="0"/>
                <w:sz w:val="22"/>
                <w:szCs w:val="22"/>
                <w:u w:val="none"/>
                <w:lang w:val="en-US" w:eastAsia="zh-CN" w:bidi="ar"/>
              </w:rPr>
            </w:pPr>
            <w:r>
              <w:rPr>
                <w:rFonts w:hint="eastAsia" w:ascii="黑体" w:hAnsi="宋体" w:eastAsia="黑体" w:cs="黑体"/>
                <w:i w:val="0"/>
                <w:iCs w:val="0"/>
                <w:caps w:val="0"/>
                <w:color w:val="000000"/>
                <w:spacing w:val="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237" w:type="pct"/>
            <w:tcBorders>
              <w:top w:val="single" w:color="auto" w:sz="8" w:space="0"/>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36"/>
                <w:szCs w:val="36"/>
                <w:u w:val="none"/>
              </w:rPr>
            </w:pPr>
            <w:r>
              <w:rPr>
                <w:rFonts w:hint="eastAsia" w:ascii="宋体" w:hAnsi="宋体" w:eastAsia="宋体" w:cs="宋体"/>
                <w:i w:val="0"/>
                <w:iCs w:val="0"/>
                <w:caps w:val="0"/>
                <w:color w:val="000000"/>
                <w:spacing w:val="0"/>
                <w:kern w:val="0"/>
                <w:sz w:val="36"/>
                <w:szCs w:val="36"/>
                <w:u w:val="none"/>
                <w:lang w:val="en-US" w:eastAsia="zh-CN" w:bidi="ar"/>
              </w:rPr>
              <w:t>1</w:t>
            </w:r>
          </w:p>
        </w:tc>
        <w:tc>
          <w:tcPr>
            <w:tcW w:w="256"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sz w:val="20"/>
                <w:szCs w:val="20"/>
                <w:u w:val="none"/>
              </w:rPr>
              <w:t>残疾人按比例就业检查</w:t>
            </w:r>
          </w:p>
        </w:tc>
        <w:tc>
          <w:tcPr>
            <w:tcW w:w="25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sz w:val="20"/>
                <w:szCs w:val="20"/>
                <w:u w:val="none"/>
              </w:rPr>
              <w:t>残疾人按比例就业检查</w:t>
            </w:r>
          </w:p>
        </w:tc>
        <w:tc>
          <w:tcPr>
            <w:tcW w:w="326"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sz w:val="20"/>
                <w:szCs w:val="20"/>
                <w:u w:val="none"/>
              </w:rPr>
              <w:t>行政检查</w:t>
            </w:r>
          </w:p>
        </w:tc>
        <w:tc>
          <w:tcPr>
            <w:tcW w:w="259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20"/>
                <w:szCs w:val="20"/>
                <w:u w:val="none"/>
                <w:lang w:eastAsia="zh-CN"/>
              </w:rPr>
            </w:pPr>
            <w:r>
              <w:rPr>
                <w:rFonts w:hint="eastAsia" w:ascii="宋体" w:hAnsi="宋体" w:eastAsia="宋体" w:cs="宋体"/>
                <w:i w:val="0"/>
                <w:iCs w:val="0"/>
                <w:caps w:val="0"/>
                <w:color w:val="000000"/>
                <w:spacing w:val="0"/>
                <w:sz w:val="20"/>
                <w:szCs w:val="20"/>
                <w:u w:val="none"/>
                <w:lang w:eastAsia="zh-CN"/>
              </w:rPr>
              <w:t>【</w:t>
            </w:r>
            <w:r>
              <w:rPr>
                <w:rFonts w:hint="eastAsia" w:ascii="宋体" w:hAnsi="宋体" w:eastAsia="宋体" w:cs="宋体"/>
                <w:i w:val="0"/>
                <w:iCs w:val="0"/>
                <w:caps w:val="0"/>
                <w:color w:val="000000"/>
                <w:spacing w:val="0"/>
                <w:sz w:val="20"/>
                <w:szCs w:val="20"/>
                <w:u w:val="none"/>
                <w:lang w:val="en-US" w:eastAsia="zh-CN"/>
              </w:rPr>
              <w:t>行政法规</w:t>
            </w:r>
            <w:r>
              <w:rPr>
                <w:rFonts w:hint="eastAsia" w:ascii="宋体" w:hAnsi="宋体" w:eastAsia="宋体" w:cs="宋体"/>
                <w:i w:val="0"/>
                <w:iCs w:val="0"/>
                <w:caps w:val="0"/>
                <w:color w:val="000000"/>
                <w:spacing w:val="0"/>
                <w:sz w:val="20"/>
                <w:szCs w:val="20"/>
                <w:u w:val="none"/>
                <w:lang w:eastAsia="zh-CN"/>
              </w:rPr>
              <w:t>】《残疾人就业条例》（中华人民共和国国务院令第488号）第九条用人单位安排残疾人就业达不到其所在地省、自治区、直辖市人民政府规定比例的，应当缴纳残疾人就业保障金。</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4E4E4E"/>
                <w:spacing w:val="0"/>
                <w:sz w:val="32"/>
                <w:szCs w:val="32"/>
                <w:shd w:val="clear" w:fill="FFFFFF"/>
              </w:rPr>
            </w:pPr>
            <w:r>
              <w:rPr>
                <w:rFonts w:hint="eastAsia" w:ascii="宋体" w:hAnsi="宋体" w:eastAsia="宋体" w:cs="宋体"/>
                <w:i w:val="0"/>
                <w:iCs w:val="0"/>
                <w:caps w:val="0"/>
                <w:color w:val="000000"/>
                <w:spacing w:val="0"/>
                <w:sz w:val="20"/>
                <w:szCs w:val="20"/>
                <w:u w:val="none"/>
                <w:lang w:eastAsia="zh-CN"/>
              </w:rPr>
              <w:t>【</w:t>
            </w:r>
            <w:r>
              <w:rPr>
                <w:rFonts w:hint="eastAsia" w:ascii="宋体" w:hAnsi="宋体" w:eastAsia="宋体" w:cs="宋体"/>
                <w:i w:val="0"/>
                <w:iCs w:val="0"/>
                <w:caps w:val="0"/>
                <w:color w:val="000000"/>
                <w:spacing w:val="0"/>
                <w:sz w:val="20"/>
                <w:szCs w:val="20"/>
                <w:u w:val="none"/>
              </w:rPr>
              <w:t>省政府规章</w:t>
            </w:r>
            <w:r>
              <w:rPr>
                <w:rFonts w:hint="eastAsia" w:ascii="宋体" w:hAnsi="宋体" w:eastAsia="宋体" w:cs="宋体"/>
                <w:i w:val="0"/>
                <w:iCs w:val="0"/>
                <w:caps w:val="0"/>
                <w:color w:val="000000"/>
                <w:spacing w:val="0"/>
                <w:sz w:val="20"/>
                <w:szCs w:val="20"/>
                <w:u w:val="none"/>
                <w:lang w:eastAsia="zh-CN"/>
              </w:rPr>
              <w:t>】</w:t>
            </w:r>
            <w:r>
              <w:rPr>
                <w:rFonts w:hint="eastAsia" w:ascii="宋体" w:hAnsi="宋体" w:eastAsia="宋体" w:cs="宋体"/>
                <w:i w:val="0"/>
                <w:iCs w:val="0"/>
                <w:caps w:val="0"/>
                <w:color w:val="000000"/>
                <w:spacing w:val="0"/>
                <w:sz w:val="20"/>
                <w:szCs w:val="20"/>
                <w:u w:val="none"/>
              </w:rPr>
              <w:t>《江西省残疾人就业办法》第十七条 用人单位未安排残疾人就业或者安排残疾人就业未达到规定比例的，应当按照其实际差额人数和上年度本地区城镇单位在岗职工年平均工资的百分之百缴纳残疾人就业保障金</w:t>
            </w:r>
            <w:r>
              <w:rPr>
                <w:rFonts w:hint="eastAsia" w:ascii="仿宋" w:hAnsi="仿宋" w:eastAsia="仿宋" w:cs="仿宋"/>
                <w:i w:val="0"/>
                <w:iCs w:val="0"/>
                <w:caps w:val="0"/>
                <w:color w:val="4E4E4E"/>
                <w:spacing w:val="0"/>
                <w:sz w:val="32"/>
                <w:szCs w:val="32"/>
                <w:shd w:val="clear" w:fill="FFFFFF"/>
              </w:rPr>
              <w:t>。</w:t>
            </w:r>
          </w:p>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aps w:val="0"/>
                <w:color w:val="4E4E4E"/>
                <w:spacing w:val="0"/>
                <w:sz w:val="31"/>
                <w:szCs w:val="31"/>
                <w:shd w:val="clear" w:fill="FFFFFF"/>
                <w:lang w:eastAsia="zh-CN"/>
              </w:rPr>
            </w:pPr>
          </w:p>
        </w:tc>
        <w:tc>
          <w:tcPr>
            <w:tcW w:w="209"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县</w:t>
            </w:r>
          </w:p>
        </w:tc>
        <w:tc>
          <w:tcPr>
            <w:tcW w:w="83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周青</w:t>
            </w:r>
          </w:p>
          <w:p>
            <w:pPr>
              <w:jc w:val="center"/>
              <w:rPr>
                <w:rFonts w:hint="eastAsia"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章莉</w:t>
            </w:r>
          </w:p>
          <w:p>
            <w:pPr>
              <w:jc w:val="center"/>
              <w:rPr>
                <w:rFonts w:hint="eastAsia"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盛坤达</w:t>
            </w:r>
          </w:p>
          <w:p>
            <w:pPr>
              <w:jc w:val="center"/>
              <w:rPr>
                <w:rFonts w:hint="eastAsia"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吴少标</w:t>
            </w:r>
          </w:p>
          <w:p>
            <w:pPr>
              <w:jc w:val="center"/>
              <w:rPr>
                <w:rFonts w:hint="default" w:ascii="宋体" w:hAnsi="宋体" w:eastAsia="宋体" w:cs="宋体"/>
                <w:i w:val="0"/>
                <w:iCs w:val="0"/>
                <w:caps w:val="0"/>
                <w:color w:val="000000"/>
                <w:spacing w:val="0"/>
                <w:sz w:val="20"/>
                <w:szCs w:val="20"/>
                <w:u w:val="none"/>
                <w:lang w:val="en-US" w:eastAsia="zh-CN"/>
              </w:rPr>
            </w:pPr>
            <w:r>
              <w:rPr>
                <w:rFonts w:hint="eastAsia" w:ascii="宋体" w:hAnsi="宋体" w:eastAsia="宋体" w:cs="宋体"/>
                <w:i w:val="0"/>
                <w:iCs w:val="0"/>
                <w:caps w:val="0"/>
                <w:color w:val="000000"/>
                <w:spacing w:val="0"/>
                <w:sz w:val="20"/>
                <w:szCs w:val="20"/>
                <w:u w:val="none"/>
                <w:lang w:val="en-US" w:eastAsia="zh-CN"/>
              </w:rPr>
              <w:t>朱磊</w:t>
            </w:r>
            <w:bookmarkStart w:id="0" w:name="_GoBack"/>
            <w:bookmarkEnd w:id="0"/>
          </w:p>
        </w:tc>
        <w:tc>
          <w:tcPr>
            <w:tcW w:w="284"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r>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mFiNmE1OWNjNjJiY2Y1ODgzYzQ1N2ZkYzRmZDMifQ=="/>
  </w:docVars>
  <w:rsids>
    <w:rsidRoot w:val="4FCA7FD2"/>
    <w:rsid w:val="0673637A"/>
    <w:rsid w:val="4FCA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2023-10-10T01:35:00Z</dcterms:created>
  <dc:creator>余干县残联</dc:creator>
  <cp:lastModifiedBy>余干县残联</cp:lastModifiedBy>
  <dcterms:modified xsi:type="dcterms:W3CDTF">2023-10-10T03:52:18Z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D05A7244EBA243D5B1B6A90EA7140955_11</vt:lpwstr>
  </property>
</Properties>
</file>